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rFonts w:ascii="맑은 고딕" w:hAnsi="맑은 고딕" w:eastAsia="맑은 고딕"/>
          <w:b/>
          <w:sz w:val="30"/>
        </w:rPr>
        <w:t>프로젝트 계획서 (주가지수 데이터 활용 머신러닝·딥러닝)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59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5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149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Qurious (큐리어스)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Quant + Curious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팀원(역할)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이동원(팀장) – 데이터 수집·정제·전처리·크롤링 / 문서·일정 관리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오준영 – AI 모델 개발 및 학습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강민석 – 백테스팅, 성과지표, 대시보드 제작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신장환 – 피처 엔지니어링·기술적 지표·데이터 품질 (크롤링 분담)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주담당일 뿐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교차 검수 (부록 B)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2026.09.01 ~ 2026.09.15 (발표장소 : koreaIT노원 B강의실)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6주 3개 중 1차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명</w:t>
            </w:r>
          </w:p>
        </w:tc>
        <w:tc>
          <w:tcPr>
            <w:tcW w:type="dxa" w:w="5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1안) AlphaStack (알파스택) — 신호·검증·화면을 층으로 쌓는다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2안) Qurious (큐리어스) — 팀명과 통일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킥오프에서 확정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주제 선정 이유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개별 기술적 지표(RSI·MACD·이동평균)를 따로 쓰기보다 머신러닝으로 종합했을 때 예측력이 실제로 향상되는지 검증한다.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그런데 주가 예측은 “몇 % 맞혔나”보다 “어떻게 검증했나”가 결론을 좌우한다. 우리 자료로 직접 잰 숫자로 말하면 — 아무 모델 없이 “항상 상승”만 해도 52.64%를 맞히고, 검증구간 1,217거래일에서 통계적으로 유의하려면 54.99%가 필요하며, 국내외 문헌의 현실적 상한은 55%대다. 이길 수 있는 폭이 2%p 남짓이라는 뜻이다.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그 좁은 폭은 실수 한 줄로 사라진다. 레이블을 시가(t)→시가(t+5)로 하루 어긋나게 정렬해 봤더니 상관이 정확히 10.0배로 부풀었다(+0.1709 대 +0.0171). 에러는 나지 않는다. 그래서 예측 모델과 성과 검증 엔진을 같은 비중으로 만든다.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6주 3개 프로젝트가 모두 “개발 및 성과 검증”으로 끝난다. 매 차수 새로 만드는 것은 앞쪽이고 검증하는 방법은 같다. 1차를 세 프로젝트가 공유할 바닥층으로 설계한다.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숫자는 모두 실측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목표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룩어헤드 없는 성과 검증 엔진 — 워크포워드 gap 잠금·거래비용·기준선 3종·사전등록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지수 트랙 — KOSPI200 의 5거래일 뒤 등락을 상승/보합/하락 3분류로 예측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종목 트랙 — 예측이 통하는 종목을 먼저 선별하고, 그 안에서 랭킹을 매긴다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요일별 5트랙 중첩 운용 — 같은 모델을 매 거래일 돌려 진입 시점을 분산한다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유동 임계값 — 상승/보합/하락 경계를 고정하지 않고 변동성에 맞춰 조정한다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신호→포지션 규칙 — 보유/무보유 × 상승/보합/하락 행동과 시드 배분을 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4종 동일 조건 비교 — LogisticRegression·RandomForest·XGBoost·LightGBM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단일 명령 재현 + Streamlit 시연 화면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④⑤⑥ 팀원 제안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방법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수집 — KRX OpenAPI 로 2010년부터 16년 전수. 상장폐지 910종목을 포함해 생존편향을 막되, 그 종목의 정리매매 구간(마지막 10거래일)은 제외한다. 그 구간은 가격제한폭이 없어 -90% 봉이 찍히는데 실제로는 체결되지 않는다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시점 정합 — T일 종가로 판단, T+1 시가에 체결, T+6 시가에 평가. 미래 자료 접근을 코드가 차단한다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품질 게이트 — 거래일 캘린더 대조·결측·이상치 리포트. 기준 미달이면 파이프라인이 멈춘다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피처 — 이동평균·RSI·MACD·볼린저·거래량 파생·변동성을 numpy 로 직접 구현하고 지표마다 손계산 테스트를 붙인다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레이블 — 3분류. 밴드는 실측으로 정했다(지수 ±1.0% / 종목 ±2.0%)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⑥ 종목 선별 — 예측가능성 통계로 1차 선별. 선별은 개발구간에서만 하고 검증구간에서 고정한다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⑦ 모델 — 4종을 같은 자료·같은 분할·같은 시드로 비교하고, 시도 횟수를 장부에 기록한다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⑧ 검증 — 워크포워드(gap=5·12폴드)·기준선 3종·ARIMA 동반·거래비용 4수준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⑨ 통계 검정 — 수업에서 배운 기법으로(ADF·Ljung-Box·카이제곱·대응표본 t·ANOVA+Tukey), 주 검정은 부트스트랩 단측 p&lt;0.05</w:t>
            </w:r>
          </w:p>
        </w:tc>
        <w:tc>
          <w:tcPr>
            <w:tcW w:type="dxa" w:w="149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세부는 부록 A</w:t>
            </w:r>
          </w:p>
        </w:tc>
      </w:tr>
      <w:tr>
        <w:tc>
          <w:tcPr>
            <w:tcW w:type="dxa" w:w="159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예상 산출물</w:t>
            </w:r>
          </w:p>
        </w:tc>
        <w:tc>
          <w:tcPr>
            <w:tcW w:type="dxa" w:w="541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 Streamlit 시연 화면 — 신호·성과·수집 현황을 한 화면에서 (발표 시연)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② 모델 성능 비교표 — 4종 × 기준선 3종, 거래비용 반영 전후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③ 재현 파이프라인 — 명령 하나로 수집부터 성과까지. 품질 리포트 포함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④ 발표자료·README·주요 결정 기록(ADR)</w:t>
            </w:r>
          </w:p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⑤ 2·3차가 그대로 가져다 쓰는 성과 검증 엔진</w:t>
            </w:r>
          </w:p>
        </w:tc>
        <w:tc>
          <w:tcPr>
            <w:tcW w:type="dxa" w:w="1497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①② 가 발표 시연</w:t>
            </w:r>
          </w:p>
        </w:tc>
      </w:tr>
    </w:tbl>
    <w:p/>
    <w:p>
      <w:r>
        <w:rPr>
          <w:rFonts w:ascii="맑은 고딕" w:hAnsi="맑은 고딕" w:eastAsia="맑은 고딕"/>
          <w:b/>
          <w:sz w:val="28"/>
        </w:rPr>
        <w:t>부록</w:t>
      </w:r>
    </w:p>
    <w:p/>
    <w:p>
      <w:r>
        <w:rPr>
          <w:rFonts w:ascii="맑은 고딕" w:hAnsi="맑은 고딕" w:eastAsia="맑은 고딕"/>
          <w:b/>
          <w:sz w:val="24"/>
        </w:rPr>
        <w:t>부록 A. 필수 범위와 선택 범위</w:t>
      </w:r>
    </w:p>
    <w:p>
      <w:r>
        <w:rPr>
          <w:rFonts w:ascii="맑은 고딕" w:hAnsi="맑은 고딕" w:eastAsia="맑은 고딕"/>
          <w:b w:val="0"/>
          <w:sz w:val="19"/>
        </w:rPr>
        <w:t>필수 범위는 2주 안에 반드시 끝낸다. 선택 범위는 9/8 중간 점검에서 한 번만 결정하고, 그 뒤로는 늘리지 않는다.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52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범위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</w:t>
            </w:r>
          </w:p>
        </w:tc>
        <w:tc>
          <w:tcPr>
            <w:tcW w:type="dxa" w:w="2615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판단 근거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성과 검증 엔진 (워크포워드·거래비용·기준선 3종)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 프로젝트의 논지 자체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② 지수 트랙 — KOSPI200 3분류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기준선·유의임계를 이미 실측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③ 종목 트랙 — 선별 후 랭킹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오준영·신장환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수익 크기가 지수의 2.6배.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다만 거래세로 손익분기는 더 높다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④ 요일별 5트랙 중첩 운용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진입 시점 분산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⑤ 유동 임계값 (변동성 스케일)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고정 밴드와 병행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⑥ 신호→포지션 규칙과 시드 배분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신장환·강민석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팀원 제안 · 조합을 사전 고정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⑦ 모델 4종 동일 조건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수업에서 배운 sklearn 전 영역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⑧ 수집·품질 게이트·공급 계층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920만 행 적재 완료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</w:t>
            </w:r>
          </w:p>
        </w:tc>
        <w:tc>
          <w:tcPr>
            <w:tcW w:type="dxa" w:w="3528"/>
          </w:tcPr>
          <w:p>
            <w:pPr>
              <w:spacing w:after="20" w:before="0"/>
              <w:ind w:left="200" w:hanging="20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⑨ Streamlit 시연 화면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시연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⑩ 시장 균열 스코어 (변동성 예측용)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방향 예측 증분은 실측상 0에 가까웠다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⑪ 뉴스·공시 수집과 텍스트 피처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약관 검토가 먼저 (부록 F)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⑫ Keras LSTM/GRU 비교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수업 진도가 9월 중 여기까지 나간다</w:t>
            </w:r>
          </w:p>
        </w:tc>
      </w:tr>
      <w:tr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</w:t>
            </w:r>
          </w:p>
        </w:tc>
        <w:tc>
          <w:tcPr>
            <w:tcW w:type="dxa" w:w="352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⑬ 표에 없는 기능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제안자</w:t>
            </w:r>
          </w:p>
        </w:tc>
        <w:tc>
          <w:tcPr>
            <w:tcW w:type="dxa" w:w="2615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주제 안에 있고 설명할 수 있으면 넣는다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B. 역할과 교차 검수 규약</w:t>
      </w:r>
    </w:p>
    <w:p>
      <w:r>
        <w:rPr>
          <w:rFonts w:ascii="맑은 고딕" w:hAnsi="맑은 고딕" w:eastAsia="맑은 고딕"/>
          <w:b w:val="0"/>
          <w:sz w:val="19"/>
        </w:rPr>
        <w:t>아래 담당은 “무엇을 했는지 말할 수 있게” 나눈 것이지 벽을 세운 것이 아니다. 각자 자기 영역을 끌고 가되 옆 담당의 산출물을 한 번 더 확인한다.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277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영역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주담당</w:t>
            </w:r>
          </w:p>
        </w:tc>
        <w:tc>
          <w:tcPr>
            <w:tcW w:type="dxa" w:w="1071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교차 검수</w:t>
            </w:r>
          </w:p>
        </w:tc>
        <w:tc>
          <w:tcPr>
            <w:tcW w:type="dxa" w:w="359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산출물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수집·정제·전처리·크롤링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적재 파이프라인·품질 리포트·공급 계층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피처 엔지니어링·기술적 지표·품질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신장환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모듈·손계산 테스트·선별 통계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모델 개발·학습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오준영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모델 4종·성능 비교표</w:t>
            </w:r>
          </w:p>
        </w:tc>
      </w:tr>
      <w:tr>
        <w:tc>
          <w:tcPr>
            <w:tcW w:type="dxa" w:w="277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백테스팅·성과지표·대시보드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강민석</w:t>
            </w:r>
          </w:p>
        </w:tc>
        <w:tc>
          <w:tcPr>
            <w:tcW w:type="dxa" w:w="1071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이동원</w:t>
            </w:r>
          </w:p>
        </w:tc>
        <w:tc>
          <w:tcPr>
            <w:tcW w:type="dxa" w:w="359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엔진·Streamlit 화면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① 모든 코드는 Pull Request 로 병합하고 교차 검수자 1인의 승인을 받는다.</w:t>
      </w:r>
    </w:p>
    <w:p>
      <w:r>
        <w:rPr>
          <w:rFonts w:ascii="맑은 고딕" w:hAnsi="맑은 고딕" w:eastAsia="맑은 고딕"/>
          <w:b w:val="0"/>
          <w:sz w:val="18"/>
        </w:rPr>
        <w:t>② 자신이 만든 기능은 팀 회의에서 5분 안에 설명할 수 있어야 한다. 설명하지 못하는 코드는 병합하지 않는다 — 도구를 쓰는 것은 자유이나 결과를 아는 것은 책임이다.</w:t>
      </w:r>
    </w:p>
    <w:p>
      <w:r>
        <w:rPr>
          <w:rFonts w:ascii="맑은 고딕" w:hAnsi="맑은 고딕" w:eastAsia="맑은 고딕"/>
          <w:b w:val="0"/>
          <w:sz w:val="18"/>
        </w:rPr>
        <w:t>③ 매일 진행 상황을 짧게 공유한다. 막히면 하루를 넘기지 않고 말한다.</w:t>
      </w:r>
    </w:p>
    <w:p>
      <w:r>
        <w:rPr>
          <w:rFonts w:ascii="맑은 고딕" w:hAnsi="맑은 고딕" w:eastAsia="맑은 고딕"/>
          <w:b w:val="0"/>
          <w:sz w:val="18"/>
        </w:rPr>
        <w:t>④ 주요 결정은 한 장짜리 기록으로 남긴다 — 무엇을, 왜, 어떤 대안을 버렸는지.</w:t>
      </w:r>
    </w:p>
    <w:p>
      <w:r>
        <w:rPr>
          <w:rFonts w:ascii="맑은 고딕" w:hAnsi="맑은 고딕" w:eastAsia="맑은 고딕"/>
          <w:b w:val="0"/>
          <w:sz w:val="18"/>
        </w:rPr>
        <w:t>⑤ 발표자는 신장환 또는 강민석 중에서 킥오프에 정한다.</w:t>
      </w:r>
    </w:p>
    <w:p/>
    <w:p>
      <w:r>
        <w:rPr>
          <w:rFonts w:ascii="맑은 고딕" w:hAnsi="맑은 고딕" w:eastAsia="맑은 고딕"/>
          <w:b/>
          <w:sz w:val="24"/>
        </w:rPr>
        <w:t>부록 C. 2주 일정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03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날짜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이동원 · 데이터</w:t>
            </w:r>
          </w:p>
        </w:tc>
        <w:tc>
          <w:tcPr>
            <w:tcW w:type="dxa" w:w="138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오준영 · 모델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강민석 · 검증·화면</w:t>
            </w:r>
          </w:p>
        </w:tc>
        <w:tc>
          <w:tcPr>
            <w:tcW w:type="dxa" w:w="141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신장환 · 피처·품질</w:t>
            </w:r>
          </w:p>
        </w:tc>
        <w:tc>
          <w:tcPr>
            <w:tcW w:type="dxa" w:w="170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그날의 완료 기준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9/1(화)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킥오프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미결 8건 · 담당 경계 · 환경 통일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〃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전원 로컬 테스트 통과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KRX 키 이용신청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9/2(수)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게이트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베이스라인 골격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 그룹 인식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6종 골격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품질 리포트가 나온다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9/3(목)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시세 공급 함수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 루프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5트랙 중첩 설계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완성·shift 검사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팀원이 공급 API 로 시세를 꺼낸다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9/4(금)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섹터 매핑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생성기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비용 모델 4수준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유동 밴드 부 실험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데이터셋 스키마 확정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9/5(토)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유니버스·유동성 필터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데이터셋 생성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+ ARIMA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예측가능성 통계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학습용 자료가 나온다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9/6(일)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 · 문서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LogReg 기준선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폴드 커버리지 실측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종목 1차 선별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베이스라인이 기준선 대비 수치를 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9/7(월)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★인수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데이터 인수 지점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2종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성과지표 완성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선별 결과 고정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아무도 저장소를 직접 부르지 않는다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9/8(화)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★점검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중간 점검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4종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시도 횟수 계측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포지션 규칙 3안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선택 범위를 한 번만 결정한다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9/9(수)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뉴스·공시 수집(선택)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하이퍼파라미터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5트랙 백테스트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과적합 점검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비교표 초안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9/10(목)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수집 현황 화면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모델 확정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자산곡선·MDD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 중요도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비교표 완성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9/11(금)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문서 정리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지수·종목 통합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Streamlit 착수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지표 기여도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 엔진이 닫힌다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9/12(토)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리포트 원고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Streamlit 완성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예비일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화면에서 신호와 성과를 함께 본다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9/13(일)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★개봉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검증구간 1회 개봉 · 주 검정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개봉 기록이 정확히 1행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9/14(월)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발표자료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</w:t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리허설 1회 완주</w:t>
            </w:r>
          </w:p>
        </w:tc>
      </w:tr>
      <w:tr>
        <w:tc>
          <w:tcPr>
            <w:tcW w:type="dxa" w:w="103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9/15(화)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발표</w:t>
            </w:r>
          </w:p>
        </w:tc>
        <w:tc>
          <w:tcPr>
            <w:tcW w:type="dxa" w:w="138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41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</w:r>
          </w:p>
        </w:tc>
        <w:tc>
          <w:tcPr>
            <w:tcW w:type="dxa" w:w="17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—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★ 세 지점이 축이다 — 9/7 데이터 인수, 9/8 선택 범위 결정, 9/13 검증구간 개봉.</w:t>
      </w:r>
    </w:p>
    <w:p>
      <w:r>
        <w:rPr>
          <w:rFonts w:ascii="맑은 고딕" w:hAnsi="맑은 고딕" w:eastAsia="맑은 고딕"/>
          <w:b w:val="0"/>
          <w:sz w:val="18"/>
        </w:rPr>
        <w:t>※ 검증구간은 9/13 에 단 한 번 연다. 그 전에 열면 사전에 정해 둔 검정 절차가 무의미해지고, 성능을 보고 설계를 고쳤다는 의심을 벗을 수 없다.</w:t>
      </w:r>
    </w:p>
    <w:p>
      <w:r>
        <w:rPr>
          <w:rFonts w:ascii="맑은 고딕" w:hAnsi="맑은 고딕" w:eastAsia="맑은 고딕"/>
          <w:b w:val="0"/>
          <w:sz w:val="18"/>
        </w:rPr>
        <w:t>※ 주말(9/5·6, 9/12·13)을 일정에 포함했다. 실제 배분은 킥오프에서 조정한다.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5381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일정간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538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1] 2주 일정</w:t>
      </w:r>
    </w:p>
    <w:p/>
    <w:p>
      <w:r>
        <w:rPr>
          <w:rFonts w:ascii="맑은 고딕" w:hAnsi="맑은 고딕" w:eastAsia="맑은 고딕"/>
          <w:b/>
          <w:sz w:val="24"/>
        </w:rPr>
        <w:t>부록 D. 착수 자산</w:t>
      </w:r>
    </w:p>
    <w:p>
      <w:r>
        <w:rPr>
          <w:rFonts w:ascii="맑은 고딕" w:hAnsi="맑은 고딕" w:eastAsia="맑은 고딕"/>
          <w:b w:val="0"/>
          <w:sz w:val="19"/>
        </w:rPr>
        <w:t>팀장이 사전에 개발해 둔 부분을 팀 저장소로 이관해 두었다. 데이터와 검증 엔진은 서 있고, 둘을 잇는 피처·모델·파이프라인이 비어 있다. 2주에 만들 곳이 바로 거기다.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2677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계층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줄 수</w:t>
            </w:r>
          </w:p>
        </w:tc>
        <w:tc>
          <w:tcPr>
            <w:tcW w:type="dxa" w:w="4946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상태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ingest/ — 수집·적재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7,488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KRX 920만 행이 이 경로로 들어왔다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evaluation/ — 성과 검증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772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모델 없이 단독으로 돈다. 테스트 55개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supply/ — 시점정합 공급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228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중. 미래 자료 접근을 테스트가 막는다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common/ — 설정·경로·예산·robots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2,348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절반 동작. 나머지는 정리 대상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timeseries/ — ARIMA·ADF·ACF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2,063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있으나 아직 호출처가 없다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scripts/ — 실행 CLI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2,523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동작 중 (수집·품질·실측 10종)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tests/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3,017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216개 · 8초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features/ — 피처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35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비어 있다. 2주에 만들 곳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models/ — 모델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34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비어 있다. 2주에 만들 곳</w:t>
            </w:r>
          </w:p>
        </w:tc>
      </w:tr>
      <w:tr>
        <w:tc>
          <w:tcPr>
            <w:tcW w:type="dxa" w:w="2677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pipelines/ — 오케스트레이션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4946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비어 있다. 2주에 만들 곳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설치·확인 완료 — scikit-learn 1.9.0 · LightGBM 4.7.0 · XGBoost 3.4.1 · scipy 1.18.1 · pandas 3.0.5 · numpy 2.5.1</w:t>
      </w:r>
    </w:p>
    <w:p>
      <w:r>
        <w:rPr>
          <w:rFonts w:ascii="맑은 고딕" w:hAnsi="맑은 고딕" w:eastAsia="맑은 고딕"/>
          <w:b w:val="0"/>
          <w:sz w:val="18"/>
        </w:rPr>
        <w:t>설치 예정 — streamlit · matplotlib (대시보드 담당과 킥오프에서 확정)</w:t>
      </w:r>
    </w:p>
    <w:p/>
    <w:p>
      <w:r>
        <w:rPr>
          <w:rFonts w:ascii="맑은 고딕" w:hAnsi="맑은 고딕" w:eastAsia="맑은 고딕"/>
          <w:b/>
          <w:sz w:val="24"/>
        </w:rPr>
        <w:t>부록 E. 실측 근거</w:t>
      </w:r>
    </w:p>
    <w:p>
      <w:r>
        <w:rPr>
          <w:rFonts w:ascii="맑은 고딕" w:hAnsi="맑은 고딕" w:eastAsia="맑은 고딕"/>
          <w:b w:val="0"/>
          <w:sz w:val="19"/>
        </w:rPr>
        <w:t>아래는 모두 우리 자료로 직접 잰 값이다. 인용이 아니다. 재현: python scripts/measure_horizon.py · measure_stock_horizon.py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669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무엇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값</w:t>
            </w:r>
          </w:p>
        </w:tc>
        <w:tc>
          <w:tcPr>
            <w:tcW w:type="dxa" w:w="148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구간</w:t>
            </w:r>
          </w:p>
        </w:tc>
        <w:tc>
          <w:tcPr>
            <w:tcW w:type="dxa" w:w="308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6"/>
              </w:rPr>
              <w:t>왜 중요한가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데이터 규모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9,209,812행 · 3,677종목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4,097거래일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2010-01-04 ~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2026-08-25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16년 전수. 부분 표본이 아니다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중도 소멸 종목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910종목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상장폐지가 자료에 남아 있다 → 생존편향 방어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정리매매 급락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-30.5% 이하 1,224행 중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1,197행(97.8%)이 정리매매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전 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폐지 종목을 넣었더니 반대 편향이 생겼다.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마지막 10거래일을 뺀다. 최저 -98.41%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기준선 (항상 상승)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52.64%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2,880일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모델이 이겨야 할 하한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유의 임계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54.99%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검증구간 1,217일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이보다 낮으면 우연과 구분되지 않는다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1.753%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손익분기 계산의 분모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E|5일수익|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4.483% (KOSPI)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5.159% (전 시장)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지수의 2.6~2.9배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(ETF)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51.43% (왕복 0.05%)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52.85% (왕복 0.10%)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국내 상장 ETF 는 매도 시 증권거래세 면제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손익분기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(개별주)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53.12% (왕복 0.28%)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54.80% (왕복 0.43%)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매도 시 0.20%(거래세 0.05+농특세 0.15)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+ 수수료·스프레드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지수 3분류 ±1.0%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34.03 / 38.66 / 27.31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세 클래스가 15~45% 안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종목 3분류 ±2.0%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30.12 / 37.90 / 31.98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 KOSPI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±1.0% 면 중립이 20.7% 로 얇아진다</w:t>
            </w:r>
          </w:p>
        </w:tc>
      </w:tr>
      <w:tr>
        <w:tc>
          <w:tcPr>
            <w:tcW w:type="dxa" w:w="1669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레이블 오정렬 시</w:t>
            </w:r>
          </w:p>
        </w:tc>
        <w:tc>
          <w:tcPr>
            <w:tcW w:type="dxa" w:w="226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상관이 정확히 10.0배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6"/>
              </w:rPr>
              <w:t>(+0.1709 대 +0.0171)</w:t>
            </w:r>
          </w:p>
        </w:tc>
        <w:tc>
          <w:tcPr>
            <w:tcW w:type="dxa" w:w="148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개발구간</w:t>
            </w:r>
          </w:p>
        </w:tc>
        <w:tc>
          <w:tcPr>
            <w:tcW w:type="dxa" w:w="308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하루 어긋나면 이렇게 된다. 에러는 안 난다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손익분기는 “방향 적중 여부와 수익 크기가 서로 무관하다”는 가정 위에 있다. 큰 변동일이 예측하기 더 어렵다면 실제로 필요한 정확도는 더 높다.</w:t>
      </w:r>
    </w:p>
    <w:p>
      <w:r>
        <w:rPr>
          <w:rFonts w:ascii="맑은 고딕" w:hAnsi="맑은 고딕" w:eastAsia="맑은 고딕"/>
          <w:b w:val="0"/>
          <w:sz w:val="18"/>
        </w:rPr>
        <w:t>※ 처음에는 두 트랙에 같은 비용을 적용해 “종목이 지수보다 유리”하다는 결론을 냈다. 국내 상장 ETF 는 증권거래세가 면제되고 개별주는 매도 시 0.20%를 낸다는 비대칭을 반영하니 부호가 뒤집혔다. 종목 트랙은 수익 크기가 2.6배 크지만 그 이점을 거래세가 상쇄하고 남는다 — 지수보다 약 1.7%p 불리하다. 그래도 유의 임계(54.99%) 언저리라 불가능하지는 않다.</w:t>
      </w:r>
    </w:p>
    <w:p/>
    <w:p>
      <w:r>
        <w:rPr>
          <w:rFonts w:ascii="맑은 고딕" w:hAnsi="맑은 고딕" w:eastAsia="맑은 고딕"/>
          <w:b/>
          <w:sz w:val="24"/>
        </w:rPr>
        <w:t>부록 F. QFRS 준수 현황</w:t>
      </w:r>
    </w:p>
    <w:p>
      <w:r>
        <w:rPr>
          <w:rFonts w:ascii="맑은 고딕" w:hAnsi="맑은 고딕" w:eastAsia="맑은 고딕"/>
          <w:b w:val="0"/>
          <w:sz w:val="19"/>
        </w:rPr>
        <w:t>2026년 8월 Artificial Intelligence Review 에 실린 QFRS 는 AI 기반 금융 예측·트레이딩 연구가 지켜야 할 7개 보고 표준이다. 저자가 Scopus 색인 논문 41편을 감사했더니 7개를 모두 충족한 논문이 한 편도 없었다(평균 4.22개). 특히 경제적 백테스트는 87.8%가, 인과적 스케일링은 68.3%가 실패했다.</w:t>
      </w:r>
    </w:p>
    <w:p>
      <w:r>
        <w:rPr>
          <w:rFonts w:ascii="맑은 고딕" w:hAnsi="맑은 고딕" w:eastAsia="맑은 고딕"/>
          <w:b w:val="0"/>
          <w:sz w:val="19"/>
        </w:rPr>
        <w:t>이 프로젝트의 논지가 “어떻게 검증했나”이므로 그 기준을 그대로 가져와 우리 현황을 표로 놓는다. 지금 5개 충족·2개 부분이고, 부분 2개는 2주 안에 닫는다.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26"/>
        <w:gridCol w:w="2126"/>
        <w:gridCol w:w="2126"/>
        <w:gridCol w:w="2126"/>
      </w:tblGrid>
      <w:tr>
        <w:tc>
          <w:tcPr>
            <w:tcW w:type="dxa" w:w="173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기준</w:t>
            </w:r>
          </w:p>
        </w:tc>
        <w:tc>
          <w:tcPr>
            <w:tcW w:type="dxa" w:w="258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논문이 요구하는 것</w:t>
            </w:r>
          </w:p>
        </w:tc>
        <w:tc>
          <w:tcPr>
            <w:tcW w:type="dxa" w:w="88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우리 현황</w:t>
            </w:r>
          </w:p>
        </w:tc>
        <w:tc>
          <w:tcPr>
            <w:tcW w:type="dxa" w:w="3308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5"/>
              </w:rPr>
              <w:t>근거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QFRS-1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Dataset specification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data handling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출처·버전·기간 명시. 주식이면 상장폐지 종목 포함 여부와 처리 방법을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밝혀 생존편향을 통제할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KRX OpenAPI · 2010-01-04~2026-08-25 · 920만 행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중도 소멸 910종목 포함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QFRS-2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Labeling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(ground truth construction)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 정의와 임계값을 명시. 아주 작은 등락을 맞히는 이진분류는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통계적으로만 맞고 경제적으로 무의미하다고 지적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시가(t+1)→시가(t+6) 3분류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밴드를 실측으로 정함 (지수 ±1.0% / 종목 ±2.0%)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QFRS-3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feature engineering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(anti-leakage by design)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피처가 미래를 보지 않도록 설계 단계에서 차단할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as_of 공급 계층. 기본값이 없어 빠뜨릴 수 없고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경계를 테스트 16개가 막는다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QFRS-4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Scaling / Normalisation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스케일링을 전체 자료에 먼저 적용하면 누수. 학습구간에서 fit 하고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검증·테스트에 transform 만 할 것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미착수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피처 계층이 아직 비어 있다. 9/2~9/5 에 구현하며 지킨다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QFRS-5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Train/Validation/Test split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레이블이 h 기간 앞을 보면 창 사이에 최소 h 만큼 embargo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충족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워크포워드가 gap=label_horizon 을 강제.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어기면 LeakageError 로 멈춘다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QFRS-6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evaluation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and task types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주 지표로 MCC·PR-AUC·Balanced Accuracy·혼동행렬.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F1·ROC-AUC 는 보조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기준선 3종 대비 보고는 있으나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MCC 는 아직 없다 — 9/10 까지 추가</w:t>
            </w:r>
          </w:p>
        </w:tc>
      </w:tr>
      <w:tr>
        <w:tc>
          <w:tcPr>
            <w:tcW w:type="dxa" w:w="173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QFRS-7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Backtest metrics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(economic performance)</w:t>
            </w:r>
          </w:p>
        </w:tc>
        <w:tc>
          <w:tcPr>
            <w:tcW w:type="dxa" w:w="258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수수료·슬리피지·체결 규칙을 밝힌 경제적 백테스트.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필수(M) 항목이 하나라도 없으면 Fail</w:t>
            </w:r>
          </w:p>
        </w:tc>
        <w:tc>
          <w:tcPr>
            <w:tcW w:type="dxa" w:w="88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부분</w:t>
            </w:r>
          </w:p>
        </w:tc>
        <w:tc>
          <w:tcPr>
            <w:tcW w:type="dxa" w:w="3308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5"/>
              </w:rPr>
              <w:t>거래비용 4수준은 있다. 회전율·체결 가정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5"/>
              </w:rPr>
              <w:t>문서화는 9/11 까지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7"/>
        </w:rPr>
        <w:t>출처: Khushi M. QFRS: quantitative finance reporting standards for forecasting, evaluation and trading claims. Artif Intell Rev (2026). https://doi.org/10.1007/s10462-026-11664-w</w:t>
      </w:r>
    </w:p>
    <w:p>
      <w:r>
        <w:rPr>
          <w:rFonts w:ascii="맑은 고딕" w:hAnsi="맑은 고딕" w:eastAsia="맑은 고딕"/>
          <w:b w:val="0"/>
          <w:sz w:val="17"/>
        </w:rPr>
        <w:t>※ 이 논문은 온라인 선공개(accepted manuscript) 상태라 권·호·페이지가 아직 없다. 위 형식이 원문이 지정한 인용 방식이다. Open Access(CC-BY)라 전문을 볼 수 있다.</w:t>
      </w:r>
    </w:p>
    <w:p/>
    <w:p>
      <w:r>
        <w:rPr>
          <w:rFonts w:ascii="맑은 고딕" w:hAnsi="맑은 고딕" w:eastAsia="맑은 고딕"/>
          <w:b/>
          <w:sz w:val="24"/>
        </w:rPr>
        <w:t>부록 G. 킥오프에서 정할 것</w:t>
      </w:r>
    </w:p>
    <w:p>
      <w:r>
        <w:rPr>
          <w:rFonts w:ascii="맑은 고딕" w:hAnsi="맑은 고딕" w:eastAsia="맑은 고딕"/>
          <w:b w:val="0"/>
          <w:sz w:val="18"/>
        </w:rPr>
        <w:t>① 프로젝트명 — 1안 AlphaStack / 2안 Qurious</w:t>
      </w:r>
    </w:p>
    <w:p>
      <w:r>
        <w:rPr>
          <w:rFonts w:ascii="맑은 고딕" w:hAnsi="맑은 고딕" w:eastAsia="맑은 고딕"/>
          <w:b w:val="0"/>
          <w:sz w:val="18"/>
        </w:rPr>
        <w:t>② 발표자 — 신장환 또는 강민석</w:t>
      </w:r>
    </w:p>
    <w:p>
      <w:r>
        <w:rPr>
          <w:rFonts w:ascii="맑은 고딕" w:hAnsi="맑은 고딕" w:eastAsia="맑은 고딕"/>
          <w:b w:val="0"/>
          <w:sz w:val="18"/>
        </w:rPr>
        <w:t>③ 산업 분류 기준 — KRX 업종 / GICS / 직접 매핑 (수업 자료에 KRX 업종분류·WICS 수집 코드가 이미 있다)</w:t>
      </w:r>
    </w:p>
    <w:p>
      <w:r>
        <w:rPr>
          <w:rFonts w:ascii="맑은 고딕" w:hAnsi="맑은 고딕" w:eastAsia="맑은 고딕"/>
          <w:b w:val="0"/>
          <w:sz w:val="18"/>
        </w:rPr>
        <w:t>④ 뉴스 제목·요약을 로컬 DB 에 저장해도 되는가 — 네이버 약관이 “저장(캐시 포함)”을 금지한다. 법적 판단이라 팀에서 함께 결정한다</w:t>
      </w:r>
    </w:p>
    <w:p>
      <w:r>
        <w:rPr>
          <w:rFonts w:ascii="맑은 고딕" w:hAnsi="맑은 고딕" w:eastAsia="맑은 고딕"/>
          <w:b w:val="0"/>
          <w:sz w:val="18"/>
        </w:rPr>
        <w:t>⑤ 동영상 수집 대상 채널 목록</w:t>
      </w:r>
    </w:p>
    <w:p>
      <w:r>
        <w:rPr>
          <w:rFonts w:ascii="맑은 고딕" w:hAnsi="맑은 고딕" w:eastAsia="맑은 고딕"/>
          <w:b w:val="0"/>
          <w:sz w:val="18"/>
        </w:rPr>
        <w:t>⑥ 방향정확도 합격선을 54.99%로 둘 것인가 — 이 값은 관측이 서로 독립이라는 가정에서 나왔는데, 5일 레이블을 매일 만들면 이웃 예측이 4일을 공유해 독립이 아니다. 보정하면 57.22%다(실효 표본 1,217일 → 322일). 사전등록 ADR은 방향정확도에 애초에 합격선을 걸지 않았으므로 두 문서가 어긋나 있다. 검증구간을 열기 전에 팀이 정해야 한다</w:t>
      </w:r>
    </w:p>
    <w:p/>
    <w:p>
      <w:r>
        <w:rPr>
          <w:rFonts w:ascii="맑은 고딕" w:hAnsi="맑은 고딕" w:eastAsia="맑은 고딕"/>
          <w:b/>
          <w:sz w:val="24"/>
        </w:rPr>
        <w:t>부록 H. 3개 프로젝트 확장 로드맵</w:t>
      </w:r>
    </w:p>
    <w:p>
      <w:r>
        <w:rPr>
          <w:rFonts w:ascii="맑은 고딕" w:hAnsi="맑은 고딕" w:eastAsia="맑은 고딕"/>
          <w:b w:val="0"/>
          <w:sz w:val="19"/>
        </w:rPr>
        <w:t>세 차수의 주제가 모두 “개발 및 성과 검증”으로 끝난다. 매번 새로 만드는 것은 앞쪽이고 검증하는 방법은 같다. 1차에서 검증 엔진을 재사용 가능하게 분리하는 것이 6주 전체의 효율을 좌우한다.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835"/>
        <w:gridCol w:w="2835"/>
        <w:gridCol w:w="2835"/>
      </w:tblGrid>
      <w:tr>
        <w:tc>
          <w:tcPr>
            <w:tcW w:type="dxa" w:w="1102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차수</w:t>
            </w:r>
          </w:p>
        </w:tc>
        <w:tc>
          <w:tcPr>
            <w:tcW w:type="dxa" w:w="3433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무엇을 새로 만드나</w:t>
            </w:r>
          </w:p>
        </w:tc>
        <w:tc>
          <w:tcPr>
            <w:tcW w:type="dxa" w:w="3970"/>
            <w:shd w:val="clear" w:color="auto" w:fill="D9E2F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1차에서 그대로 가져가는 것</w:t>
            </w:r>
          </w:p>
        </w:tc>
      </w:tr>
      <w:tr>
        <w:tc>
          <w:tcPr>
            <w:tcW w:type="dxa" w:w="11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1차</w:t>
            </w:r>
          </w:p>
          <w:p>
            <w:pPr>
              <w:spacing w:after="20" w:before="0"/>
              <w:jc w:val="left"/>
              <w:autoSpaceDE w:val="0"/>
              <w:autoSpaceDN w:val="0"/>
            </w:pPr>
            <w:r>
              <w:rPr>
                <w:rFonts w:ascii="맑은 고딕" w:hAnsi="맑은 고딕" w:eastAsia="맑은 고딕"/>
                <w:b w:val="0"/>
                <w:sz w:val="17"/>
              </w:rPr>
              <w:t>9/1~9/15</w:t>
            </w:r>
          </w:p>
        </w:tc>
        <w:tc>
          <w:tcPr>
            <w:tcW w:type="dxa" w:w="343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지표 기반 등락 예측 + 성과 검증 엔진</w:t>
            </w:r>
          </w:p>
        </w:tc>
        <w:tc>
          <w:tcPr>
            <w:tcW w:type="dxa" w:w="397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11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2차</w:t>
            </w:r>
          </w:p>
        </w:tc>
        <w:tc>
          <w:tcPr>
            <w:tcW w:type="dxa" w:w="343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 종목 신호를 여러 종목 배분으로 넓힌다</w:t>
            </w:r>
          </w:p>
        </w:tc>
        <w:tc>
          <w:tcPr>
            <w:tcW w:type="dxa" w:w="397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엔진·수집 계층·시점정합 규칙</w:t>
            </w:r>
          </w:p>
        </w:tc>
      </w:tr>
      <w:tr>
        <w:tc>
          <w:tcPr>
            <w:tcW w:type="dxa" w:w="1102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3차</w:t>
            </w:r>
          </w:p>
        </w:tc>
        <w:tc>
          <w:tcPr>
            <w:tcW w:type="dxa" w:w="3433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기성 지표(RSI·MACD) 자리를 우리가 만든 지표로 바꾼다</w:t>
            </w:r>
          </w:p>
        </w:tc>
        <w:tc>
          <w:tcPr>
            <w:tcW w:type="dxa" w:w="3970"/>
          </w:tcPr>
          <w:p>
            <w:pPr>
              <w:spacing w:after="20" w:before="0"/>
              <w:jc w:val="left"/>
              <w:autoSpaceDE w:val="0"/>
              <w:autoSpaceDN w:val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검증 엔진·피처 계약·실험 기록 규약</w:t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부록 I. 아키텍처</w:t>
      </w:r>
    </w:p>
    <w:p>
      <w:r>
        <w:rPr>
          <w:rFonts w:ascii="맑은 고딕" w:hAnsi="맑은 고딕" w:eastAsia="맑은 고딕"/>
          <w:b w:val="0"/>
          <w:sz w:val="19"/>
        </w:rPr>
        <w:t>자료는 반드시 시점정합 공급 계층을 지나야 한다. 이 문을 지나지 않는 조회는 테스트가 막는다. “그때 알 수 있었던 것”만 모델에 들어가게 하는 구조적 장치다.</w:t>
      </w:r>
    </w:p>
    <w:p>
      <w:r>
        <w:rPr>
          <w:rFonts w:ascii="맑은 고딕" w:hAnsi="맑은 고딕" w:eastAsia="맑은 고딕"/>
          <w:b w:val="0"/>
          <w:sz w:val="19"/>
        </w:rPr>
        <w:t>문은 둘이다. 예측 경로는 as_of 시점에 알 수 있었던 행만 주고, 학습 경로는 전 구간을 보고 정리매매·신규상장 구간을 덜어낸다. 정리매매 판정은 “이 뒤로 체결이 끊긴다”라서 그 시점에는 알 수 없는 사실이기 때문이다. 손잡이로 켜고 끄면 언젠가 켜진 채로 예측에 들어가므로 이름으로 갈랐다 — 예측 코드가 학습용 문을 부르면 이름만으로 리뷰에 걸린다.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3110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시스템아키텍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1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2] 시스템 구성 — supply 문 둘과 시점정합</w:t>
      </w:r>
    </w:p>
    <w:p/>
    <w:p>
      <w:r>
        <w:rPr>
          <w:rFonts w:ascii="맑은 고딕" w:hAnsi="맑은 고딕" w:eastAsia="맑은 고딕"/>
          <w:b w:val="0"/>
          <w:sz w:val="19"/>
        </w:rPr>
        <w:t>역할별로 파이프라인을 나눠 4명이 병렬로 작업한다. 1차에는 LLM 을 쓰지 않으므로 역할별 워커와 오케스트레이션이며, RAG·에이전트로의 승격은 2·3차에서 다룬다.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0000" cy="4096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역할파이프라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6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7"/>
        </w:rPr>
        <w:t>[그림 3] 역할별 파이프라인 분리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