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F3B57"/>
          <w:sz w:val="44"/>
        </w:rPr>
        <w:t>Arabic Prose OCR</w:t>
      </w:r>
    </w:p>
    <w:p>
      <w:pPr>
        <w:spacing w:after="240"/>
      </w:pPr>
      <w:r>
        <w:rPr>
          <w:color w:val="5A5A5A"/>
          <w:sz w:val="24"/>
        </w:rPr>
        <w:t>1,749 pages with no tashkeel. The cheap path.</w:t>
      </w:r>
    </w:p>
    <w:p>
      <w:r>
        <w:rPr>
          <w:b w:val="0"/>
          <w:i/>
          <w:color w:val="5A5A5A"/>
        </w:rPr>
        <w:t>Philosophy, civics, geography, economics, sociology and history. Unvocalised modern standard Arabic, no equations, no diacritics to preserve. These do not need the vision model.</w:t>
      </w:r>
    </w:p>
    <w:p>
      <w:pPr>
        <w:pStyle w:val="Heading1"/>
      </w:pPr>
      <w:r>
        <w:t>1. Scope</w:t>
      </w:r>
    </w:p>
    <w:tbl>
      <w:tblPr>
        <w:tblStyle w:val="TableGrid"/>
        <w:tblW w:type="auto" w:w="0"/>
        <w:jc w:val="left"/>
        <w:tblLook w:firstColumn="1" w:firstRow="1" w:lastColumn="0" w:lastRow="0" w:noHBand="0" w:noVBand="1" w:val="04A0"/>
      </w:tblPr>
      <w:tblGrid>
        <w:gridCol w:w="3362"/>
        <w:gridCol w:w="3362"/>
        <w:gridCol w:w="3362"/>
      </w:tblGrid>
      <w:tr>
        <w:tc>
          <w:tcPr>
            <w:tcW w:type="dxa" w:w="3402"/>
            <w:shd w:val="clear" w:fill="1F3B57"/>
          </w:tcPr>
          <w:p>
            <w:pPr>
              <w:spacing w:after="40"/>
            </w:pPr>
            <w:r/>
            <w:r>
              <w:rPr>
                <w:b/>
                <w:color w:val="FFFFFF"/>
                <w:sz w:val="19"/>
              </w:rPr>
              <w:t>Book</w:t>
            </w:r>
          </w:p>
        </w:tc>
        <w:tc>
          <w:tcPr>
            <w:tcW w:type="dxa" w:w="1247"/>
            <w:shd w:val="clear" w:fill="1F3B57"/>
          </w:tcPr>
          <w:p>
            <w:pPr>
              <w:spacing w:after="40"/>
            </w:pPr>
            <w:r/>
            <w:r>
              <w:rPr>
                <w:b/>
                <w:color w:val="FFFFFF"/>
                <w:sz w:val="19"/>
              </w:rPr>
              <w:t>Pages</w:t>
            </w:r>
          </w:p>
        </w:tc>
        <w:tc>
          <w:tcPr>
            <w:tcW w:type="dxa" w:w="4535"/>
            <w:shd w:val="clear" w:fill="1F3B57"/>
          </w:tcPr>
          <w:p>
            <w:pPr>
              <w:spacing w:after="40"/>
            </w:pPr>
            <w:r/>
            <w:r>
              <w:rPr>
                <w:b/>
                <w:color w:val="FFFFFF"/>
                <w:sz w:val="19"/>
              </w:rPr>
              <w:t>Content</w:t>
            </w:r>
          </w:p>
        </w:tc>
      </w:tr>
      <w:tr>
        <w:tc>
          <w:tcPr>
            <w:tcW w:type="dxa" w:w="3402"/>
          </w:tcPr>
          <w:p>
            <w:pPr>
              <w:spacing w:after="40"/>
            </w:pPr>
            <w:r/>
            <w:r>
              <w:rPr>
                <w:sz w:val="19"/>
              </w:rPr>
              <w:t>الفلسفة</w:t>
            </w:r>
          </w:p>
        </w:tc>
        <w:tc>
          <w:tcPr>
            <w:tcW w:type="dxa" w:w="1247"/>
          </w:tcPr>
          <w:p>
            <w:pPr>
              <w:spacing w:after="40"/>
            </w:pPr>
            <w:r/>
            <w:r>
              <w:rPr>
                <w:sz w:val="19"/>
              </w:rPr>
              <w:t>203</w:t>
            </w:r>
          </w:p>
        </w:tc>
        <w:tc>
          <w:tcPr>
            <w:tcW w:type="dxa" w:w="4535"/>
          </w:tcPr>
          <w:p>
            <w:pPr>
              <w:spacing w:after="40"/>
            </w:pPr>
            <w:r/>
            <w:r>
              <w:rPr>
                <w:sz w:val="19"/>
              </w:rPr>
              <w:t>Continuous prose, some boxed quoted texts</w:t>
            </w:r>
          </w:p>
        </w:tc>
      </w:tr>
      <w:tr>
        <w:tc>
          <w:tcPr>
            <w:tcW w:type="dxa" w:w="3402"/>
          </w:tcPr>
          <w:p>
            <w:pPr>
              <w:spacing w:after="40"/>
            </w:pPr>
            <w:r/>
            <w:r>
              <w:rPr>
                <w:sz w:val="19"/>
              </w:rPr>
              <w:t>الفلسفة العامة</w:t>
            </w:r>
          </w:p>
        </w:tc>
        <w:tc>
          <w:tcPr>
            <w:tcW w:type="dxa" w:w="1247"/>
          </w:tcPr>
          <w:p>
            <w:pPr>
              <w:spacing w:after="40"/>
            </w:pPr>
            <w:r/>
            <w:r>
              <w:rPr>
                <w:sz w:val="19"/>
              </w:rPr>
              <w:t>361</w:t>
            </w:r>
          </w:p>
        </w:tc>
        <w:tc>
          <w:tcPr>
            <w:tcW w:type="dxa" w:w="4535"/>
          </w:tcPr>
          <w:p>
            <w:pPr>
              <w:spacing w:after="40"/>
            </w:pPr>
            <w:r/>
            <w:r>
              <w:rPr>
                <w:sz w:val="19"/>
              </w:rPr>
              <w:t>Continuous prose</w:t>
            </w:r>
          </w:p>
        </w:tc>
      </w:tr>
      <w:tr>
        <w:tc>
          <w:tcPr>
            <w:tcW w:type="dxa" w:w="3402"/>
          </w:tcPr>
          <w:p>
            <w:pPr>
              <w:spacing w:after="40"/>
            </w:pPr>
            <w:r/>
            <w:r>
              <w:rPr>
                <w:sz w:val="19"/>
              </w:rPr>
              <w:t>الفلسفة العربية</w:t>
            </w:r>
          </w:p>
        </w:tc>
        <w:tc>
          <w:tcPr>
            <w:tcW w:type="dxa" w:w="1247"/>
          </w:tcPr>
          <w:p>
            <w:pPr>
              <w:spacing w:after="40"/>
            </w:pPr>
            <w:r/>
            <w:r>
              <w:rPr>
                <w:sz w:val="19"/>
              </w:rPr>
              <w:t>265</w:t>
            </w:r>
          </w:p>
        </w:tc>
        <w:tc>
          <w:tcPr>
            <w:tcW w:type="dxa" w:w="4535"/>
          </w:tcPr>
          <w:p>
            <w:pPr>
              <w:spacing w:after="40"/>
            </w:pPr>
            <w:r/>
            <w:r>
              <w:rPr>
                <w:sz w:val="19"/>
              </w:rPr>
              <w:t>Continuous prose</w:t>
            </w:r>
          </w:p>
        </w:tc>
      </w:tr>
      <w:tr>
        <w:tc>
          <w:tcPr>
            <w:tcW w:type="dxa" w:w="3402"/>
          </w:tcPr>
          <w:p>
            <w:pPr>
              <w:spacing w:after="40"/>
            </w:pPr>
            <w:r/>
            <w:r>
              <w:rPr>
                <w:sz w:val="19"/>
              </w:rPr>
              <w:t>التربية الوطنية</w:t>
            </w:r>
          </w:p>
        </w:tc>
        <w:tc>
          <w:tcPr>
            <w:tcW w:type="dxa" w:w="1247"/>
          </w:tcPr>
          <w:p>
            <w:pPr>
              <w:spacing w:after="40"/>
            </w:pPr>
            <w:r/>
            <w:r>
              <w:rPr>
                <w:sz w:val="19"/>
              </w:rPr>
              <w:t>209</w:t>
            </w:r>
          </w:p>
        </w:tc>
        <w:tc>
          <w:tcPr>
            <w:tcW w:type="dxa" w:w="4535"/>
          </w:tcPr>
          <w:p>
            <w:pPr>
              <w:spacing w:after="40"/>
            </w:pPr>
            <w:r/>
            <w:r>
              <w:rPr>
                <w:sz w:val="19"/>
              </w:rPr>
              <w:t>Prose, occasional tables</w:t>
            </w:r>
          </w:p>
        </w:tc>
      </w:tr>
      <w:tr>
        <w:tc>
          <w:tcPr>
            <w:tcW w:type="dxa" w:w="3402"/>
          </w:tcPr>
          <w:p>
            <w:pPr>
              <w:spacing w:after="40"/>
            </w:pPr>
            <w:r/>
            <w:r>
              <w:rPr>
                <w:sz w:val="19"/>
              </w:rPr>
              <w:t>المجال العالمي — géographie</w:t>
            </w:r>
          </w:p>
        </w:tc>
        <w:tc>
          <w:tcPr>
            <w:tcW w:type="dxa" w:w="1247"/>
          </w:tcPr>
          <w:p>
            <w:pPr>
              <w:spacing w:after="40"/>
            </w:pPr>
            <w:r/>
            <w:r>
              <w:rPr>
                <w:sz w:val="19"/>
              </w:rPr>
              <w:t>113</w:t>
            </w:r>
          </w:p>
        </w:tc>
        <w:tc>
          <w:tcPr>
            <w:tcW w:type="dxa" w:w="4535"/>
          </w:tcPr>
          <w:p>
            <w:pPr>
              <w:spacing w:after="40"/>
            </w:pPr>
            <w:r/>
            <w:r>
              <w:rPr>
                <w:sz w:val="19"/>
              </w:rPr>
              <w:t>Maps, charts, statistics tables</w:t>
            </w:r>
          </w:p>
        </w:tc>
      </w:tr>
      <w:tr>
        <w:tc>
          <w:tcPr>
            <w:tcW w:type="dxa" w:w="3402"/>
          </w:tcPr>
          <w:p>
            <w:pPr>
              <w:spacing w:after="40"/>
            </w:pPr>
            <w:r/>
            <w:r>
              <w:rPr>
                <w:sz w:val="19"/>
              </w:rPr>
              <w:t>الاقتصاد</w:t>
            </w:r>
          </w:p>
        </w:tc>
        <w:tc>
          <w:tcPr>
            <w:tcW w:type="dxa" w:w="1247"/>
          </w:tcPr>
          <w:p>
            <w:pPr>
              <w:spacing w:after="40"/>
            </w:pPr>
            <w:r/>
            <w:r>
              <w:rPr>
                <w:sz w:val="19"/>
              </w:rPr>
              <w:t>283</w:t>
            </w:r>
          </w:p>
        </w:tc>
        <w:tc>
          <w:tcPr>
            <w:tcW w:type="dxa" w:w="4535"/>
          </w:tcPr>
          <w:p>
            <w:pPr>
              <w:spacing w:after="40"/>
            </w:pPr>
            <w:r/>
            <w:r>
              <w:rPr>
                <w:sz w:val="19"/>
              </w:rPr>
              <w:t>Prose, charts, tables</w:t>
            </w:r>
          </w:p>
        </w:tc>
      </w:tr>
      <w:tr>
        <w:tc>
          <w:tcPr>
            <w:tcW w:type="dxa" w:w="3402"/>
          </w:tcPr>
          <w:p>
            <w:pPr>
              <w:spacing w:after="40"/>
            </w:pPr>
            <w:r/>
            <w:r>
              <w:rPr>
                <w:sz w:val="19"/>
              </w:rPr>
              <w:t>الاجتماع</w:t>
            </w:r>
          </w:p>
        </w:tc>
        <w:tc>
          <w:tcPr>
            <w:tcW w:type="dxa" w:w="1247"/>
          </w:tcPr>
          <w:p>
            <w:pPr>
              <w:spacing w:after="40"/>
            </w:pPr>
            <w:r/>
            <w:r>
              <w:rPr>
                <w:sz w:val="19"/>
              </w:rPr>
              <w:t>315</w:t>
            </w:r>
          </w:p>
        </w:tc>
        <w:tc>
          <w:tcPr>
            <w:tcW w:type="dxa" w:w="4535"/>
          </w:tcPr>
          <w:p>
            <w:pPr>
              <w:spacing w:after="40"/>
            </w:pPr>
            <w:r/>
            <w:r>
              <w:rPr>
                <w:sz w:val="19"/>
              </w:rPr>
              <w:t>Prose, tables</w:t>
            </w:r>
          </w:p>
        </w:tc>
      </w:tr>
      <w:tr>
        <w:tc>
          <w:tcPr>
            <w:tcW w:type="dxa" w:w="3402"/>
          </w:tcPr>
          <w:p>
            <w:pPr>
              <w:spacing w:after="40"/>
            </w:pPr>
            <w:r/>
            <w:r>
              <w:rPr>
                <w:sz w:val="19"/>
              </w:rPr>
              <w:t>Total</w:t>
            </w:r>
          </w:p>
        </w:tc>
        <w:tc>
          <w:tcPr>
            <w:tcW w:type="dxa" w:w="1247"/>
          </w:tcPr>
          <w:p>
            <w:pPr>
              <w:spacing w:after="40"/>
            </w:pPr>
            <w:r/>
            <w:r>
              <w:rPr>
                <w:sz w:val="19"/>
              </w:rPr>
              <w:t>1,749</w:t>
            </w:r>
          </w:p>
        </w:tc>
        <w:tc>
          <w:tcPr>
            <w:tcW w:type="dxa" w:w="4535"/>
          </w:tcPr>
          <w:p>
            <w:pPr>
              <w:spacing w:after="40"/>
            </w:pPr>
            <w:r/>
            <w:r>
              <w:rPr>
                <w:sz w:val="19"/>
              </w:rPr>
            </w:r>
          </w:p>
        </w:tc>
      </w:tr>
      <w:tr>
        <w:tc>
          <w:tcPr>
            <w:tcW w:type="dxa" w:w="3402"/>
          </w:tcPr>
          <w:p>
            <w:pPr>
              <w:spacing w:after="40"/>
            </w:pPr>
            <w:r/>
            <w:r>
              <w:rPr>
                <w:sz w:val="19"/>
              </w:rPr>
              <w:t>التاريخ</w:t>
            </w:r>
          </w:p>
        </w:tc>
        <w:tc>
          <w:tcPr>
            <w:tcW w:type="dxa" w:w="1247"/>
          </w:tcPr>
          <w:p>
            <w:pPr>
              <w:spacing w:after="40"/>
            </w:pPr>
            <w:r/>
            <w:r>
              <w:rPr>
                <w:sz w:val="19"/>
              </w:rPr>
              <w:t>missing</w:t>
            </w:r>
          </w:p>
        </w:tc>
        <w:tc>
          <w:tcPr>
            <w:tcW w:type="dxa" w:w="4535"/>
          </w:tcPr>
          <w:p>
            <w:pPr>
              <w:spacing w:after="40"/>
            </w:pPr>
            <w:r/>
            <w:r>
              <w:rPr>
                <w:sz w:val="19"/>
              </w:rPr>
              <w:t>Add ~250 pages when found — maps and source documents</w:t>
            </w:r>
          </w:p>
        </w:tc>
      </w:tr>
    </w:tbl>
    <w:p>
      <w:pPr>
        <w:spacing w:after="40"/>
      </w:pPr>
    </w:p>
    <w:p>
      <w:r>
        <w:rPr>
          <w:b/>
          <w:i w:val="0"/>
        </w:rPr>
        <w:t>Not in scope: الأدب العربي (200) and قواعد اللغة العربية والبلاغة والعروض (187). Those need tashkeel and stay on the vision model at full resolution.</w:t>
      </w:r>
    </w:p>
    <w:p>
      <w:pPr>
        <w:pStyle w:val="Heading1"/>
      </w:pPr>
      <w:r>
        <w:t>2. The pick — Google Document AI (Document OCR)</w:t>
      </w:r>
    </w:p>
    <w:p>
      <w:r>
        <w:rPr>
          <w:b w:val="0"/>
          <w:i w:val="0"/>
        </w:rPr>
        <w:t>About $1.50 per 1,000 pages, so roughly $2.60 for all 1,749. Confirm the current rate before committing.</w:t>
      </w:r>
    </w:p>
    <w:p>
      <w:pPr>
        <w:pStyle w:val="Heading2"/>
      </w:pPr>
      <w:r>
        <w:t>Why it wins for these books</w:t>
      </w:r>
    </w:p>
    <w:p>
      <w:pPr>
        <w:pStyle w:val="ListBullet"/>
        <w:spacing w:after="40"/>
      </w:pPr>
      <w:r>
        <w:t>Strong on printed Arabic, which is the only thing being asked of it.</w:t>
      </w:r>
    </w:p>
    <w:p>
      <w:pPr>
        <w:pStyle w:val="ListBullet"/>
        <w:spacing w:after="40"/>
      </w:pPr>
      <w:r>
        <w:t>Correct right-to-left logical order, including two-column pages.</w:t>
      </w:r>
    </w:p>
    <w:p>
      <w:pPr>
        <w:pStyle w:val="ListBullet"/>
        <w:spacing w:after="40"/>
      </w:pPr>
      <w:r>
        <w:t>Per-token confidence scores — so these books need no second reader at all. Low-confidence pages flag themselves and a whole layer of the pipeline disappears.</w:t>
      </w:r>
    </w:p>
    <w:p>
      <w:pPr>
        <w:pStyle w:val="ListBullet"/>
        <w:spacing w:after="40"/>
      </w:pPr>
      <w:r>
        <w:t>Bounding boxes come back in the same call, so figure and table detection is free.</w:t>
      </w:r>
    </w:p>
    <w:p>
      <w:pPr>
        <w:pStyle w:val="ListBullet"/>
        <w:spacing w:after="40"/>
      </w:pPr>
      <w:r>
        <w:t>Batch processing handles whole books. No GPU, no model to host, no fine-tune to evaluate.</w:t>
      </w:r>
    </w:p>
    <w:p>
      <w:r>
        <w:rPr>
          <w:b w:val="0"/>
          <w:i w:val="0"/>
        </w:rPr>
        <w:t>Azure AI Document Intelligence (Read) is equivalent on price and quality. Pick whichever cloud you already use.</w:t>
      </w:r>
    </w:p>
    <w:p>
      <w:pPr>
        <w:pStyle w:val="Heading2"/>
      </w:pPr>
      <w:r>
        <w:t>Alternatives</w:t>
      </w:r>
    </w:p>
    <w:tbl>
      <w:tblPr>
        <w:tblStyle w:val="TableGrid"/>
        <w:tblW w:type="auto" w:w="0"/>
        <w:jc w:val="left"/>
        <w:tblLook w:firstColumn="1" w:firstRow="1" w:lastColumn="0" w:lastRow="0" w:noHBand="0" w:noVBand="1" w:val="04A0"/>
      </w:tblPr>
      <w:tblGrid>
        <w:gridCol w:w="3362"/>
        <w:gridCol w:w="3362"/>
        <w:gridCol w:w="3362"/>
      </w:tblGrid>
      <w:tr>
        <w:tc>
          <w:tcPr>
            <w:tcW w:type="dxa" w:w="3628"/>
            <w:shd w:val="clear" w:fill="1F3B57"/>
          </w:tcPr>
          <w:p>
            <w:pPr>
              <w:spacing w:after="40"/>
            </w:pPr>
            <w:r/>
            <w:r>
              <w:rPr>
                <w:b/>
                <w:color w:val="FFFFFF"/>
                <w:sz w:val="19"/>
              </w:rPr>
              <w:t>Option</w:t>
            </w:r>
          </w:p>
        </w:tc>
        <w:tc>
          <w:tcPr>
            <w:tcW w:type="dxa" w:w="1701"/>
            <w:shd w:val="clear" w:fill="1F3B57"/>
          </w:tcPr>
          <w:p>
            <w:pPr>
              <w:spacing w:after="40"/>
            </w:pPr>
            <w:r/>
            <w:r>
              <w:rPr>
                <w:b/>
                <w:color w:val="FFFFFF"/>
                <w:sz w:val="19"/>
              </w:rPr>
              <w:t>1,749 pages</w:t>
            </w:r>
          </w:p>
        </w:tc>
        <w:tc>
          <w:tcPr>
            <w:tcW w:type="dxa" w:w="3855"/>
            <w:shd w:val="clear" w:fill="1F3B57"/>
          </w:tcPr>
          <w:p>
            <w:pPr>
              <w:spacing w:after="40"/>
            </w:pPr>
            <w:r/>
            <w:r>
              <w:rPr>
                <w:b/>
                <w:color w:val="FFFFFF"/>
                <w:sz w:val="19"/>
              </w:rPr>
              <w:t>Verdict</w:t>
            </w:r>
          </w:p>
        </w:tc>
      </w:tr>
      <w:tr>
        <w:tc>
          <w:tcPr>
            <w:tcW w:type="dxa" w:w="3628"/>
          </w:tcPr>
          <w:p>
            <w:pPr>
              <w:spacing w:after="40"/>
            </w:pPr>
            <w:r/>
            <w:r>
              <w:rPr>
                <w:sz w:val="19"/>
              </w:rPr>
              <w:t>Google Document AI / Azure Read</w:t>
            </w:r>
          </w:p>
        </w:tc>
        <w:tc>
          <w:tcPr>
            <w:tcW w:type="dxa" w:w="1701"/>
          </w:tcPr>
          <w:p>
            <w:pPr>
              <w:spacing w:after="40"/>
            </w:pPr>
            <w:r/>
            <w:r>
              <w:rPr>
                <w:sz w:val="19"/>
              </w:rPr>
              <w:t>≈ $2.60</w:t>
            </w:r>
          </w:p>
        </w:tc>
        <w:tc>
          <w:tcPr>
            <w:tcW w:type="dxa" w:w="3855"/>
          </w:tcPr>
          <w:p>
            <w:pPr>
              <w:spacing w:after="40"/>
            </w:pPr>
            <w:r/>
            <w:r>
              <w:rPr>
                <w:sz w:val="19"/>
              </w:rPr>
              <w:t>Recommended. Confidence scores are the deciding feature.</w:t>
            </w:r>
          </w:p>
        </w:tc>
      </w:tr>
      <w:tr>
        <w:tc>
          <w:tcPr>
            <w:tcW w:type="dxa" w:w="3628"/>
          </w:tcPr>
          <w:p>
            <w:pPr>
              <w:spacing w:after="40"/>
            </w:pPr>
            <w:r/>
            <w:r>
              <w:rPr>
                <w:sz w:val="19"/>
              </w:rPr>
              <w:t>Baseer (Qwen2.5-VL-3B, Arabic fine-tune), self-hosted</w:t>
            </w:r>
          </w:p>
        </w:tc>
        <w:tc>
          <w:tcPr>
            <w:tcW w:type="dxa" w:w="1701"/>
          </w:tcPr>
          <w:p>
            <w:pPr>
              <w:spacing w:after="40"/>
            </w:pPr>
            <w:r/>
            <w:r>
              <w:rPr>
                <w:sz w:val="19"/>
              </w:rPr>
              <w:t>&lt; $1 of GPU</w:t>
            </w:r>
          </w:p>
        </w:tc>
        <w:tc>
          <w:tcPr>
            <w:tcW w:type="dxa" w:w="3855"/>
          </w:tcPr>
          <w:p>
            <w:pPr>
              <w:spacing w:after="40"/>
            </w:pPr>
            <w:r/>
            <w:r>
              <w:rPr>
                <w:sz w:val="19"/>
              </w:rPr>
              <w:t>Take it only if the books must not leave our infrastructure. Half a day of setup, and no confidence scores.</w:t>
            </w:r>
          </w:p>
        </w:tc>
      </w:tr>
      <w:tr>
        <w:tc>
          <w:tcPr>
            <w:tcW w:type="dxa" w:w="3628"/>
          </w:tcPr>
          <w:p>
            <w:pPr>
              <w:spacing w:after="40"/>
            </w:pPr>
            <w:r/>
            <w:r>
              <w:rPr>
                <w:sz w:val="19"/>
              </w:rPr>
              <w:t>QARI-OCR v0.2 (Qwen2-VL-2B), self-hosted</w:t>
            </w:r>
          </w:p>
        </w:tc>
        <w:tc>
          <w:tcPr>
            <w:tcW w:type="dxa" w:w="1701"/>
          </w:tcPr>
          <w:p>
            <w:pPr>
              <w:spacing w:after="40"/>
            </w:pPr>
            <w:r/>
            <w:r>
              <w:rPr>
                <w:sz w:val="19"/>
              </w:rPr>
              <w:t>&lt; $1 of GPU</w:t>
            </w:r>
          </w:p>
        </w:tc>
        <w:tc>
          <w:tcPr>
            <w:tcW w:type="dxa" w:w="3855"/>
          </w:tcPr>
          <w:p>
            <w:pPr>
              <w:spacing w:after="40"/>
            </w:pPr>
            <w:r/>
            <w:r>
              <w:rPr>
                <w:sz w:val="19"/>
              </w:rPr>
              <w:t>Same. Built for diacritics, which we do not need here.</w:t>
            </w:r>
          </w:p>
        </w:tc>
      </w:tr>
      <w:tr>
        <w:tc>
          <w:tcPr>
            <w:tcW w:type="dxa" w:w="3628"/>
          </w:tcPr>
          <w:p>
            <w:pPr>
              <w:spacing w:after="40"/>
            </w:pPr>
            <w:r/>
            <w:r>
              <w:rPr>
                <w:sz w:val="19"/>
              </w:rPr>
              <w:t>Mistral OCR API</w:t>
            </w:r>
          </w:p>
        </w:tc>
        <w:tc>
          <w:tcPr>
            <w:tcW w:type="dxa" w:w="1701"/>
          </w:tcPr>
          <w:p>
            <w:pPr>
              <w:spacing w:after="40"/>
            </w:pPr>
            <w:r/>
            <w:r>
              <w:rPr>
                <w:sz w:val="19"/>
              </w:rPr>
              <w:t>a few dollars</w:t>
            </w:r>
          </w:p>
        </w:tc>
        <w:tc>
          <w:tcPr>
            <w:tcW w:type="dxa" w:w="3855"/>
          </w:tcPr>
          <w:p>
            <w:pPr>
              <w:spacing w:after="40"/>
            </w:pPr>
            <w:r/>
            <w:r>
              <w:rPr>
                <w:sz w:val="19"/>
              </w:rPr>
              <w:t>Reasonable, but no advantage over Document AI.</w:t>
            </w:r>
          </w:p>
        </w:tc>
      </w:tr>
      <w:tr>
        <w:tc>
          <w:tcPr>
            <w:tcW w:type="dxa" w:w="3628"/>
          </w:tcPr>
          <w:p>
            <w:pPr>
              <w:spacing w:after="40"/>
            </w:pPr>
            <w:r/>
            <w:r>
              <w:rPr>
                <w:sz w:val="19"/>
              </w:rPr>
              <w:t>Claude Opus 5 / Sonnet 5 vision</w:t>
            </w:r>
          </w:p>
        </w:tc>
        <w:tc>
          <w:tcPr>
            <w:tcW w:type="dxa" w:w="1701"/>
          </w:tcPr>
          <w:p>
            <w:pPr>
              <w:spacing w:after="40"/>
            </w:pPr>
            <w:r/>
            <w:r>
              <w:rPr>
                <w:sz w:val="19"/>
              </w:rPr>
              <w:t>$21 – $37</w:t>
            </w:r>
          </w:p>
        </w:tc>
        <w:tc>
          <w:tcPr>
            <w:tcW w:type="dxa" w:w="3855"/>
          </w:tcPr>
          <w:p>
            <w:pPr>
              <w:spacing w:after="40"/>
            </w:pPr>
            <w:r/>
            <w:r>
              <w:rPr>
                <w:sz w:val="19"/>
              </w:rPr>
              <w:t>Overkill for plain prose. Keep it for the figure pages and escalation.</w:t>
            </w:r>
          </w:p>
        </w:tc>
      </w:tr>
      <w:tr>
        <w:tc>
          <w:tcPr>
            <w:tcW w:type="dxa" w:w="3628"/>
          </w:tcPr>
          <w:p>
            <w:pPr>
              <w:spacing w:after="40"/>
            </w:pPr>
            <w:r/>
            <w:r>
              <w:rPr>
                <w:sz w:val="19"/>
              </w:rPr>
              <w:t>Base Qwen2.5-VL</w:t>
            </w:r>
          </w:p>
        </w:tc>
        <w:tc>
          <w:tcPr>
            <w:tcW w:type="dxa" w:w="1701"/>
          </w:tcPr>
          <w:p>
            <w:pPr>
              <w:spacing w:after="40"/>
            </w:pPr>
            <w:r/>
            <w:r>
              <w:rPr>
                <w:sz w:val="19"/>
              </w:rPr>
              <w:t>GPU</w:t>
            </w:r>
          </w:p>
        </w:tc>
        <w:tc>
          <w:tcPr>
            <w:tcW w:type="dxa" w:w="3855"/>
          </w:tcPr>
          <w:p>
            <w:pPr>
              <w:spacing w:after="40"/>
            </w:pPr>
            <w:r/>
            <w:r>
              <w:rPr>
                <w:sz w:val="19"/>
              </w:rPr>
              <w:t>Skip — the Arabic fine-tunes beat it.</w:t>
            </w:r>
          </w:p>
        </w:tc>
      </w:tr>
      <w:tr>
        <w:tc>
          <w:tcPr>
            <w:tcW w:type="dxa" w:w="3628"/>
          </w:tcPr>
          <w:p>
            <w:pPr>
              <w:spacing w:after="40"/>
            </w:pPr>
            <w:r/>
            <w:r>
              <w:rPr>
                <w:sz w:val="19"/>
              </w:rPr>
              <w:t>Tesseract ara</w:t>
            </w:r>
          </w:p>
        </w:tc>
        <w:tc>
          <w:tcPr>
            <w:tcW w:type="dxa" w:w="1701"/>
          </w:tcPr>
          <w:p>
            <w:pPr>
              <w:spacing w:after="40"/>
            </w:pPr>
            <w:r/>
            <w:r>
              <w:rPr>
                <w:sz w:val="19"/>
              </w:rPr>
              <w:t>free</w:t>
            </w:r>
          </w:p>
        </w:tc>
        <w:tc>
          <w:tcPr>
            <w:tcW w:type="dxa" w:w="3855"/>
          </w:tcPr>
          <w:p>
            <w:pPr>
              <w:spacing w:after="40"/>
            </w:pPr>
            <w:r/>
            <w:r>
              <w:rPr>
                <w:sz w:val="19"/>
              </w:rPr>
              <w:t>Skip — fails on photocopies.</w:t>
            </w:r>
          </w:p>
        </w:tc>
      </w:tr>
    </w:tbl>
    <w:p>
      <w:pPr>
        <w:spacing w:after="40"/>
      </w:pPr>
    </w:p>
    <w:p>
      <w:pPr>
        <w:pStyle w:val="Heading1"/>
      </w:pPr>
      <w:r>
        <w:t>3. How it runs</w:t>
      </w:r>
    </w:p>
    <w:p>
      <w:pPr>
        <w:pStyle w:val="ListNumber"/>
        <w:spacing w:after="40"/>
      </w:pPr>
      <w:r>
        <w:t>Create a Document OCR processor (region eu or us) and note the processor ID.</w:t>
      </w:r>
    </w:p>
    <w:p>
      <w:pPr>
        <w:pStyle w:val="ListNumber"/>
        <w:spacing w:after="40"/>
      </w:pPr>
      <w:r>
        <w:t>Upload the PDFs to a bucket, one prefix per book.</w:t>
      </w:r>
    </w:p>
    <w:p>
      <w:pPr>
        <w:pStyle w:val="ListNumber"/>
        <w:spacing w:after="40"/>
      </w:pPr>
      <w:r>
        <w:t>Call batch processing with the input prefix and an output prefix. Whole books go through in one job.</w:t>
      </w:r>
    </w:p>
    <w:p>
      <w:pPr>
        <w:pStyle w:val="ListNumber"/>
        <w:spacing w:after="40"/>
      </w:pPr>
      <w:r>
        <w:t>Read the JSON back: full text, plus pages → blocks → paragraphs → lines → tokens, each with a confidence score and a bounding box.</w:t>
      </w:r>
    </w:p>
    <w:p>
      <w:pPr>
        <w:pStyle w:val="ListNumber"/>
        <w:spacing w:after="40"/>
      </w:pPr>
      <w:r>
        <w:t>Write page-NNN.md from the text, and meta/page-NNN.json from the confidence and boxes.</w:t>
      </w:r>
    </w:p>
    <w:p>
      <w:pPr>
        <w:pStyle w:val="ListNumber"/>
        <w:spacing w:after="40"/>
      </w:pPr>
      <w:r>
        <w:t>Send only the pages that carry a figure, map, chart or table to the vision model.</w:t>
      </w:r>
    </w:p>
    <w:p>
      <w:pPr>
        <w:spacing w:before="80" w:after="160"/>
        <w:ind w:left="170"/>
        <w:shd w:val="clear" w:fill="F2F4F7"/>
      </w:pPr>
      <w:r>
        <w:rPr>
          <w:rFonts w:ascii="Consolas" w:hAnsi="Consolas"/>
          <w:sz w:val="18"/>
        </w:rPr>
        <w:t>corpus/</w:t>
        <w:br/>
        <w:t xml:space="preserve">  text/&lt;sha256&gt;/page-042.md          plain Arabic text, logical order</w:t>
        <w:br/>
        <w:t xml:space="preserve">  meta/&lt;sha256&gt;/page-042.json        mean + min token confidence, boxes, flags</w:t>
        <w:br/>
        <w:t xml:space="preserve">  figures/&lt;sha256&gt;/page-042-fig-1.png</w:t>
      </w:r>
    </w:p>
    <w:p>
      <w:r>
        <w:rPr>
          <w:b/>
          <w:i w:val="0"/>
        </w:rPr>
        <w:t>Keep line breaks and blank lines. They are the only structural signal left once the layout is gone, and the segmentation step in the next phase uses them to find section boundaries.</w:t>
      </w:r>
    </w:p>
    <w:p>
      <w:pPr>
        <w:pStyle w:val="Heading1"/>
      </w:pPr>
      <w:r>
        <w:t>4. What it will not do</w:t>
      </w:r>
    </w:p>
    <w:tbl>
      <w:tblPr>
        <w:tblStyle w:val="TableGrid"/>
        <w:tblW w:type="auto" w:w="0"/>
        <w:jc w:val="left"/>
        <w:tblLook w:firstColumn="1" w:firstRow="1" w:lastColumn="0" w:lastRow="0" w:noHBand="0" w:noVBand="1" w:val="04A0"/>
      </w:tblPr>
      <w:tblGrid>
        <w:gridCol w:w="3362"/>
        <w:gridCol w:w="3362"/>
        <w:gridCol w:w="3362"/>
      </w:tblGrid>
      <w:tr>
        <w:tc>
          <w:tcPr>
            <w:tcW w:type="dxa" w:w="2494"/>
            <w:shd w:val="clear" w:fill="1F3B57"/>
          </w:tcPr>
          <w:p>
            <w:pPr>
              <w:spacing w:after="40"/>
            </w:pPr>
            <w:r/>
            <w:r>
              <w:rPr>
                <w:b/>
                <w:color w:val="FFFFFF"/>
                <w:sz w:val="19"/>
              </w:rPr>
              <w:t>Limitation</w:t>
            </w:r>
          </w:p>
        </w:tc>
        <w:tc>
          <w:tcPr>
            <w:tcW w:type="dxa" w:w="3175"/>
            <w:shd w:val="clear" w:fill="1F3B57"/>
          </w:tcPr>
          <w:p>
            <w:pPr>
              <w:spacing w:after="40"/>
            </w:pPr>
            <w:r/>
            <w:r>
              <w:rPr>
                <w:b/>
                <w:color w:val="FFFFFF"/>
                <w:sz w:val="19"/>
              </w:rPr>
              <w:t>Consequence</w:t>
            </w:r>
          </w:p>
        </w:tc>
        <w:tc>
          <w:tcPr>
            <w:tcW w:type="dxa" w:w="3515"/>
            <w:shd w:val="clear" w:fill="1F3B57"/>
          </w:tcPr>
          <w:p>
            <w:pPr>
              <w:spacing w:after="40"/>
            </w:pPr>
            <w:r/>
            <w:r>
              <w:rPr>
                <w:b/>
                <w:color w:val="FFFFFF"/>
                <w:sz w:val="19"/>
              </w:rPr>
              <w:t>Handling</w:t>
            </w:r>
          </w:p>
        </w:tc>
      </w:tr>
      <w:tr>
        <w:tc>
          <w:tcPr>
            <w:tcW w:type="dxa" w:w="2494"/>
          </w:tcPr>
          <w:p>
            <w:pPr>
              <w:spacing w:after="40"/>
            </w:pPr>
            <w:r/>
            <w:r>
              <w:rPr>
                <w:sz w:val="19"/>
              </w:rPr>
              <w:t>Returns text, not structure</w:t>
            </w:r>
          </w:p>
        </w:tc>
        <w:tc>
          <w:tcPr>
            <w:tcW w:type="dxa" w:w="3175"/>
          </w:tcPr>
          <w:p>
            <w:pPr>
              <w:spacing w:after="40"/>
            </w:pPr>
            <w:r/>
            <w:r>
              <w:rPr>
                <w:sz w:val="19"/>
              </w:rPr>
              <w:t>Headings arrive as plain lines</w:t>
            </w:r>
          </w:p>
        </w:tc>
        <w:tc>
          <w:tcPr>
            <w:tcW w:type="dxa" w:w="3515"/>
          </w:tcPr>
          <w:p>
            <w:pPr>
              <w:spacing w:after="40"/>
            </w:pPr>
            <w:r/>
            <w:r>
              <w:rPr>
                <w:sz w:val="19"/>
              </w:rPr>
              <w:t>Fine — the next phase infers sections from the text. Preserve line breaks.</w:t>
            </w:r>
          </w:p>
        </w:tc>
      </w:tr>
      <w:tr>
        <w:tc>
          <w:tcPr>
            <w:tcW w:type="dxa" w:w="2494"/>
          </w:tcPr>
          <w:p>
            <w:pPr>
              <w:spacing w:after="40"/>
            </w:pPr>
            <w:r/>
            <w:r>
              <w:rPr>
                <w:sz w:val="19"/>
              </w:rPr>
              <w:t>No LaTeX</w:t>
            </w:r>
          </w:p>
        </w:tc>
        <w:tc>
          <w:tcPr>
            <w:tcW w:type="dxa" w:w="3175"/>
          </w:tcPr>
          <w:p>
            <w:pPr>
              <w:spacing w:after="40"/>
            </w:pPr>
            <w:r/>
            <w:r>
              <w:rPr>
                <w:sz w:val="19"/>
              </w:rPr>
              <w:t>Irrelevant — no equations in these books</w:t>
            </w:r>
          </w:p>
        </w:tc>
        <w:tc>
          <w:tcPr>
            <w:tcW w:type="dxa" w:w="3515"/>
          </w:tcPr>
          <w:p>
            <w:pPr>
              <w:spacing w:after="40"/>
            </w:pPr>
            <w:r/>
            <w:r>
              <w:rPr>
                <w:sz w:val="19"/>
              </w:rPr>
              <w:t>—</w:t>
            </w:r>
          </w:p>
        </w:tc>
      </w:tr>
      <w:tr>
        <w:tc>
          <w:tcPr>
            <w:tcW w:type="dxa" w:w="2494"/>
          </w:tcPr>
          <w:p>
            <w:pPr>
              <w:spacing w:after="40"/>
            </w:pPr>
            <w:r/>
            <w:r>
              <w:rPr>
                <w:sz w:val="19"/>
              </w:rPr>
              <w:t>Drops tashkeel</w:t>
            </w:r>
          </w:p>
        </w:tc>
        <w:tc>
          <w:tcPr>
            <w:tcW w:type="dxa" w:w="3175"/>
          </w:tcPr>
          <w:p>
            <w:pPr>
              <w:spacing w:after="40"/>
            </w:pPr>
            <w:r/>
            <w:r>
              <w:rPr>
                <w:sz w:val="19"/>
              </w:rPr>
              <w:t>Irrelevant here</w:t>
            </w:r>
          </w:p>
        </w:tc>
        <w:tc>
          <w:tcPr>
            <w:tcW w:type="dxa" w:w="3515"/>
          </w:tcPr>
          <w:p>
            <w:pPr>
              <w:spacing w:after="40"/>
            </w:pPr>
            <w:r/>
            <w:r>
              <w:rPr>
                <w:sz w:val="19"/>
              </w:rPr>
              <w:t>Literature and grammar stay on the vision model</w:t>
            </w:r>
          </w:p>
        </w:tc>
      </w:tr>
      <w:tr>
        <w:tc>
          <w:tcPr>
            <w:tcW w:type="dxa" w:w="2494"/>
          </w:tcPr>
          <w:p>
            <w:pPr>
              <w:spacing w:after="40"/>
            </w:pPr>
            <w:r/>
            <w:r>
              <w:rPr>
                <w:sz w:val="19"/>
              </w:rPr>
              <w:t>Weak on maps, charts and complex tables</w:t>
            </w:r>
          </w:p>
        </w:tc>
        <w:tc>
          <w:tcPr>
            <w:tcW w:type="dxa" w:w="3175"/>
          </w:tcPr>
          <w:p>
            <w:pPr>
              <w:spacing w:after="40"/>
            </w:pPr>
            <w:r/>
            <w:r>
              <w:rPr>
                <w:sz w:val="19"/>
              </w:rPr>
              <w:t>Geography and economics lose their content</w:t>
            </w:r>
          </w:p>
        </w:tc>
        <w:tc>
          <w:tcPr>
            <w:tcW w:type="dxa" w:w="3515"/>
          </w:tcPr>
          <w:p>
            <w:pPr>
              <w:spacing w:after="40"/>
            </w:pPr>
            <w:r/>
            <w:r>
              <w:rPr>
                <w:sz w:val="19"/>
              </w:rPr>
              <w:t>Route those pages to the vision model — about 20% of the set</w:t>
            </w:r>
          </w:p>
        </w:tc>
      </w:tr>
      <w:tr>
        <w:tc>
          <w:tcPr>
            <w:tcW w:type="dxa" w:w="2494"/>
          </w:tcPr>
          <w:p>
            <w:pPr>
              <w:spacing w:after="40"/>
            </w:pPr>
            <w:r/>
            <w:r>
              <w:rPr>
                <w:sz w:val="19"/>
              </w:rPr>
              <w:t>No figure description</w:t>
            </w:r>
          </w:p>
        </w:tc>
        <w:tc>
          <w:tcPr>
            <w:tcW w:type="dxa" w:w="3175"/>
          </w:tcPr>
          <w:p>
            <w:pPr>
              <w:spacing w:after="40"/>
            </w:pPr>
            <w:r/>
            <w:r>
              <w:rPr>
                <w:sz w:val="19"/>
              </w:rPr>
              <w:t>A map is a box with no meaning</w:t>
            </w:r>
          </w:p>
        </w:tc>
        <w:tc>
          <w:tcPr>
            <w:tcW w:type="dxa" w:w="3515"/>
          </w:tcPr>
          <w:p>
            <w:pPr>
              <w:spacing w:after="40"/>
            </w:pPr>
            <w:r/>
            <w:r>
              <w:rPr>
                <w:sz w:val="19"/>
              </w:rPr>
              <w:t>Vision model writes the [figure: …] line for flagged pages</w:t>
            </w:r>
          </w:p>
        </w:tc>
      </w:tr>
    </w:tbl>
    <w:p>
      <w:pPr>
        <w:spacing w:after="40"/>
      </w:pPr>
    </w:p>
    <w:p>
      <w:pPr>
        <w:pStyle w:val="Heading1"/>
      </w:pPr>
      <w:r>
        <w:t>5. Cost</w:t>
      </w:r>
    </w:p>
    <w:tbl>
      <w:tblPr>
        <w:tblStyle w:val="TableGrid"/>
        <w:tblW w:type="auto" w:w="0"/>
        <w:jc w:val="left"/>
        <w:tblLook w:firstColumn="1" w:firstRow="1" w:lastColumn="0" w:lastRow="0" w:noHBand="0" w:noVBand="1" w:val="04A0"/>
      </w:tblPr>
      <w:tblGrid>
        <w:gridCol w:w="3362"/>
        <w:gridCol w:w="3362"/>
        <w:gridCol w:w="3362"/>
      </w:tblGrid>
      <w:tr>
        <w:tc>
          <w:tcPr>
            <w:tcW w:type="dxa" w:w="4535"/>
            <w:shd w:val="clear" w:fill="1F3B57"/>
          </w:tcPr>
          <w:p>
            <w:pPr>
              <w:spacing w:after="40"/>
            </w:pPr>
            <w:r/>
            <w:r>
              <w:rPr>
                <w:b/>
                <w:color w:val="FFFFFF"/>
                <w:sz w:val="19"/>
              </w:rPr>
              <w:t>Item</w:t>
            </w:r>
          </w:p>
        </w:tc>
        <w:tc>
          <w:tcPr>
            <w:tcW w:type="dxa" w:w="1701"/>
            <w:shd w:val="clear" w:fill="1F3B57"/>
          </w:tcPr>
          <w:p>
            <w:pPr>
              <w:spacing w:after="40"/>
            </w:pPr>
            <w:r/>
            <w:r>
              <w:rPr>
                <w:b/>
                <w:color w:val="FFFFFF"/>
                <w:sz w:val="19"/>
              </w:rPr>
              <w:t>Pages</w:t>
            </w:r>
          </w:p>
        </w:tc>
        <w:tc>
          <w:tcPr>
            <w:tcW w:type="dxa" w:w="2948"/>
            <w:shd w:val="clear" w:fill="1F3B57"/>
          </w:tcPr>
          <w:p>
            <w:pPr>
              <w:spacing w:after="40"/>
            </w:pPr>
            <w:r/>
            <w:r>
              <w:rPr>
                <w:b/>
                <w:color w:val="FFFFFF"/>
                <w:sz w:val="19"/>
              </w:rPr>
              <w:t>Cost</w:t>
            </w:r>
          </w:p>
        </w:tc>
      </w:tr>
      <w:tr>
        <w:tc>
          <w:tcPr>
            <w:tcW w:type="dxa" w:w="4535"/>
          </w:tcPr>
          <w:p>
            <w:pPr>
              <w:spacing w:after="40"/>
            </w:pPr>
            <w:r/>
            <w:r>
              <w:rPr>
                <w:sz w:val="19"/>
              </w:rPr>
              <w:t>Document AI</w:t>
            </w:r>
          </w:p>
        </w:tc>
        <w:tc>
          <w:tcPr>
            <w:tcW w:type="dxa" w:w="1701"/>
          </w:tcPr>
          <w:p>
            <w:pPr>
              <w:spacing w:after="40"/>
            </w:pPr>
            <w:r/>
            <w:r>
              <w:rPr>
                <w:sz w:val="19"/>
              </w:rPr>
              <w:t>1,749</w:t>
            </w:r>
          </w:p>
        </w:tc>
        <w:tc>
          <w:tcPr>
            <w:tcW w:type="dxa" w:w="2948"/>
          </w:tcPr>
          <w:p>
            <w:pPr>
              <w:spacing w:after="40"/>
            </w:pPr>
            <w:r/>
            <w:r>
              <w:rPr>
                <w:sz w:val="19"/>
              </w:rPr>
              <w:t>$2.60</w:t>
            </w:r>
          </w:p>
        </w:tc>
      </w:tr>
      <w:tr>
        <w:tc>
          <w:tcPr>
            <w:tcW w:type="dxa" w:w="4535"/>
          </w:tcPr>
          <w:p>
            <w:pPr>
              <w:spacing w:after="40"/>
            </w:pPr>
            <w:r/>
            <w:r>
              <w:rPr>
                <w:sz w:val="19"/>
              </w:rPr>
              <w:t>Vision model on figure, map and table pages</w:t>
            </w:r>
          </w:p>
        </w:tc>
        <w:tc>
          <w:tcPr>
            <w:tcW w:type="dxa" w:w="1701"/>
          </w:tcPr>
          <w:p>
            <w:pPr>
              <w:spacing w:after="40"/>
            </w:pPr>
            <w:r/>
            <w:r>
              <w:rPr>
                <w:sz w:val="19"/>
              </w:rPr>
              <w:t>~350</w:t>
            </w:r>
          </w:p>
        </w:tc>
        <w:tc>
          <w:tcPr>
            <w:tcW w:type="dxa" w:w="2948"/>
          </w:tcPr>
          <w:p>
            <w:pPr>
              <w:spacing w:after="40"/>
            </w:pPr>
            <w:r/>
            <w:r>
              <w:rPr>
                <w:sz w:val="19"/>
              </w:rPr>
              <w:t>$7.35</w:t>
            </w:r>
          </w:p>
        </w:tc>
      </w:tr>
      <w:tr>
        <w:tc>
          <w:tcPr>
            <w:tcW w:type="dxa" w:w="4535"/>
          </w:tcPr>
          <w:p>
            <w:pPr>
              <w:spacing w:after="40"/>
            </w:pPr>
            <w:r/>
            <w:r>
              <w:rPr>
                <w:sz w:val="19"/>
              </w:rPr>
              <w:t>Escalation on low-confidence pages (~8%)</w:t>
            </w:r>
          </w:p>
        </w:tc>
        <w:tc>
          <w:tcPr>
            <w:tcW w:type="dxa" w:w="1701"/>
          </w:tcPr>
          <w:p>
            <w:pPr>
              <w:spacing w:after="40"/>
            </w:pPr>
            <w:r/>
            <w:r>
              <w:rPr>
                <w:sz w:val="19"/>
              </w:rPr>
              <w:t>~140</w:t>
            </w:r>
          </w:p>
        </w:tc>
        <w:tc>
          <w:tcPr>
            <w:tcW w:type="dxa" w:w="2948"/>
          </w:tcPr>
          <w:p>
            <w:pPr>
              <w:spacing w:after="40"/>
            </w:pPr>
            <w:r/>
            <w:r>
              <w:rPr>
                <w:sz w:val="19"/>
              </w:rPr>
              <w:t>$3.00</w:t>
            </w:r>
          </w:p>
        </w:tc>
      </w:tr>
      <w:tr>
        <w:tc>
          <w:tcPr>
            <w:tcW w:type="dxa" w:w="4535"/>
          </w:tcPr>
          <w:p>
            <w:pPr>
              <w:spacing w:after="40"/>
            </w:pPr>
            <w:r/>
            <w:r>
              <w:rPr>
                <w:sz w:val="19"/>
              </w:rPr>
              <w:t>Total</w:t>
            </w:r>
          </w:p>
        </w:tc>
        <w:tc>
          <w:tcPr>
            <w:tcW w:type="dxa" w:w="1701"/>
          </w:tcPr>
          <w:p>
            <w:pPr>
              <w:spacing w:after="40"/>
            </w:pPr>
            <w:r/>
            <w:r>
              <w:rPr>
                <w:sz w:val="19"/>
              </w:rPr>
            </w:r>
          </w:p>
        </w:tc>
        <w:tc>
          <w:tcPr>
            <w:tcW w:type="dxa" w:w="2948"/>
          </w:tcPr>
          <w:p>
            <w:pPr>
              <w:spacing w:after="40"/>
            </w:pPr>
            <w:r/>
            <w:r>
              <w:rPr>
                <w:sz w:val="19"/>
              </w:rPr>
              <w:t>≈ $13</w:t>
            </w:r>
          </w:p>
        </w:tc>
      </w:tr>
    </w:tbl>
    <w:p>
      <w:pPr>
        <w:spacing w:after="40"/>
      </w:pPr>
    </w:p>
    <w:p>
      <w:r>
        <w:rPr>
          <w:b w:val="0"/>
          <w:i/>
        </w:rPr>
        <w:t>Against roughly $37 if all 1,749 pages went through the vision model. Both figures are small — the reason to take this route is that it runs in minutes and uses each tool for what it is good at, not the $24.</w:t>
      </w:r>
    </w:p>
    <w:p>
      <w:pPr>
        <w:pStyle w:val="Heading1"/>
      </w:pPr>
      <w:r>
        <w:t>6. Gates — confidence replaces the second reader</w:t>
      </w:r>
    </w:p>
    <w:p>
      <w:pPr>
        <w:pStyle w:val="ListBullet"/>
        <w:spacing w:after="40"/>
      </w:pPr>
      <w:r>
        <w:t>Mean token confidence below threshold → re-read with the vision model. Set the threshold from the test pages, not from a guess.</w:t>
      </w:r>
    </w:p>
    <w:p>
      <w:pPr>
        <w:pStyle w:val="ListBullet"/>
        <w:spacing w:after="40"/>
      </w:pPr>
      <w:r>
        <w:t>Character count outside the normal band for that book → a paragraph was probably skipped.</w:t>
      </w:r>
    </w:p>
    <w:p>
      <w:pPr>
        <w:pStyle w:val="ListBullet"/>
        <w:spacing w:after="40"/>
      </w:pPr>
      <w:r>
        <w:t>N-gram repetition → the reader looped on a degraded page.</w:t>
      </w:r>
    </w:p>
    <w:p>
      <w:pPr>
        <w:pStyle w:val="ListBullet"/>
        <w:spacing w:after="40"/>
      </w:pPr>
      <w:r>
        <w:t>Every detected figure or table box has a crop saved.</w:t>
      </w:r>
    </w:p>
    <w:p>
      <w:pPr>
        <w:pStyle w:val="ListBullet"/>
        <w:spacing w:after="40"/>
      </w:pPr>
      <w:r>
        <w:t>Transcribed page count equals the PDF page count. This one blocks the book.</w:t>
      </w:r>
    </w:p>
    <w:p>
      <w:r>
        <w:rPr>
          <w:b/>
          <w:i w:val="0"/>
        </w:rPr>
        <w:t>Skipped and duplicated paragraphs are the real failure mode for prose, not wrong characters. They are invisible in the output, which is why the count and repetition checks matter more here than anywhere else in the corpus.</w:t>
      </w:r>
    </w:p>
    <w:p>
      <w:pPr>
        <w:pStyle w:val="Heading1"/>
      </w:pPr>
      <w:r>
        <w:t>7. Start here</w:t>
      </w:r>
    </w:p>
    <w:tbl>
      <w:tblPr>
        <w:tblStyle w:val="TableGrid"/>
        <w:tblW w:type="auto" w:w="0"/>
        <w:jc w:val="left"/>
        <w:tblLook w:firstColumn="1" w:firstRow="1" w:lastColumn="0" w:lastRow="0" w:noHBand="0" w:noVBand="1" w:val="04A0"/>
      </w:tblPr>
      <w:tblGrid>
        <w:gridCol w:w="3362"/>
        <w:gridCol w:w="3362"/>
        <w:gridCol w:w="3362"/>
      </w:tblGrid>
      <w:tr>
        <w:tc>
          <w:tcPr>
            <w:tcW w:type="dxa" w:w="1020"/>
            <w:shd w:val="clear" w:fill="1F3B57"/>
          </w:tcPr>
          <w:p>
            <w:pPr>
              <w:spacing w:after="40"/>
            </w:pPr>
            <w:r/>
            <w:r>
              <w:rPr>
                <w:b/>
                <w:color w:val="FFFFFF"/>
                <w:sz w:val="19"/>
              </w:rPr>
              <w:t>Pages</w:t>
            </w:r>
          </w:p>
        </w:tc>
        <w:tc>
          <w:tcPr>
            <w:tcW w:type="dxa" w:w="3855"/>
            <w:shd w:val="clear" w:fill="1F3B57"/>
          </w:tcPr>
          <w:p>
            <w:pPr>
              <w:spacing w:after="40"/>
            </w:pPr>
            <w:r/>
            <w:r>
              <w:rPr>
                <w:b/>
                <w:color w:val="FFFFFF"/>
                <w:sz w:val="19"/>
              </w:rPr>
              <w:t>From</w:t>
            </w:r>
          </w:p>
        </w:tc>
        <w:tc>
          <w:tcPr>
            <w:tcW w:type="dxa" w:w="4309"/>
            <w:shd w:val="clear" w:fill="1F3B57"/>
          </w:tcPr>
          <w:p>
            <w:pPr>
              <w:spacing w:after="40"/>
            </w:pPr>
            <w:r/>
            <w:r>
              <w:rPr>
                <w:b/>
                <w:color w:val="FFFFFF"/>
                <w:sz w:val="19"/>
              </w:rPr>
              <w:t>Tests</w:t>
            </w:r>
          </w:p>
        </w:tc>
      </w:tr>
      <w:tr>
        <w:tc>
          <w:tcPr>
            <w:tcW w:type="dxa" w:w="1020"/>
          </w:tcPr>
          <w:p>
            <w:pPr>
              <w:spacing w:after="40"/>
            </w:pPr>
            <w:r/>
            <w:r>
              <w:rPr>
                <w:sz w:val="19"/>
              </w:rPr>
              <w:t>10</w:t>
            </w:r>
          </w:p>
        </w:tc>
        <w:tc>
          <w:tcPr>
            <w:tcW w:type="dxa" w:w="3855"/>
          </w:tcPr>
          <w:p>
            <w:pPr>
              <w:spacing w:after="40"/>
            </w:pPr>
            <w:r/>
            <w:r>
              <w:rPr>
                <w:sz w:val="19"/>
              </w:rPr>
              <w:t>الفلسفة العامة — dense prose</w:t>
            </w:r>
          </w:p>
        </w:tc>
        <w:tc>
          <w:tcPr>
            <w:tcW w:type="dxa" w:w="4309"/>
          </w:tcPr>
          <w:p>
            <w:pPr>
              <w:spacing w:after="40"/>
            </w:pPr>
            <w:r/>
            <w:r>
              <w:rPr>
                <w:sz w:val="19"/>
              </w:rPr>
              <w:t>Reading order, paragraph completeness, confidence baseline</w:t>
            </w:r>
          </w:p>
        </w:tc>
      </w:tr>
      <w:tr>
        <w:tc>
          <w:tcPr>
            <w:tcW w:type="dxa" w:w="1020"/>
          </w:tcPr>
          <w:p>
            <w:pPr>
              <w:spacing w:after="40"/>
            </w:pPr>
            <w:r/>
            <w:r>
              <w:rPr>
                <w:sz w:val="19"/>
              </w:rPr>
              <w:t>10</w:t>
            </w:r>
          </w:p>
        </w:tc>
        <w:tc>
          <w:tcPr>
            <w:tcW w:type="dxa" w:w="3855"/>
          </w:tcPr>
          <w:p>
            <w:pPr>
              <w:spacing w:after="40"/>
            </w:pPr>
            <w:r/>
            <w:r>
              <w:rPr>
                <w:sz w:val="19"/>
              </w:rPr>
              <w:t>المجال العالمي — maps and statistics tables</w:t>
            </w:r>
          </w:p>
        </w:tc>
        <w:tc>
          <w:tcPr>
            <w:tcW w:type="dxa" w:w="4309"/>
          </w:tcPr>
          <w:p>
            <w:pPr>
              <w:spacing w:after="40"/>
            </w:pPr>
            <w:r/>
            <w:r>
              <w:rPr>
                <w:sz w:val="19"/>
              </w:rPr>
              <w:t>Whether Document AI is enough, or the page must go to the vision model</w:t>
            </w:r>
          </w:p>
        </w:tc>
      </w:tr>
      <w:tr>
        <w:tc>
          <w:tcPr>
            <w:tcW w:type="dxa" w:w="1020"/>
          </w:tcPr>
          <w:p>
            <w:pPr>
              <w:spacing w:after="40"/>
            </w:pPr>
            <w:r/>
            <w:r>
              <w:rPr>
                <w:sz w:val="19"/>
              </w:rPr>
              <w:t>10</w:t>
            </w:r>
          </w:p>
        </w:tc>
        <w:tc>
          <w:tcPr>
            <w:tcW w:type="dxa" w:w="3855"/>
          </w:tcPr>
          <w:p>
            <w:pPr>
              <w:spacing w:after="40"/>
            </w:pPr>
            <w:r/>
            <w:r>
              <w:rPr>
                <w:sz w:val="19"/>
              </w:rPr>
              <w:t>الاقتصاد — prose with charts</w:t>
            </w:r>
          </w:p>
        </w:tc>
        <w:tc>
          <w:tcPr>
            <w:tcW w:type="dxa" w:w="4309"/>
          </w:tcPr>
          <w:p>
            <w:pPr>
              <w:spacing w:after="40"/>
            </w:pPr>
            <w:r/>
            <w:r>
              <w:rPr>
                <w:sz w:val="19"/>
              </w:rPr>
              <w:t>The 20% routing assumption</w:t>
            </w:r>
          </w:p>
        </w:tc>
      </w:tr>
    </w:tbl>
    <w:p>
      <w:pPr>
        <w:spacing w:after="40"/>
      </w:pPr>
    </w:p>
    <w:p>
      <w:pPr>
        <w:pStyle w:val="ListNumber"/>
        <w:spacing w:after="40"/>
      </w:pPr>
      <w:r>
        <w:t>Run the 30 pages through Document AI and read the output against the originals.</w:t>
      </w:r>
    </w:p>
    <w:p>
      <w:pPr>
        <w:pStyle w:val="ListNumber"/>
        <w:spacing w:after="40"/>
      </w:pPr>
      <w:r>
        <w:t>Set the confidence threshold and the character-count bands from what you see.</w:t>
      </w:r>
    </w:p>
    <w:p>
      <w:pPr>
        <w:pStyle w:val="ListNumber"/>
        <w:spacing w:after="40"/>
      </w:pPr>
      <w:r>
        <w:t>Measure how many pages actually need the vision model. The 20% figure is an assumption.</w:t>
      </w:r>
    </w:p>
    <w:p>
      <w:pPr>
        <w:pStyle w:val="ListNumber"/>
        <w:spacing w:after="40"/>
      </w:pPr>
      <w:r>
        <w:t>Then run الفلسفة العامة end to end — 361 pages, the largest and simplest book in the set.</w:t>
      </w:r>
    </w:p>
    <w:p>
      <w:pPr>
        <w:pStyle w:val="ListNumber"/>
        <w:spacing w:after="40"/>
      </w:pPr>
      <w:r>
        <w:t>Find التاريخ. It is still missing from all four track sheets.</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