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Transportation Services Agreement</w:t>
      </w:r>
    </w:p>
    <w:p>
      <w:r>
        <w:t>This Transportation Services Agreement (the "Agreement") is entered into as of March 1, 2026 by and between Brightline Logistics Corp. ("Carrier") and Acme Robotics, Inc. ("Shipper").</w:t>
      </w:r>
    </w:p>
    <w:p>
      <w:pPr>
        <w:pStyle w:val="Heading1"/>
      </w:pPr>
      <w:r>
        <w:t>1. Scope</w:t>
      </w:r>
    </w:p>
    <w:p>
      <w:r>
        <w:t>Carrier will transport Shipper's goods between the locations listed in Schedule A using equipment that meets all applicable safety regulations.</w:t>
      </w:r>
    </w:p>
    <w:p>
      <w:pPr>
        <w:pStyle w:val="Heading1"/>
      </w:pPr>
      <w:r>
        <w:t>2. Rates</w:t>
      </w:r>
    </w:p>
    <w:p>
      <w:r>
        <w:t>Rates are set out in Schedule A. The estimated contract value for the initial term is $120,000.00, which is not a minimum commitment.</w:t>
      </w:r>
    </w:p>
    <w:p>
      <w:pPr>
        <w:pStyle w:val="Heading1"/>
      </w:pPr>
      <w:r>
        <w:t>3. Term</w:t>
      </w:r>
    </w:p>
    <w:p>
      <w:r>
        <w:t>The initial term of this Agreement is twelve (12) months. It will automatically renew for one-year terms unless terminated with ninety (90) days' prior written notice.</w:t>
      </w:r>
    </w:p>
    <w:p>
      <w:pPr>
        <w:pStyle w:val="Heading1"/>
      </w:pPr>
      <w:r>
        <w:t>4. Governing Law</w:t>
      </w:r>
    </w:p>
    <w:p>
      <w:r>
        <w:t>This Agreement is governed by the laws of the State of Nevada.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Transportation Services Agreement</dc:title>
  <dc:subject/>
  <dc:creator>Acme Robotics Legal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