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Services Agreement</w:t>
      </w:r>
    </w:p>
    <w:p>
      <w:r>
        <w:t>This Master Services Agreement (the "Agreement") is entered into as of January 15, 2026 (the "Effective Date") by and between Helios Cloud Services, Inc. ("Provider") and Acme Robotics, Inc. ("Customer").</w:t>
      </w:r>
    </w:p>
    <w:p>
      <w:pPr>
        <w:pStyle w:val="Heading1"/>
      </w:pPr>
      <w:r>
        <w:t>1. Services</w:t>
      </w:r>
    </w:p>
    <w:p>
      <w:r>
        <w:t>Provider will make the hosted compute, storage and support services described in each Order Form available to Customer during the Term.</w:t>
      </w:r>
    </w:p>
    <w:p>
      <w:r>
        <w:t>Provider will maintain availability of at least 99.9% measured monthly, excluding scheduled maintenance announced at least 72 hours in advance.</w:t>
      </w:r>
    </w:p>
    <w:p>
      <w:pPr>
        <w:pStyle w:val="Heading1"/>
      </w:pPr>
      <w:r>
        <w:t>2. Term and Renewal</w:t>
      </w:r>
    </w:p>
    <w:p>
      <w:r>
        <w:t>The initial term of this Agreement is twenty-four (24) months from the Effective Date and ends on January 14, 2028.</w:t>
      </w:r>
    </w:p>
    <w:p>
      <w:r>
        <w:t>This Agreement will automatically renew for successive twelve-month periods unless either party gives sixty (60) days' prior written notice of non-renewal.</w:t>
      </w:r>
    </w:p>
    <w:p>
      <w:pPr>
        <w:pStyle w:val="Heading1"/>
      </w:pPr>
      <w:r>
        <w:t>3. Fees and Payment</w:t>
      </w:r>
    </w:p>
    <w:p>
      <w:r>
        <w:t>Customer will pay total fees of $486,000.00 over the initial term, invoiced monthly in arrears. Amounts are stated in USD.</w:t>
      </w:r>
    </w:p>
    <w:p>
      <w:r>
        <w:t>Invoices are payable within thirty (30) days. Late amounts accrue interest at 1% per month.</w:t>
      </w:r>
    </w:p>
    <w:p>
      <w:pPr>
        <w:pStyle w:val="Heading1"/>
      </w:pPr>
      <w:r>
        <w:t>4. Confidentiality</w:t>
      </w:r>
    </w:p>
    <w:p>
      <w:r>
        <w:t>Each party will protect the other party's Confidential Information with at least the same degree of care it uses for its own, and no less than reasonable care.</w:t>
      </w:r>
    </w:p>
    <w:p>
      <w:pPr>
        <w:pStyle w:val="Heading1"/>
      </w:pPr>
      <w:r>
        <w:t>5. Limitation of Liability</w:t>
      </w:r>
    </w:p>
    <w:p>
      <w:r>
        <w:t>Except for breaches of Section 4, neither party's aggregate liability will exceed the fees paid in the twelve months preceding the claim.</w:t>
      </w:r>
    </w:p>
    <w:p>
      <w:pPr>
        <w:pStyle w:val="Heading1"/>
      </w:pPr>
      <w:r>
        <w:t>6. Governing Law</w:t>
      </w:r>
    </w:p>
    <w:p>
      <w:r>
        <w:t>This Agreement is governed by the laws of the State of California, without regard to its conflict of laws principles.</w:t>
      </w:r>
    </w:p>
    <w:p>
      <w:pPr>
        <w:pStyle w:val="Heading1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Party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Helios Cloud Services, Inc.</w:t>
            </w:r>
          </w:p>
        </w:tc>
        <w:tc>
          <w:tcPr>
            <w:tcW w:type="dxa" w:w="2880"/>
          </w:tcPr>
          <w:p>
            <w:r>
              <w:t>Dana Whitfield</w:t>
            </w:r>
          </w:p>
        </w:tc>
        <w:tc>
          <w:tcPr>
            <w:tcW w:type="dxa" w:w="2880"/>
          </w:tcPr>
          <w:p>
            <w:r>
              <w:t>Chief Revenue Officer</w:t>
            </w:r>
          </w:p>
        </w:tc>
      </w:tr>
      <w:tr>
        <w:tc>
          <w:tcPr>
            <w:tcW w:type="dxa" w:w="2880"/>
          </w:tcPr>
          <w:p>
            <w:r>
              <w:t>Acme Robotics, Inc.</w:t>
            </w:r>
          </w:p>
        </w:tc>
        <w:tc>
          <w:tcPr>
            <w:tcW w:type="dxa" w:w="2880"/>
          </w:tcPr>
          <w:p>
            <w:r>
              <w:t>Priya Raman</w:t>
            </w:r>
          </w:p>
        </w:tc>
        <w:tc>
          <w:tcPr>
            <w:tcW w:type="dxa" w:w="2880"/>
          </w:tcPr>
          <w:p>
            <w:r>
              <w:t>Chief Financial Officer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Services Agreement</dc:title>
  <dc:subject/>
  <dc:creator>Acme Robotics Legal</dc:creator>
  <cp:keywords/>
  <dc:description>generated by python-docx</dc:description>
  <cp:lastModifiedBy/>
  <cp:revision>1</cp:revision>
  <dcterms:created xsi:type="dcterms:W3CDTF">2026-04-15T09:00:00Z</dcterms:created>
  <dcterms:modified xsi:type="dcterms:W3CDTF">2026-04-15T09:00:00Z</dcterms:modified>
  <cp:category/>
</cp:coreProperties>
</file>