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after="120" w:before="480"/>
        <w:jc w:val="center"/>
      </w:pPr>
      <w:r>
        <w:rPr>
          <w:b/>
          <w:bCs/>
          <w:color w:val="1a2b4a"/>
          <w:sz w:val="96"/>
          <w:szCs w:val="96"/>
        </w:rPr>
        <w:t xml:space="preserve">OSEye</w:t>
      </w:r>
    </w:p>
    <w:p>
      <w:pPr>
        <w:spacing w:after="80" w:before="0"/>
        <w:jc w:val="center"/>
      </w:pPr>
      <w:r>
        <w:rPr>
          <w:color w:val="4a6080"/>
          <w:sz w:val="36"/>
          <w:szCs w:val="36"/>
        </w:rPr>
        <w:t xml:space="preserve">Cahier des Charges Fonctionnel et Technique</w:t>
      </w:r>
    </w:p>
    <w:p>
      <w:pPr>
        <w:spacing w:after="480" w:before="0"/>
        <w:jc w:val="center"/>
      </w:pPr>
      <w:r>
        <w:rPr>
          <w:i/>
          <w:iCs/>
          <w:color w:val="2e6da4"/>
          <w:sz w:val="28"/>
          <w:szCs w:val="28"/>
        </w:rPr>
        <w:t xml:space="preserve">Software Architecture Document</w:t>
      </w:r>
    </w:p>
    <w:p>
      <w:pPr>
        <w:spacing w:after="120" w:before="0"/>
        <w:jc w:val="center"/>
      </w:pPr>
      <w:r>
        <w:rPr>
          <w:b/>
          <w:bCs/>
          <w:color w:val="2e6da4"/>
          <w:sz w:val="40"/>
          <w:szCs w:val="40"/>
        </w:rPr>
        <w:t xml:space="preserve">v4.0</w:t>
      </w:r>
    </w:p>
    <w:p>
      <w:pPr>
        <w:spacing w:after="480" w:before="0"/>
        <w:jc w:val="center"/>
      </w:pPr>
      <w:r>
        <w:rPr>
          <w:i/>
          <w:iCs/>
          <w:color w:val="4a6080"/>
          <w:sz w:val="22"/>
          <w:szCs w:val="22"/>
        </w:rPr>
        <w:t xml:space="preserve">Plateforme avancée d'audit, de surveillance et d'analyse comportementale des systèmes</w:t>
      </w:r>
    </w:p>
    <w:p/>
    <w:p/>
    <w:tbl>
      <w:tblPr>
        <w:tblW w:type="dxa" w:w="8000"/>
        <w:tblBorders>
          <w:top w:val="single" w:color="2e6da4" w:sz="2"/>
          <w:left w:val="single" w:color="2e6da4" w:sz="2"/>
          <w:bottom w:val="single" w:color="2e6da4" w:sz="2"/>
          <w:right w:val="single" w:color="2e6da4" w:sz="2"/>
          <w:insideH w:val="single" w:color="auto" w:sz="4"/>
          <w:insideV w:val="single" w:color="auto" w:sz="4"/>
        </w:tblBorders>
      </w:tblPr>
      <w:tblGrid>
        <w:gridCol w:w="100"/>
        <w:gridCol w:w="100"/>
      </w:tblGrid>
      <w:tr>
        <w:tc>
          <w:tcPr>
            <w:tcW w:type="dxa" w:w="2500"/>
            <w:shd w:fill="1a2b4a" w:color="auto" w:val="clear"/>
            <w:vAlign w:val="center"/>
          </w:tcPr>
          <w:p>
            <w:pPr>
              <w:spacing w:after="60" w:before="60"/>
              <w:ind w:left="120" w:right="60"/>
            </w:pPr>
            <w:r>
              <w:rPr>
                <w:b/>
                <w:bCs/>
                <w:color w:val="FFFFFF"/>
                <w:sz w:val="20"/>
                <w:szCs w:val="20"/>
              </w:rPr>
              <w:t xml:space="preserve">Propriété</w:t>
            </w:r>
          </w:p>
        </w:tc>
        <w:tc>
          <w:tcPr>
            <w:tcW w:type="dxa" w:w="5500"/>
            <w:shd w:fill="1a2b4a" w:color="auto" w:val="clear"/>
            <w:vAlign w:val="center"/>
          </w:tcPr>
          <w:p>
            <w:pPr>
              <w:spacing w:after="60" w:before="60"/>
              <w:ind w:left="120" w:right="120"/>
            </w:pPr>
            <w:r>
              <w:rPr>
                <w:b/>
                <w:bCs/>
                <w:color w:val="FFFFFF"/>
                <w:sz w:val="20"/>
                <w:szCs w:val="20"/>
              </w:rPr>
              <w:t xml:space="preserve">Valeur</w:t>
            </w:r>
          </w:p>
        </w:tc>
      </w:tr>
      <w:tr>
        <w:tc>
          <w:tcPr>
            <w:tcW w:type="dxa" w:w="2500"/>
            <w:shd w:fill="FFFFFF" w:color="auto" w:val="clear"/>
            <w:vAlign w:val="center"/>
          </w:tcPr>
          <w:p>
            <w:pPr>
              <w:spacing w:after="60" w:before="60"/>
              <w:ind w:left="120" w:right="60"/>
            </w:pPr>
            <w:r>
              <w:rPr>
                <w:b w:val="false"/>
                <w:bCs w:val="false"/>
                <w:color w:val="222222"/>
                <w:sz w:val="20"/>
                <w:szCs w:val="20"/>
              </w:rPr>
              <w:t xml:space="preserve">Document</w:t>
            </w:r>
          </w:p>
        </w:tc>
        <w:tc>
          <w:tcPr>
            <w:tcW w:type="dxa" w:w="5500"/>
            <w:shd w:fill="FFFFFF" w:color="auto" w:val="clear"/>
            <w:vAlign w:val="center"/>
          </w:tcPr>
          <w:p>
            <w:pPr>
              <w:spacing w:after="60" w:before="60"/>
              <w:ind w:left="120" w:right="120"/>
            </w:pPr>
            <w:r>
              <w:rPr>
                <w:b w:val="false"/>
                <w:bCs w:val="false"/>
                <w:color w:val="333333"/>
                <w:sz w:val="20"/>
                <w:szCs w:val="20"/>
              </w:rPr>
              <w:t xml:space="preserve">Cahier des charges fonctionnel et technique</w:t>
            </w:r>
          </w:p>
        </w:tc>
      </w:tr>
      <w:tr>
        <w:tc>
          <w:tcPr>
            <w:tcW w:type="dxa" w:w="2500"/>
            <w:shd w:fill="f5f7fa" w:color="auto" w:val="clear"/>
            <w:vAlign w:val="center"/>
          </w:tcPr>
          <w:p>
            <w:pPr>
              <w:spacing w:after="60" w:before="60"/>
              <w:ind w:left="120" w:right="60"/>
            </w:pPr>
            <w:r>
              <w:rPr>
                <w:b w:val="false"/>
                <w:bCs w:val="false"/>
                <w:color w:val="222222"/>
                <w:sz w:val="20"/>
                <w:szCs w:val="20"/>
              </w:rPr>
              <w:t xml:space="preserve">Version</w:t>
            </w:r>
          </w:p>
        </w:tc>
        <w:tc>
          <w:tcPr>
            <w:tcW w:type="dxa" w:w="5500"/>
            <w:shd w:fill="f5f7fa" w:color="auto" w:val="clear"/>
            <w:vAlign w:val="center"/>
          </w:tcPr>
          <w:p>
            <w:pPr>
              <w:spacing w:after="60" w:before="60"/>
              <w:ind w:left="120" w:right="120"/>
            </w:pPr>
            <w:r>
              <w:rPr>
                <w:b w:val="false"/>
                <w:bCs w:val="false"/>
                <w:color w:val="333333"/>
                <w:sz w:val="20"/>
                <w:szCs w:val="20"/>
              </w:rPr>
              <w:t xml:space="preserve">4.0</w:t>
            </w:r>
          </w:p>
        </w:tc>
      </w:tr>
      <w:tr>
        <w:tc>
          <w:tcPr>
            <w:tcW w:type="dxa" w:w="2500"/>
            <w:shd w:fill="FFFFFF" w:color="auto" w:val="clear"/>
            <w:vAlign w:val="center"/>
          </w:tcPr>
          <w:p>
            <w:pPr>
              <w:spacing w:after="60" w:before="60"/>
              <w:ind w:left="120" w:right="60"/>
            </w:pPr>
            <w:r>
              <w:rPr>
                <w:b w:val="false"/>
                <w:bCs w:val="false"/>
                <w:color w:val="222222"/>
                <w:sz w:val="20"/>
                <w:szCs w:val="20"/>
              </w:rPr>
              <w:t xml:space="preserve">Date</w:t>
            </w:r>
          </w:p>
        </w:tc>
        <w:tc>
          <w:tcPr>
            <w:tcW w:type="dxa" w:w="5500"/>
            <w:shd w:fill="FFFFFF" w:color="auto" w:val="clear"/>
            <w:vAlign w:val="center"/>
          </w:tcPr>
          <w:p>
            <w:pPr>
              <w:spacing w:after="60" w:before="60"/>
              <w:ind w:left="120" w:right="120"/>
            </w:pPr>
            <w:r>
              <w:rPr>
                <w:b w:val="false"/>
                <w:bCs w:val="false"/>
                <w:color w:val="333333"/>
                <w:sz w:val="20"/>
                <w:szCs w:val="20"/>
              </w:rPr>
              <w:t xml:space="preserve">28 juillet 2026</w:t>
            </w:r>
          </w:p>
        </w:tc>
      </w:tr>
      <w:tr>
        <w:tc>
          <w:tcPr>
            <w:tcW w:type="dxa" w:w="2500"/>
            <w:shd w:fill="f5f7fa" w:color="auto" w:val="clear"/>
            <w:vAlign w:val="center"/>
          </w:tcPr>
          <w:p>
            <w:pPr>
              <w:spacing w:after="60" w:before="60"/>
              <w:ind w:left="120" w:right="60"/>
            </w:pPr>
            <w:r>
              <w:rPr>
                <w:b w:val="false"/>
                <w:bCs w:val="false"/>
                <w:color w:val="222222"/>
                <w:sz w:val="20"/>
                <w:szCs w:val="20"/>
              </w:rPr>
              <w:t xml:space="preserve">Statut</w:t>
            </w:r>
          </w:p>
        </w:tc>
        <w:tc>
          <w:tcPr>
            <w:tcW w:type="dxa" w:w="5500"/>
            <w:shd w:fill="f5f7fa" w:color="auto" w:val="clear"/>
            <w:vAlign w:val="center"/>
          </w:tcPr>
          <w:p>
            <w:pPr>
              <w:spacing w:after="60" w:before="60"/>
              <w:ind w:left="120" w:right="120"/>
            </w:pPr>
            <w:r>
              <w:rPr>
                <w:b w:val="false"/>
                <w:bCs w:val="false"/>
                <w:color w:val="333333"/>
                <w:sz w:val="20"/>
                <w:szCs w:val="20"/>
              </w:rPr>
              <w:t xml:space="preserve">Draft — en revue</w:t>
            </w:r>
          </w:p>
        </w:tc>
      </w:tr>
      <w:tr>
        <w:tc>
          <w:tcPr>
            <w:tcW w:type="dxa" w:w="2500"/>
            <w:shd w:fill="FFFFFF" w:color="auto" w:val="clear"/>
            <w:vAlign w:val="center"/>
          </w:tcPr>
          <w:p>
            <w:pPr>
              <w:spacing w:after="60" w:before="60"/>
              <w:ind w:left="120" w:right="60"/>
            </w:pPr>
            <w:r>
              <w:rPr>
                <w:b w:val="false"/>
                <w:bCs w:val="false"/>
                <w:color w:val="222222"/>
                <w:sz w:val="20"/>
                <w:szCs w:val="20"/>
              </w:rPr>
              <w:t xml:space="preserve">Audience</w:t>
            </w:r>
          </w:p>
        </w:tc>
        <w:tc>
          <w:tcPr>
            <w:tcW w:type="dxa" w:w="5500"/>
            <w:shd w:fill="FFFFFF" w:color="auto" w:val="clear"/>
            <w:vAlign w:val="center"/>
          </w:tcPr>
          <w:p>
            <w:pPr>
              <w:spacing w:after="60" w:before="60"/>
              <w:ind w:left="120" w:right="120"/>
            </w:pPr>
            <w:r>
              <w:rPr>
                <w:b w:val="false"/>
                <w:bCs w:val="false"/>
                <w:color w:val="333333"/>
                <w:sz w:val="20"/>
                <w:szCs w:val="20"/>
              </w:rPr>
              <w:t xml:space="preserve">Équipe technique, architectes, analystes SOC</w:t>
            </w:r>
          </w:p>
        </w:tc>
      </w:tr>
      <w:tr>
        <w:tc>
          <w:tcPr>
            <w:tcW w:type="dxa" w:w="2500"/>
            <w:shd w:fill="f5f7fa" w:color="auto" w:val="clear"/>
            <w:vAlign w:val="center"/>
          </w:tcPr>
          <w:p>
            <w:pPr>
              <w:spacing w:after="60" w:before="60"/>
              <w:ind w:left="120" w:right="60"/>
            </w:pPr>
            <w:r>
              <w:rPr>
                <w:b w:val="false"/>
                <w:bCs w:val="false"/>
                <w:color w:val="222222"/>
                <w:sz w:val="20"/>
                <w:szCs w:val="20"/>
              </w:rPr>
              <w:t xml:space="preserve">Révision v4</w:t>
            </w:r>
          </w:p>
        </w:tc>
        <w:tc>
          <w:tcPr>
            <w:tcW w:type="dxa" w:w="5500"/>
            <w:shd w:fill="f5f7fa" w:color="auto" w:val="clear"/>
            <w:vAlign w:val="center"/>
          </w:tcPr>
          <w:p>
            <w:pPr>
              <w:spacing w:after="60" w:before="60"/>
              <w:ind w:left="120" w:right="120"/>
            </w:pPr>
            <w:r>
              <w:rPr>
                <w:b w:val="false"/>
                <w:bCs w:val="false"/>
                <w:color w:val="333333"/>
                <w:sz w:val="20"/>
                <w:szCs w:val="20"/>
              </w:rPr>
              <w:t xml:space="preserve">Decision Engine · Plugin SDK · Architecture distribuée · Mode Forensique avancé</w:t>
            </w:r>
          </w:p>
        </w:tc>
      </w:tr>
      <w:tr>
        <w:tc>
          <w:tcPr>
            <w:tcW w:type="dxa" w:w="2500"/>
            <w:shd w:fill="FFFFFF" w:color="auto" w:val="clear"/>
            <w:vAlign w:val="center"/>
          </w:tcPr>
          <w:p>
            <w:pPr>
              <w:spacing w:after="60" w:before="60"/>
              <w:ind w:left="120" w:right="60"/>
            </w:pPr>
            <w:r>
              <w:rPr>
                <w:b w:val="false"/>
                <w:bCs w:val="false"/>
                <w:color w:val="222222"/>
                <w:sz w:val="20"/>
                <w:szCs w:val="20"/>
              </w:rPr>
              <w:t xml:space="preserve">Licence</w:t>
            </w:r>
          </w:p>
        </w:tc>
        <w:tc>
          <w:tcPr>
            <w:tcW w:type="dxa" w:w="5500"/>
            <w:shd w:fill="FFFFFF" w:color="auto" w:val="clear"/>
            <w:vAlign w:val="center"/>
          </w:tcPr>
          <w:p>
            <w:pPr>
              <w:spacing w:after="60" w:before="60"/>
              <w:ind w:left="120" w:right="120"/>
            </w:pPr>
            <w:r>
              <w:rPr>
                <w:b w:val="false"/>
                <w:bCs w:val="false"/>
                <w:color w:val="333333"/>
                <w:sz w:val="20"/>
                <w:szCs w:val="20"/>
              </w:rPr>
              <w:t xml:space="preserve">Confidentiel — usage interne</w:t>
            </w:r>
          </w:p>
        </w:tc>
      </w:tr>
    </w:tbl>
    <w:p>
      <w:r>
        <w:br w:type="page"/>
      </w:r>
    </w:p>
    <w:p>
      <w:pPr>
        <w:pStyle w:val="Heading1"/>
        <w:spacing w:after="120" w:before="360"/>
      </w:pPr>
      <w:r>
        <w:t xml:space="preserve">Table des matières</w:t>
      </w:r>
    </w:p>
    <w:sdt>
      <w:sdtPr>
        <w:alias w:val="Table des matières"/>
      </w:sdtPr>
      <w:sdtContent>
        <w:p>
          <w:r>
            <w:fldChar w:fldCharType="begin" w:dirty="true"/>
            <w:instrText xml:space="preserve">TOC \h \o "1-3" \t "Heading1,1,Heading2,2,Heading3,3"</w:instrText>
            <w:fldChar w:fldCharType="separate"/>
          </w:r>
        </w:p>
        <w:p>
          <w:r>
            <w:fldChar w:fldCharType="end"/>
          </w:r>
        </w:p>
      </w:sdtContent>
    </w:sdt>
    <w:p>
      <w:r>
        <w:br w:type="page"/>
      </w:r>
    </w:p>
    <w:p>
      <w:pPr>
        <w:pStyle w:val="Heading1"/>
        <w:spacing w:after="120" w:before="360"/>
      </w:pPr>
      <w:r>
        <w:t xml:space="preserve">1. Vision du projet</w:t>
      </w:r>
    </w:p>
    <w:p>
      <w:pPr>
        <w:spacing w:after="60" w:before="60"/>
        <w:jc w:val="both"/>
      </w:pPr>
      <w:r>
        <w:rPr>
          <w:color w:val="333333"/>
          <w:sz w:val="22"/>
          <w:szCs w:val="22"/>
        </w:rPr>
        <w:t xml:space="preserve">OSEye est une plateforme intelligente d'audit, de surveillance, d'observabilité et d'analyse comportementale des systèmes d'exploitation Linux. Son objectif est de comprendre l'activité complète d'une machine en temps réel, d'identifier précisément l'origine de chaque action, de reconstruire l'historique des événements et de détecter automatiquement les comportements anormaux ou malveillants.</w:t>
      </w:r>
    </w:p>
    <w:p>
      <w:pPr>
        <w:spacing w:after="60" w:before="60"/>
        <w:jc w:val="both"/>
      </w:pPr>
      <w:r>
        <w:rPr>
          <w:color w:val="333333"/>
          <w:sz w:val="22"/>
          <w:szCs w:val="22"/>
        </w:rPr>
        <w:t xml:space="preserve">OSEye ne doit pas être considéré comme un simple lecteur de journaux système. Il doit devenir un observateur intelligent du système, capable de corréler des milliers d'événements provenant de sources hétérogènes afin d'expliquer ce qui se passe sur une machine, pourquoi cela se produit et quel est le niveau de risque associé.</w:t>
      </w:r>
    </w:p>
    <w:p>
      <w:pPr>
        <w:spacing w:after="60" w:before="60"/>
        <w:jc w:val="both"/>
      </w:pPr>
      <w:r>
        <w:rPr>
          <w:color w:val="333333"/>
          <w:sz w:val="22"/>
          <w:szCs w:val="22"/>
        </w:rPr>
        <w:t xml:space="preserve">À long terme, OSEye devra évoluer vers une plateforme comparable aux solutions professionnelles d'Endpoint Detection and Response (EDR) et de Security Information and Event Management (SIEM), tout en restant légère, modulaire et extensible.</w:t>
      </w:r>
    </w:p>
    <w:p>
      <w:r>
        <w:br w:type="page"/>
      </w:r>
    </w:p>
    <w:p>
      <w:pPr>
        <w:pStyle w:val="Heading1"/>
        <w:spacing w:after="120" w:before="360"/>
      </w:pPr>
      <w:r>
        <w:t xml:space="preserve">2. Objectifs</w:t>
      </w:r>
    </w:p>
    <w:p>
      <w:pPr>
        <w:spacing w:after="60" w:before="60"/>
        <w:jc w:val="both"/>
      </w:pPr>
      <w:r>
        <w:rPr>
          <w:color w:val="333333"/>
          <w:sz w:val="22"/>
          <w:szCs w:val="22"/>
        </w:rPr>
        <w:t xml:space="preserve">OSEye devra permettre de répondre aux questions suivantes :</w:t>
      </w:r>
    </w:p>
    <w:p>
      <w:pPr>
        <w:pStyle w:val="ListParagraph"/>
        <w:numPr>
          <w:ilvl w:val="0"/>
          <w:numId w:val="1"/>
        </w:numPr>
        <w:spacing w:after="40" w:before="40"/>
      </w:pPr>
      <w:r>
        <w:rPr>
          <w:color w:val="333333"/>
          <w:sz w:val="21"/>
          <w:szCs w:val="21"/>
        </w:rPr>
        <w:t xml:space="preserve">Qui a effectué une action ? (utilisateur, processus, processus parent)</w:t>
      </w:r>
    </w:p>
    <w:p>
      <w:pPr>
        <w:pStyle w:val="ListParagraph"/>
        <w:numPr>
          <w:ilvl w:val="0"/>
          <w:numId w:val="1"/>
        </w:numPr>
        <w:spacing w:after="40" w:before="40"/>
      </w:pPr>
      <w:r>
        <w:rPr>
          <w:color w:val="333333"/>
          <w:sz w:val="21"/>
          <w:szCs w:val="21"/>
        </w:rPr>
        <w:t xml:space="preserve">Quel programme a été exécuté, avec quels arguments ?</w:t>
      </w:r>
    </w:p>
    <w:p>
      <w:pPr>
        <w:pStyle w:val="ListParagraph"/>
        <w:numPr>
          <w:ilvl w:val="0"/>
          <w:numId w:val="1"/>
        </w:numPr>
        <w:spacing w:after="40" w:before="40"/>
      </w:pPr>
      <w:r>
        <w:rPr>
          <w:color w:val="333333"/>
          <w:sz w:val="21"/>
          <w:szCs w:val="21"/>
        </w:rPr>
        <w:t xml:space="preserve">Quelle ressource a été concernée (fichier, port, périphérique) ?</w:t>
      </w:r>
    </w:p>
    <w:p>
      <w:pPr>
        <w:pStyle w:val="ListParagraph"/>
        <w:numPr>
          <w:ilvl w:val="0"/>
          <w:numId w:val="1"/>
        </w:numPr>
        <w:spacing w:after="40" w:before="40"/>
      </w:pPr>
      <w:r>
        <w:rPr>
          <w:color w:val="333333"/>
          <w:sz w:val="21"/>
          <w:szCs w:val="21"/>
        </w:rPr>
        <w:t xml:space="preserve">Quand l'action a-t-elle été réalisée (horodatage en nanosecondes) ?</w:t>
      </w:r>
    </w:p>
    <w:p>
      <w:pPr>
        <w:pStyle w:val="ListParagraph"/>
        <w:numPr>
          <w:ilvl w:val="0"/>
          <w:numId w:val="1"/>
        </w:numPr>
        <w:spacing w:after="40" w:before="40"/>
      </w:pPr>
      <w:r>
        <w:rPr>
          <w:color w:val="333333"/>
          <w:sz w:val="21"/>
          <w:szCs w:val="21"/>
        </w:rPr>
        <w:t xml:space="preserve">Quel est le contexte de cette action (session, chemin, environnement) ?</w:t>
      </w:r>
    </w:p>
    <w:p>
      <w:pPr>
        <w:pStyle w:val="ListParagraph"/>
        <w:numPr>
          <w:ilvl w:val="0"/>
          <w:numId w:val="1"/>
        </w:numPr>
        <w:spacing w:after="40" w:before="40"/>
      </w:pPr>
      <w:r>
        <w:rPr>
          <w:color w:val="333333"/>
          <w:sz w:val="21"/>
          <w:szCs w:val="21"/>
        </w:rPr>
        <w:t xml:space="preserve">Cette activité est-elle normale ou suspecte ?</w:t>
      </w:r>
    </w:p>
    <w:p>
      <w:pPr>
        <w:pStyle w:val="ListParagraph"/>
        <w:numPr>
          <w:ilvl w:val="0"/>
          <w:numId w:val="1"/>
        </w:numPr>
        <w:spacing w:after="40" w:before="40"/>
      </w:pPr>
      <w:r>
        <w:rPr>
          <w:color w:val="333333"/>
          <w:sz w:val="21"/>
          <w:szCs w:val="21"/>
        </w:rPr>
        <w:t xml:space="preserve">Quels événements sont liés entre eux ?</w:t>
      </w:r>
    </w:p>
    <w:p>
      <w:pPr>
        <w:pStyle w:val="ListParagraph"/>
        <w:numPr>
          <w:ilvl w:val="0"/>
          <w:numId w:val="1"/>
        </w:numPr>
        <w:spacing w:after="40" w:before="40"/>
      </w:pPr>
      <w:r>
        <w:rPr>
          <w:color w:val="333333"/>
          <w:sz w:val="21"/>
          <w:szCs w:val="21"/>
        </w:rPr>
        <w:t xml:space="preserve">Peut-on reconstruire la chronologie complète d'un incident ?</w:t>
      </w:r>
    </w:p>
    <w:p>
      <w:pPr>
        <w:pStyle w:val="ListParagraph"/>
        <w:numPr>
          <w:ilvl w:val="0"/>
          <w:numId w:val="1"/>
        </w:numPr>
        <w:spacing w:after="40" w:before="40"/>
      </w:pPr>
      <w:r>
        <w:rPr>
          <w:color w:val="333333"/>
          <w:sz w:val="21"/>
          <w:szCs w:val="21"/>
        </w:rPr>
        <w:t xml:space="preserve">Peut-on fournir des preuves exploitables lors d'une investigation judiciaire ?</w:t>
      </w:r>
    </w:p>
    <w:p>
      <w:r>
        <w:br w:type="page"/>
      </w:r>
    </w:p>
    <w:p>
      <w:pPr>
        <w:pStyle w:val="Heading1"/>
        <w:spacing w:after="120" w:before="360"/>
      </w:pPr>
      <w:r>
        <w:t xml:space="preserve">3. Principes fondamentaux</w:t>
      </w:r>
    </w:p>
    <w:p>
      <w:pPr>
        <w:pStyle w:val="Heading2"/>
        <w:spacing w:after="80" w:before="240"/>
      </w:pPr>
      <w:r>
        <w:t xml:space="preserve">3.1 Performance</w:t>
      </w:r>
    </w:p>
    <w:p>
      <w:pPr>
        <w:spacing w:after="60" w:before="60"/>
        <w:jc w:val="both"/>
      </w:pPr>
      <w:r>
        <w:rPr>
          <w:color w:val="333333"/>
          <w:sz w:val="22"/>
          <w:szCs w:val="22"/>
        </w:rPr>
        <w:t xml:space="preserve">OSEye ne doit jamais dégrader significativement les performances de la machine surveillée. L'agent de collecte devra maintenir une consommation CPU inférieure à 2 % en charge normale et inférieure à 5 % en pic.</w:t>
      </w:r>
    </w:p>
    <w:p>
      <w:pPr>
        <w:pStyle w:val="ListParagraph"/>
        <w:numPr>
          <w:ilvl w:val="0"/>
          <w:numId w:val="1"/>
        </w:numPr>
        <w:spacing w:after="40" w:before="40"/>
      </w:pPr>
      <w:r>
        <w:rPr>
          <w:color w:val="333333"/>
          <w:sz w:val="21"/>
          <w:szCs w:val="21"/>
        </w:rPr>
        <w:t xml:space="preserve">Faible consommation CPU, mémoire, disque et réseau</w:t>
      </w:r>
    </w:p>
    <w:p>
      <w:pPr>
        <w:pStyle w:val="ListParagraph"/>
        <w:numPr>
          <w:ilvl w:val="0"/>
          <w:numId w:val="1"/>
        </w:numPr>
        <w:spacing w:after="40" w:before="40"/>
      </w:pPr>
      <w:r>
        <w:rPr>
          <w:color w:val="333333"/>
          <w:sz w:val="21"/>
          <w:szCs w:val="21"/>
        </w:rPr>
        <w:t xml:space="preserve">Nombre limité d'appels système</w:t>
      </w:r>
    </w:p>
    <w:p>
      <w:pPr>
        <w:pStyle w:val="ListParagraph"/>
        <w:numPr>
          <w:ilvl w:val="0"/>
          <w:numId w:val="1"/>
        </w:numPr>
        <w:spacing w:after="40" w:before="40"/>
      </w:pPr>
      <w:r>
        <w:rPr>
          <w:color w:val="333333"/>
          <w:sz w:val="21"/>
          <w:szCs w:val="21"/>
        </w:rPr>
        <w:t xml:space="preserve">Collecte non bloquante — les événements sont bufférisés et traités de façon asynchrone</w:t>
      </w:r>
    </w:p>
    <w:p>
      <w:pPr>
        <w:pStyle w:val="ListParagraph"/>
        <w:numPr>
          <w:ilvl w:val="0"/>
          <w:numId w:val="1"/>
        </w:numPr>
        <w:spacing w:after="40" w:before="40"/>
      </w:pPr>
      <w:r>
        <w:rPr>
          <w:color w:val="333333"/>
          <w:sz w:val="21"/>
          <w:szCs w:val="21"/>
        </w:rPr>
        <w:t xml:space="preserve">Traitements lourds (corrélation, ML) différés et hors du chemin critique</w:t>
      </w:r>
    </w:p>
    <w:p/>
    <w:p>
      <w:pPr>
        <w:pStyle w:val="Heading2"/>
        <w:spacing w:after="80" w:before="240"/>
      </w:pPr>
      <w:r>
        <w:t xml:space="preserve">3.2 Surveillance adaptative</w:t>
      </w:r>
    </w:p>
    <w:p>
      <w:pPr>
        <w:spacing w:after="60" w:before="60"/>
        <w:jc w:val="both"/>
      </w:pPr>
      <w:r>
        <w:rPr>
          <w:color w:val="333333"/>
          <w:sz w:val="22"/>
          <w:szCs w:val="22"/>
        </w:rPr>
        <w:t xml:space="preserve">OSEye adapte automatiquement son comportement en fonction de l'état du système.</w:t>
      </w:r>
    </w:p>
    <w:p>
      <w:pPr>
        <w:pStyle w:val="ListParagraph"/>
        <w:numPr>
          <w:ilvl w:val="0"/>
          <w:numId w:val="1"/>
        </w:numPr>
        <w:spacing w:after="40" w:before="40"/>
      </w:pPr>
      <w:r>
        <w:rPr>
          <w:color w:val="333333"/>
          <w:sz w:val="21"/>
          <w:szCs w:val="21"/>
        </w:rPr>
        <w:t xml:space="preserve">Réduction des collecteurs moins prioritaires lorsque la charge CPU ou mémoire dépasse un seuil configurable</w:t>
      </w:r>
    </w:p>
    <w:p>
      <w:pPr>
        <w:pStyle w:val="ListParagraph"/>
        <w:numPr>
          <w:ilvl w:val="0"/>
          <w:numId w:val="1"/>
        </w:numPr>
        <w:spacing w:after="40" w:before="40"/>
      </w:pPr>
      <w:r>
        <w:rPr>
          <w:color w:val="333333"/>
          <w:sz w:val="21"/>
          <w:szCs w:val="21"/>
        </w:rPr>
        <w:t xml:space="preserve">Suspension temporaire des analyses non critiques</w:t>
      </w:r>
    </w:p>
    <w:p>
      <w:pPr>
        <w:pStyle w:val="ListParagraph"/>
        <w:numPr>
          <w:ilvl w:val="0"/>
          <w:numId w:val="1"/>
        </w:numPr>
        <w:spacing w:after="40" w:before="40"/>
      </w:pPr>
      <w:r>
        <w:rPr>
          <w:color w:val="333333"/>
          <w:sz w:val="21"/>
          <w:szCs w:val="21"/>
        </w:rPr>
        <w:t xml:space="preserve">Réactivation automatique des modules suspendus lorsque les ressources redeviennent disponibles</w:t>
      </w:r>
    </w:p>
    <w:p>
      <w:pPr>
        <w:pStyle w:val="ListParagraph"/>
        <w:numPr>
          <w:ilvl w:val="0"/>
          <w:numId w:val="1"/>
        </w:numPr>
        <w:spacing w:after="40" w:before="40"/>
      </w:pPr>
      <w:r>
        <w:rPr>
          <w:color w:val="333333"/>
          <w:sz w:val="21"/>
          <w:szCs w:val="21"/>
        </w:rPr>
        <w:t xml:space="preserve">Augmentation du niveau de détail sur les processus ou utilisateurs à risque élevé</w:t>
      </w:r>
    </w:p>
    <w:p/>
    <w:p>
      <w:pPr>
        <w:pStyle w:val="Heading2"/>
        <w:spacing w:after="80" w:before="240"/>
      </w:pPr>
      <w:r>
        <w:t xml:space="preserve">3.3 Surveillance basée sur le risque</w:t>
      </w:r>
    </w:p>
    <w:p>
      <w:pPr>
        <w:spacing w:after="60" w:before="60"/>
        <w:jc w:val="both"/>
      </w:pPr>
      <w:r>
        <w:rPr>
          <w:color w:val="333333"/>
          <w:sz w:val="22"/>
          <w:szCs w:val="22"/>
        </w:rPr>
        <w:t xml:space="preserve">Toutes les ressources ne présentent pas le même niveau de risque. OSEye attribue un score dynamique à chaque entité (processus, utilisateur, connexion, fichier, service) et concentre les ressources de surveillance sur les entités à score élevé.</w:t>
      </w:r>
    </w:p>
    <w:p/>
    <w:p>
      <w:pPr>
        <w:pStyle w:val="Heading2"/>
        <w:spacing w:after="80" w:before="240"/>
      </w:pPr>
      <w:r>
        <w:t xml:space="preserve">3.4 Architecture modulaire</w:t>
      </w:r>
    </w:p>
    <w:p>
      <w:pPr>
        <w:spacing w:after="60" w:before="60"/>
        <w:jc w:val="both"/>
      </w:pPr>
      <w:r>
        <w:rPr>
          <w:color w:val="333333"/>
          <w:sz w:val="22"/>
          <w:szCs w:val="22"/>
        </w:rPr>
        <w:t xml:space="preserve">Chaque composant doit pouvoir être remplacé indépendamment. Aucun module ne dépend directement de l'implémentation d'un autre. Les interfaces restent stables pour permettre l'ajout de nouveaux composants sans modifier l'existant. Les principes SOLID, la Clean Architecture et l'Architecture Hexagonale guident la conception.</w:t>
      </w:r>
    </w:p>
    <w:p/>
    <w:p>
      <w:pPr>
        <w:pStyle w:val="Heading2"/>
        <w:spacing w:after="80" w:before="240"/>
      </w:pPr>
      <w:r>
        <w:t xml:space="preserve">3.5 Évolutivité</w:t>
      </w:r>
    </w:p>
    <w:p>
      <w:pPr>
        <w:spacing w:after="60" w:before="60"/>
        <w:jc w:val="both"/>
      </w:pPr>
      <w:r>
        <w:rPr>
          <w:color w:val="333333"/>
          <w:sz w:val="22"/>
          <w:szCs w:val="22"/>
        </w:rPr>
        <w:t xml:space="preserve">L'ajout d'un nouveau collecteur, d'un nouveau moteur d'analyse, d'un nouveau modèle ML, d'un nouveau tableau de bord, d'un nouveau système d'alerte ou d'une nouvelle base de données ne doit jamais nécessiter une réécriture complète.</w:t>
      </w:r>
    </w:p>
    <w:p/>
    <w:p>
      <w:pPr>
        <w:pStyle w:val="Heading2"/>
        <w:spacing w:after="80" w:before="240"/>
      </w:pPr>
      <w:r>
        <w:t xml:space="preserve">3.6 Intégrité et confiance des événements</w:t>
      </w:r>
    </w:p>
    <w:p>
      <w:pPr>
        <w:spacing w:after="60" w:before="60"/>
        <w:jc w:val="both"/>
      </w:pPr>
      <w:r>
        <w:rPr>
          <w:color w:val="333333"/>
          <w:sz w:val="22"/>
          <w:szCs w:val="22"/>
        </w:rPr>
        <w:t xml:space="preserve">Un attaquant sophistiqué peut tenter de modifier ou de supprimer les événements pour effacer ses traces. OSEye doit garantir l'intégrité des données collectées.</w:t>
      </w:r>
    </w:p>
    <w:p>
      <w:pPr>
        <w:pStyle w:val="ListParagraph"/>
        <w:numPr>
          <w:ilvl w:val="0"/>
          <w:numId w:val="1"/>
        </w:numPr>
        <w:spacing w:after="40" w:before="40"/>
      </w:pPr>
      <w:r>
        <w:rPr>
          <w:color w:val="333333"/>
          <w:sz w:val="21"/>
          <w:szCs w:val="21"/>
        </w:rPr>
        <w:t xml:space="preserve">Chaînage cryptographique des événements (hash chain SHA-256 ou BLAKE3)</w:t>
      </w:r>
    </w:p>
    <w:p>
      <w:pPr>
        <w:pStyle w:val="ListParagraph"/>
        <w:numPr>
          <w:ilvl w:val="0"/>
          <w:numId w:val="1"/>
        </w:numPr>
        <w:spacing w:after="40" w:before="40"/>
      </w:pPr>
      <w:r>
        <w:rPr>
          <w:color w:val="333333"/>
          <w:sz w:val="21"/>
          <w:szCs w:val="21"/>
        </w:rPr>
        <w:t xml:space="preserve">Signature numérique des lots d'événements</w:t>
      </w:r>
    </w:p>
    <w:p>
      <w:pPr>
        <w:pStyle w:val="ListParagraph"/>
        <w:numPr>
          <w:ilvl w:val="0"/>
          <w:numId w:val="1"/>
        </w:numPr>
        <w:spacing w:after="40" w:before="40"/>
      </w:pPr>
      <w:r>
        <w:rPr>
          <w:color w:val="333333"/>
          <w:sz w:val="21"/>
          <w:szCs w:val="21"/>
        </w:rPr>
        <w:t xml:space="preserve">Export vers un stockage distant immuable (WORM, S3 Object Lock)</w:t>
      </w:r>
    </w:p>
    <w:p>
      <w:pPr>
        <w:pStyle w:val="ListParagraph"/>
        <w:numPr>
          <w:ilvl w:val="0"/>
          <w:numId w:val="1"/>
        </w:numPr>
        <w:spacing w:after="40" w:before="40"/>
      </w:pPr>
      <w:r>
        <w:rPr>
          <w:color w:val="333333"/>
          <w:sz w:val="21"/>
          <w:szCs w:val="21"/>
        </w:rPr>
        <w:t xml:space="preserve">Détection automatique si l'agent OSEye est tué, altéré ou suspendu</w:t>
      </w:r>
    </w:p>
    <w:p>
      <w:pPr>
        <w:pStyle w:val="ListParagraph"/>
        <w:numPr>
          <w:ilvl w:val="0"/>
          <w:numId w:val="1"/>
        </w:numPr>
        <w:spacing w:after="40" w:before="40"/>
      </w:pPr>
      <w:r>
        <w:rPr>
          <w:color w:val="333333"/>
          <w:sz w:val="21"/>
          <w:szCs w:val="21"/>
        </w:rPr>
        <w:t xml:space="preserve">Journaux d'intégrité séparés et protégés en écriture</w:t>
      </w:r>
    </w:p>
    <w:p>
      <w:pPr>
        <w:pBdr>
          <w:left w:val="single" w:color="2e6da4" w:sz="4"/>
        </w:pBdr>
        <w:spacing w:after="80" w:before="80"/>
        <w:ind w:left="360"/>
      </w:pPr>
      <w:r>
        <w:rPr>
          <w:b/>
          <w:bCs/>
          <w:color w:val="2e6da4"/>
          <w:sz w:val="22"/>
          <w:szCs w:val="22"/>
        </w:rPr>
        <w:t xml:space="preserve">⚑  </w:t>
      </w:r>
      <w:r>
        <w:rPr>
          <w:i/>
          <w:iCs/>
          <w:color w:val="4a6080"/>
          <w:sz w:val="20"/>
          <w:szCs w:val="20"/>
        </w:rPr>
        <w:t xml:space="preserve">Ce mécanisme est essentiel pour la recevabilité des preuves dans un contexte d'investigation judiciaire ou d'audit légal.</w:t>
      </w:r>
    </w:p>
    <w:p/>
    <w:p>
      <w:pPr>
        <w:pStyle w:val="Heading2"/>
        <w:spacing w:after="80" w:before="240"/>
      </w:pPr>
      <w:r>
        <w:t xml:space="preserve">3.7 Confidentialité et protection des données</w:t>
      </w:r>
    </w:p>
    <w:p>
      <w:pPr>
        <w:pStyle w:val="ListParagraph"/>
        <w:numPr>
          <w:ilvl w:val="0"/>
          <w:numId w:val="1"/>
        </w:numPr>
        <w:spacing w:after="40" w:before="40"/>
      </w:pPr>
      <w:r>
        <w:rPr>
          <w:color w:val="333333"/>
          <w:sz w:val="21"/>
          <w:szCs w:val="21"/>
        </w:rPr>
        <w:t xml:space="preserve">Masquage automatique des secrets détectés (mots de passe, tokens, clés API) via des expressions régulières configurables</w:t>
      </w:r>
    </w:p>
    <w:p>
      <w:pPr>
        <w:pStyle w:val="ListParagraph"/>
        <w:numPr>
          <w:ilvl w:val="0"/>
          <w:numId w:val="1"/>
        </w:numPr>
        <w:spacing w:after="40" w:before="40"/>
      </w:pPr>
      <w:r>
        <w:rPr>
          <w:color w:val="333333"/>
          <w:sz w:val="21"/>
          <w:szCs w:val="21"/>
        </w:rPr>
        <w:t xml:space="preserve">Anonymisation optionnelle des données utilisateur pour les environnements soumis au RGPD</w:t>
      </w:r>
    </w:p>
    <w:p>
      <w:pPr>
        <w:pStyle w:val="ListParagraph"/>
        <w:numPr>
          <w:ilvl w:val="0"/>
          <w:numId w:val="1"/>
        </w:numPr>
        <w:spacing w:after="40" w:before="40"/>
      </w:pPr>
      <w:r>
        <w:rPr>
          <w:color w:val="333333"/>
          <w:sz w:val="21"/>
          <w:szCs w:val="21"/>
        </w:rPr>
        <w:t xml:space="preserve">Politique de rétention configurable par catégorie d'événement</w:t>
      </w:r>
    </w:p>
    <w:p>
      <w:pPr>
        <w:pStyle w:val="ListParagraph"/>
        <w:numPr>
          <w:ilvl w:val="0"/>
          <w:numId w:val="1"/>
        </w:numPr>
        <w:spacing w:after="40" w:before="40"/>
      </w:pPr>
      <w:r>
        <w:rPr>
          <w:color w:val="333333"/>
          <w:sz w:val="21"/>
          <w:szCs w:val="21"/>
        </w:rPr>
        <w:t xml:space="preserve">Chiffrement au repos des données stockées</w:t>
      </w:r>
    </w:p>
    <w:p>
      <w:pPr>
        <w:pStyle w:val="ListParagraph"/>
        <w:numPr>
          <w:ilvl w:val="0"/>
          <w:numId w:val="1"/>
        </w:numPr>
        <w:spacing w:after="40" w:before="40"/>
      </w:pPr>
      <w:r>
        <w:rPr>
          <w:color w:val="333333"/>
          <w:sz w:val="21"/>
          <w:szCs w:val="21"/>
        </w:rPr>
        <w:t xml:space="preserve">Chiffrement en transit (TLS 1.3 minimum) entre l'agent et le serveur central</w:t>
      </w:r>
    </w:p>
    <w:p>
      <w:r>
        <w:br w:type="page"/>
      </w:r>
    </w:p>
    <w:p>
      <w:pPr>
        <w:pStyle w:val="Heading1"/>
        <w:spacing w:after="120" w:before="360"/>
      </w:pPr>
      <w:r>
        <w:t xml:space="preserve">4. Architecture globale</w:t>
      </w:r>
    </w:p>
    <w:p>
      <w:pPr>
        <w:spacing w:after="60" w:before="60"/>
        <w:jc w:val="both"/>
      </w:pPr>
      <w:r>
        <w:rPr>
          <w:color w:val="333333"/>
          <w:sz w:val="22"/>
          <w:szCs w:val="22"/>
        </w:rPr>
        <w:t xml:space="preserve">Le système est organisé en couches indépendantes communicant via un bus d'événements central. Aucun module ne communique directement avec un autre. L'architecture ci-dessous représente la vision cible complète d'OSEye :</w:t>
      </w:r>
    </w:p>
    <w:p/>
    <w:p>
      <w:pPr>
        <w:shd w:fill="f0f4f8" w:color="auto" w:val="clear"/>
        <w:spacing w:after="40" w:before="40"/>
        <w:ind w:left="360" w:right="360"/>
      </w:pPr>
      <w:r>
        <w:rPr>
          <w:rFonts w:ascii="Courier New" w:cs="Courier New" w:eastAsia="Courier New" w:hAnsi="Courier New"/>
          <w:color w:val="2c3e50"/>
          <w:sz w:val="18"/>
          <w:szCs w:val="18"/>
        </w:rPr>
        <w:t xml:space="preserve">                 +------------------------+</w:t>
      </w:r>
    </w:p>
    <w:p>
      <w:pPr>
        <w:shd w:fill="f0f4f8" w:color="auto" w:val="clear"/>
        <w:spacing w:after="40" w:before="40"/>
        <w:ind w:left="360" w:right="360"/>
      </w:pPr>
      <w:r>
        <w:rPr>
          <w:rFonts w:ascii="Courier New" w:cs="Courier New" w:eastAsia="Courier New" w:hAnsi="Courier New"/>
          <w:color w:val="2c3e50"/>
          <w:sz w:val="18"/>
          <w:szCs w:val="18"/>
        </w:rPr>
        <w:t xml:space="preserve">                 |      Collecteurs       |</w:t>
      </w:r>
    </w:p>
    <w:p>
      <w:pPr>
        <w:shd w:fill="f0f4f8" w:color="auto" w:val="clear"/>
        <w:spacing w:after="40" w:before="40"/>
        <w:ind w:left="360" w:right="360"/>
      </w:pPr>
      <w:r>
        <w:rPr>
          <w:rFonts w:ascii="Courier New" w:cs="Courier New" w:eastAsia="Courier New" w:hAnsi="Courier New"/>
          <w:color w:val="2c3e50"/>
          <w:sz w:val="18"/>
          <w:szCs w:val="18"/>
        </w:rPr>
        <w:t xml:space="preserve">                 | auditd · eBPF · ...    |</w:t>
      </w:r>
    </w:p>
    <w:p>
      <w:pPr>
        <w:shd w:fill="f0f4f8" w:color="auto" w:val="clear"/>
        <w:spacing w:after="40" w:before="40"/>
        <w:ind w:left="360" w:right="360"/>
      </w:pPr>
      <w:r>
        <w:rPr>
          <w:rFonts w:ascii="Courier New" w:cs="Courier New" w:eastAsia="Courier New" w:hAnsi="Courier New"/>
          <w:color w:val="2c3e50"/>
          <w:sz w:val="18"/>
          <w:szCs w:val="18"/>
        </w:rPr>
        <w:t xml:space="preserve">                 +----------+-------------+</w:t>
      </w:r>
    </w:p>
    <w:p>
      <w:pPr>
        <w:shd w:fill="f0f4f8" w:color="auto" w:val="clear"/>
        <w:spacing w:after="40" w:before="40"/>
        <w:ind w:left="360" w:right="360"/>
      </w:pPr>
      <w:r>
        <w:rPr>
          <w:rFonts w:ascii="Courier New" w:cs="Courier New" w:eastAsia="Courier New" w:hAnsi="Courier New"/>
          <w:color w:val="2c3e50"/>
          <w:sz w:val="18"/>
          <w:szCs w:val="18"/>
        </w:rPr>
        <w:t xml:space="preserve">                            |</w:t>
      </w:r>
    </w:p>
    <w:p>
      <w:pPr>
        <w:shd w:fill="f0f4f8" w:color="auto" w:val="clear"/>
        <w:spacing w:after="40" w:before="40"/>
        <w:ind w:left="360" w:right="360"/>
      </w:pPr>
      <w:r>
        <w:rPr>
          <w:rFonts w:ascii="Courier New" w:cs="Courier New" w:eastAsia="Courier New" w:hAnsi="Courier New"/>
          <w:color w:val="2c3e50"/>
          <w:sz w:val="18"/>
          <w:szCs w:val="18"/>
        </w:rPr>
        <w:t xml:space="preserve">                            v</w:t>
      </w:r>
    </w:p>
    <w:p>
      <w:pPr>
        <w:shd w:fill="f0f4f8" w:color="auto" w:val="clear"/>
        <w:spacing w:after="40" w:before="40"/>
        <w:ind w:left="360" w:right="360"/>
      </w:pPr>
      <w:r>
        <w:rPr>
          <w:rFonts w:ascii="Courier New" w:cs="Courier New" w:eastAsia="Courier New" w:hAnsi="Courier New"/>
          <w:color w:val="2c3e50"/>
          <w:sz w:val="18"/>
          <w:szCs w:val="18"/>
        </w:rPr>
        <w:t xml:space="preserve">                 +------------------------+</w:t>
      </w:r>
    </w:p>
    <w:p>
      <w:pPr>
        <w:shd w:fill="f0f4f8" w:color="auto" w:val="clear"/>
        <w:spacing w:after="40" w:before="40"/>
        <w:ind w:left="360" w:right="360"/>
      </w:pPr>
      <w:r>
        <w:rPr>
          <w:rFonts w:ascii="Courier New" w:cs="Courier New" w:eastAsia="Courier New" w:hAnsi="Courier New"/>
          <w:color w:val="2c3e50"/>
          <w:sz w:val="18"/>
          <w:szCs w:val="18"/>
        </w:rPr>
        <w:t xml:space="preserve">                 |      Event Bus         |</w:t>
      </w:r>
    </w:p>
    <w:p>
      <w:pPr>
        <w:shd w:fill="f0f4f8" w:color="auto" w:val="clear"/>
        <w:spacing w:after="40" w:before="40"/>
        <w:ind w:left="360" w:right="360"/>
      </w:pPr>
      <w:r>
        <w:rPr>
          <w:rFonts w:ascii="Courier New" w:cs="Courier New" w:eastAsia="Courier New" w:hAnsi="Courier New"/>
          <w:color w:val="2c3e50"/>
          <w:sz w:val="18"/>
          <w:szCs w:val="18"/>
        </w:rPr>
        <w:t xml:space="preserve">                 +----------+-------------+</w:t>
      </w:r>
    </w:p>
    <w:p>
      <w:pPr>
        <w:shd w:fill="f0f4f8" w:color="auto" w:val="clear"/>
        <w:spacing w:after="40" w:before="40"/>
        <w:ind w:left="360" w:right="360"/>
      </w:pPr>
      <w:r>
        <w:rPr>
          <w:rFonts w:ascii="Courier New" w:cs="Courier New" w:eastAsia="Courier New" w:hAnsi="Courier New"/>
          <w:color w:val="2c3e50"/>
          <w:sz w:val="18"/>
          <w:szCs w:val="18"/>
        </w:rPr>
        <w:t xml:space="preserve">                            |</w:t>
      </w:r>
    </w:p>
    <w:p>
      <w:pPr>
        <w:shd w:fill="f0f4f8" w:color="auto" w:val="clear"/>
        <w:spacing w:after="40" w:before="40"/>
        <w:ind w:left="360" w:right="360"/>
      </w:pPr>
      <w:r>
        <w:rPr>
          <w:rFonts w:ascii="Courier New" w:cs="Courier New" w:eastAsia="Courier New" w:hAnsi="Courier New"/>
          <w:color w:val="2c3e50"/>
          <w:sz w:val="18"/>
          <w:szCs w:val="18"/>
        </w:rPr>
        <w:t xml:space="preserve">         +------------------+------------------+</w:t>
      </w:r>
    </w:p>
    <w:p>
      <w:pPr>
        <w:shd w:fill="f0f4f8" w:color="auto" w:val="clear"/>
        <w:spacing w:after="40" w:before="40"/>
        <w:ind w:left="360" w:right="360"/>
      </w:pPr>
      <w:r>
        <w:rPr>
          <w:rFonts w:ascii="Courier New" w:cs="Courier New" w:eastAsia="Courier New" w:hAnsi="Courier New"/>
          <w:color w:val="2c3e50"/>
          <w:sz w:val="18"/>
          <w:szCs w:val="18"/>
        </w:rPr>
        <w:t xml:space="preserve">         |                  |                  |</w:t>
      </w:r>
    </w:p>
    <w:p>
      <w:pPr>
        <w:shd w:fill="f0f4f8" w:color="auto" w:val="clear"/>
        <w:spacing w:after="40" w:before="40"/>
        <w:ind w:left="360" w:right="360"/>
      </w:pPr>
      <w:r>
        <w:rPr>
          <w:rFonts w:ascii="Courier New" w:cs="Courier New" w:eastAsia="Courier New" w:hAnsi="Courier New"/>
          <w:color w:val="2c3e50"/>
          <w:sz w:val="18"/>
          <w:szCs w:val="18"/>
        </w:rPr>
        <w:t xml:space="preserve">         v                  v                  v</w:t>
      </w:r>
    </w:p>
    <w:p>
      <w:pPr>
        <w:shd w:fill="f0f4f8" w:color="auto" w:val="clear"/>
        <w:spacing w:after="40" w:before="40"/>
        <w:ind w:left="360" w:right="360"/>
      </w:pPr>
      <w:r>
        <w:rPr>
          <w:rFonts w:ascii="Courier New" w:cs="Courier New" w:eastAsia="Courier New" w:hAnsi="Courier New"/>
          <w:color w:val="2c3e50"/>
          <w:sz w:val="18"/>
          <w:szCs w:val="18"/>
        </w:rPr>
        <w:t xml:space="preserve"> +---------------+  +----------------+  +-----------------+</w:t>
      </w:r>
    </w:p>
    <w:p>
      <w:pPr>
        <w:shd w:fill="f0f4f8" w:color="auto" w:val="clear"/>
        <w:spacing w:after="40" w:before="40"/>
        <w:ind w:left="360" w:right="360"/>
      </w:pPr>
      <w:r>
        <w:rPr>
          <w:rFonts w:ascii="Courier New" w:cs="Courier New" w:eastAsia="Courier New" w:hAnsi="Courier New"/>
          <w:color w:val="2c3e50"/>
          <w:sz w:val="18"/>
          <w:szCs w:val="18"/>
        </w:rPr>
        <w:t xml:space="preserve"> | Rule Engine   |  | ML Engine      |  | Threat Intel    |</w:t>
      </w:r>
    </w:p>
    <w:p>
      <w:pPr>
        <w:shd w:fill="f0f4f8" w:color="auto" w:val="clear"/>
        <w:spacing w:after="40" w:before="40"/>
        <w:ind w:left="360" w:right="360"/>
      </w:pPr>
      <w:r>
        <w:rPr>
          <w:rFonts w:ascii="Courier New" w:cs="Courier New" w:eastAsia="Courier New" w:hAnsi="Courier New"/>
          <w:color w:val="2c3e50"/>
          <w:sz w:val="18"/>
          <w:szCs w:val="18"/>
        </w:rPr>
        <w:t xml:space="preserve"> +-------+-------+  +--------+-------+  +--------+--------+</w:t>
      </w:r>
    </w:p>
    <w:p>
      <w:pPr>
        <w:shd w:fill="f0f4f8" w:color="auto" w:val="clear"/>
        <w:spacing w:after="40" w:before="40"/>
        <w:ind w:left="360" w:right="360"/>
      </w:pPr>
      <w:r>
        <w:rPr>
          <w:rFonts w:ascii="Courier New" w:cs="Courier New" w:eastAsia="Courier New" w:hAnsi="Courier New"/>
          <w:color w:val="2c3e50"/>
          <w:sz w:val="18"/>
          <w:szCs w:val="18"/>
        </w:rPr>
        <w:t xml:space="preserve">          \                  |                   /</w:t>
      </w:r>
    </w:p>
    <w:p>
      <w:pPr>
        <w:shd w:fill="f0f4f8" w:color="auto" w:val="clear"/>
        <w:spacing w:after="40" w:before="40"/>
        <w:ind w:left="360" w:right="360"/>
      </w:pPr>
      <w:r>
        <w:rPr>
          <w:rFonts w:ascii="Courier New" w:cs="Courier New" w:eastAsia="Courier New" w:hAnsi="Courier New"/>
          <w:color w:val="2c3e50"/>
          <w:sz w:val="18"/>
          <w:szCs w:val="18"/>
        </w:rPr>
        <w:t xml:space="preserve">           \                 |                  /</w:t>
      </w:r>
    </w:p>
    <w:p>
      <w:pPr>
        <w:shd w:fill="f0f4f8" w:color="auto" w:val="clear"/>
        <w:spacing w:after="40" w:before="40"/>
        <w:ind w:left="360" w:right="360"/>
      </w:pPr>
      <w:r>
        <w:rPr>
          <w:rFonts w:ascii="Courier New" w:cs="Courier New" w:eastAsia="Courier New" w:hAnsi="Courier New"/>
          <w:color w:val="2c3e50"/>
          <w:sz w:val="18"/>
          <w:szCs w:val="18"/>
        </w:rPr>
        <w:t xml:space="preserve">            +----------------+-----------------+</w:t>
      </w:r>
    </w:p>
    <w:p>
      <w:pPr>
        <w:shd w:fill="f0f4f8" w:color="auto" w:val="clear"/>
        <w:spacing w:after="40" w:before="40"/>
        <w:ind w:left="360" w:right="360"/>
      </w:pPr>
      <w:r>
        <w:rPr>
          <w:rFonts w:ascii="Courier New" w:cs="Courier New" w:eastAsia="Courier New" w:hAnsi="Courier New"/>
          <w:color w:val="2c3e50"/>
          <w:sz w:val="18"/>
          <w:szCs w:val="18"/>
        </w:rPr>
        <w:t xml:space="preserve">                             |</w:t>
      </w:r>
    </w:p>
    <w:p>
      <w:pPr>
        <w:shd w:fill="f0f4f8" w:color="auto" w:val="clear"/>
        <w:spacing w:after="40" w:before="40"/>
        <w:ind w:left="360" w:right="360"/>
      </w:pPr>
      <w:r>
        <w:rPr>
          <w:rFonts w:ascii="Courier New" w:cs="Courier New" w:eastAsia="Courier New" w:hAnsi="Courier New"/>
          <w:color w:val="2c3e50"/>
          <w:sz w:val="18"/>
          <w:szCs w:val="18"/>
        </w:rPr>
        <w:t xml:space="preserve">                             v</w:t>
      </w:r>
    </w:p>
    <w:p>
      <w:pPr>
        <w:shd w:fill="f0f4f8" w:color="auto" w:val="clear"/>
        <w:spacing w:after="40" w:before="40"/>
        <w:ind w:left="360" w:right="360"/>
      </w:pPr>
      <w:r>
        <w:rPr>
          <w:rFonts w:ascii="Courier New" w:cs="Courier New" w:eastAsia="Courier New" w:hAnsi="Courier New"/>
          <w:color w:val="2c3e50"/>
          <w:sz w:val="18"/>
          <w:szCs w:val="18"/>
        </w:rPr>
        <w:t xml:space="preserve">                 +------------------------+</w:t>
      </w:r>
    </w:p>
    <w:p>
      <w:pPr>
        <w:shd w:fill="f0f4f8" w:color="auto" w:val="clear"/>
        <w:spacing w:after="40" w:before="40"/>
        <w:ind w:left="360" w:right="360"/>
      </w:pPr>
      <w:r>
        <w:rPr>
          <w:rFonts w:ascii="Courier New" w:cs="Courier New" w:eastAsia="Courier New" w:hAnsi="Courier New"/>
          <w:color w:val="2c3e50"/>
          <w:sz w:val="18"/>
          <w:szCs w:val="18"/>
        </w:rPr>
        <w:t xml:space="preserve">                 | Correlation Engine     |</w:t>
      </w:r>
    </w:p>
    <w:p>
      <w:pPr>
        <w:shd w:fill="f0f4f8" w:color="auto" w:val="clear"/>
        <w:spacing w:after="40" w:before="40"/>
        <w:ind w:left="360" w:right="360"/>
      </w:pPr>
      <w:r>
        <w:rPr>
          <w:rFonts w:ascii="Courier New" w:cs="Courier New" w:eastAsia="Courier New" w:hAnsi="Courier New"/>
          <w:color w:val="2c3e50"/>
          <w:sz w:val="18"/>
          <w:szCs w:val="18"/>
        </w:rPr>
        <w:t xml:space="preserve">                 +----------+-------------+</w:t>
      </w:r>
    </w:p>
    <w:p>
      <w:pPr>
        <w:shd w:fill="f0f4f8" w:color="auto" w:val="clear"/>
        <w:spacing w:after="40" w:before="40"/>
        <w:ind w:left="360" w:right="360"/>
      </w:pPr>
      <w:r>
        <w:rPr>
          <w:rFonts w:ascii="Courier New" w:cs="Courier New" w:eastAsia="Courier New" w:hAnsi="Courier New"/>
          <w:color w:val="2c3e50"/>
          <w:sz w:val="18"/>
          <w:szCs w:val="18"/>
        </w:rPr>
        <w:t xml:space="preserve">                            |</w:t>
      </w:r>
    </w:p>
    <w:p>
      <w:pPr>
        <w:shd w:fill="f0f4f8" w:color="auto" w:val="clear"/>
        <w:spacing w:after="40" w:before="40"/>
        <w:ind w:left="360" w:right="360"/>
      </w:pPr>
      <w:r>
        <w:rPr>
          <w:rFonts w:ascii="Courier New" w:cs="Courier New" w:eastAsia="Courier New" w:hAnsi="Courier New"/>
          <w:color w:val="2c3e50"/>
          <w:sz w:val="18"/>
          <w:szCs w:val="18"/>
        </w:rPr>
        <w:t xml:space="preserve">                            v</w:t>
      </w:r>
    </w:p>
    <w:p>
      <w:pPr>
        <w:shd w:fill="f0f4f8" w:color="auto" w:val="clear"/>
        <w:spacing w:after="40" w:before="40"/>
        <w:ind w:left="360" w:right="360"/>
      </w:pPr>
      <w:r>
        <w:rPr>
          <w:rFonts w:ascii="Courier New" w:cs="Courier New" w:eastAsia="Courier New" w:hAnsi="Courier New"/>
          <w:color w:val="2c3e50"/>
          <w:sz w:val="18"/>
          <w:szCs w:val="18"/>
        </w:rPr>
        <w:t xml:space="preserve">                 +------------------------+</w:t>
      </w:r>
    </w:p>
    <w:p>
      <w:pPr>
        <w:shd w:fill="f0f4f8" w:color="auto" w:val="clear"/>
        <w:spacing w:after="40" w:before="40"/>
        <w:ind w:left="360" w:right="360"/>
      </w:pPr>
      <w:r>
        <w:rPr>
          <w:rFonts w:ascii="Courier New" w:cs="Courier New" w:eastAsia="Courier New" w:hAnsi="Courier New"/>
          <w:color w:val="2c3e50"/>
          <w:sz w:val="18"/>
          <w:szCs w:val="18"/>
        </w:rPr>
        <w:t xml:space="preserve">                 | Decision Engine        |</w:t>
      </w:r>
    </w:p>
    <w:p>
      <w:pPr>
        <w:shd w:fill="f0f4f8" w:color="auto" w:val="clear"/>
        <w:spacing w:after="40" w:before="40"/>
        <w:ind w:left="360" w:right="360"/>
      </w:pPr>
      <w:r>
        <w:rPr>
          <w:rFonts w:ascii="Courier New" w:cs="Courier New" w:eastAsia="Courier New" w:hAnsi="Courier New"/>
          <w:color w:val="2c3e50"/>
          <w:sz w:val="18"/>
          <w:szCs w:val="18"/>
        </w:rPr>
        <w:t xml:space="preserve">                 +----------+-------------+</w:t>
      </w:r>
    </w:p>
    <w:p>
      <w:pPr>
        <w:shd w:fill="f0f4f8" w:color="auto" w:val="clear"/>
        <w:spacing w:after="40" w:before="40"/>
        <w:ind w:left="360" w:right="360"/>
      </w:pPr>
      <w:r>
        <w:rPr>
          <w:rFonts w:ascii="Courier New" w:cs="Courier New" w:eastAsia="Courier New" w:hAnsi="Courier New"/>
          <w:color w:val="2c3e50"/>
          <w:sz w:val="18"/>
          <w:szCs w:val="18"/>
        </w:rPr>
        <w:t xml:space="preserve">                            |</w:t>
      </w:r>
    </w:p>
    <w:p>
      <w:pPr>
        <w:shd w:fill="f0f4f8" w:color="auto" w:val="clear"/>
        <w:spacing w:after="40" w:before="40"/>
        <w:ind w:left="360" w:right="360"/>
      </w:pPr>
      <w:r>
        <w:rPr>
          <w:rFonts w:ascii="Courier New" w:cs="Courier New" w:eastAsia="Courier New" w:hAnsi="Courier New"/>
          <w:color w:val="2c3e50"/>
          <w:sz w:val="18"/>
          <w:szCs w:val="18"/>
        </w:rPr>
        <w:t xml:space="preserve">           +----------------+----------------+</w:t>
      </w:r>
    </w:p>
    <w:p>
      <w:pPr>
        <w:shd w:fill="f0f4f8" w:color="auto" w:val="clear"/>
        <w:spacing w:after="40" w:before="40"/>
        <w:ind w:left="360" w:right="360"/>
      </w:pPr>
      <w:r>
        <w:rPr>
          <w:rFonts w:ascii="Courier New" w:cs="Courier New" w:eastAsia="Courier New" w:hAnsi="Courier New"/>
          <w:color w:val="2c3e50"/>
          <w:sz w:val="18"/>
          <w:szCs w:val="18"/>
        </w:rPr>
        <w:t xml:space="preserve">           |                |                |</w:t>
      </w:r>
    </w:p>
    <w:p>
      <w:pPr>
        <w:shd w:fill="f0f4f8" w:color="auto" w:val="clear"/>
        <w:spacing w:after="40" w:before="40"/>
        <w:ind w:left="360" w:right="360"/>
      </w:pPr>
      <w:r>
        <w:rPr>
          <w:rFonts w:ascii="Courier New" w:cs="Courier New" w:eastAsia="Courier New" w:hAnsi="Courier New"/>
          <w:color w:val="2c3e50"/>
          <w:sz w:val="18"/>
          <w:szCs w:val="18"/>
        </w:rPr>
        <w:t xml:space="preserve">           v                v                v</w:t>
      </w:r>
    </w:p>
    <w:p>
      <w:pPr>
        <w:shd w:fill="f0f4f8" w:color="auto" w:val="clear"/>
        <w:spacing w:after="40" w:before="40"/>
        <w:ind w:left="360" w:right="360"/>
      </w:pPr>
      <w:r>
        <w:rPr>
          <w:rFonts w:ascii="Courier New" w:cs="Courier New" w:eastAsia="Courier New" w:hAnsi="Courier New"/>
          <w:color w:val="2c3e50"/>
          <w:sz w:val="18"/>
          <w:szCs w:val="18"/>
        </w:rPr>
        <w:t xml:space="preserve">        Alertes      Investigation       Réponse</w:t>
      </w:r>
    </w:p>
    <w:p>
      <w:pPr>
        <w:shd w:fill="f0f4f8" w:color="auto" w:val="clear"/>
        <w:spacing w:after="40" w:before="40"/>
        <w:ind w:left="360" w:right="360"/>
      </w:pPr>
      <w:r>
        <w:rPr>
          <w:rFonts w:ascii="Courier New" w:cs="Courier New" w:eastAsia="Courier New" w:hAnsi="Courier New"/>
          <w:color w:val="2c3e50"/>
          <w:sz w:val="18"/>
          <w:szCs w:val="18"/>
        </w:rPr>
        <w:t xml:space="preserve">                            |</w:t>
      </w:r>
    </w:p>
    <w:p>
      <w:pPr>
        <w:shd w:fill="f0f4f8" w:color="auto" w:val="clear"/>
        <w:spacing w:after="40" w:before="40"/>
        <w:ind w:left="360" w:right="360"/>
      </w:pPr>
      <w:r>
        <w:rPr>
          <w:rFonts w:ascii="Courier New" w:cs="Courier New" w:eastAsia="Courier New" w:hAnsi="Courier New"/>
          <w:color w:val="2c3e50"/>
          <w:sz w:val="18"/>
          <w:szCs w:val="18"/>
        </w:rPr>
        <w:t xml:space="preserve">                            v</w:t>
      </w:r>
    </w:p>
    <w:p>
      <w:pPr>
        <w:shd w:fill="f0f4f8" w:color="auto" w:val="clear"/>
        <w:spacing w:after="40" w:before="40"/>
        <w:ind w:left="360" w:right="360"/>
      </w:pPr>
      <w:r>
        <w:rPr>
          <w:rFonts w:ascii="Courier New" w:cs="Courier New" w:eastAsia="Courier New" w:hAnsi="Courier New"/>
          <w:color w:val="2c3e50"/>
          <w:sz w:val="18"/>
          <w:szCs w:val="18"/>
        </w:rPr>
        <w:t xml:space="preserve">                 +------------------------+</w:t>
      </w:r>
    </w:p>
    <w:p>
      <w:pPr>
        <w:shd w:fill="f0f4f8" w:color="auto" w:val="clear"/>
        <w:spacing w:after="40" w:before="40"/>
        <w:ind w:left="360" w:right="360"/>
      </w:pPr>
      <w:r>
        <w:rPr>
          <w:rFonts w:ascii="Courier New" w:cs="Courier New" w:eastAsia="Courier New" w:hAnsi="Courier New"/>
          <w:color w:val="2c3e50"/>
          <w:sz w:val="18"/>
          <w:szCs w:val="18"/>
        </w:rPr>
        <w:t xml:space="preserve">                 |   Dashboard / API      |</w:t>
      </w:r>
    </w:p>
    <w:p>
      <w:pPr>
        <w:shd w:fill="f0f4f8" w:color="auto" w:val="clear"/>
        <w:spacing w:after="40" w:before="40"/>
        <w:ind w:left="360" w:right="360"/>
      </w:pPr>
      <w:r>
        <w:rPr>
          <w:rFonts w:ascii="Courier New" w:cs="Courier New" w:eastAsia="Courier New" w:hAnsi="Courier New"/>
          <w:color w:val="2c3e50"/>
          <w:sz w:val="18"/>
          <w:szCs w:val="18"/>
        </w:rPr>
        <w:t xml:space="preserve">                 +------------------------+</w:t>
      </w:r>
    </w:p>
    <w:p/>
    <w:p>
      <w:pPr>
        <w:pStyle w:val="Heading2"/>
        <w:spacing w:after="80" w:before="240"/>
      </w:pPr>
      <w:r>
        <w:t xml:space="preserve">4.1 Collecteurs</w:t>
      </w:r>
    </w:p>
    <w:p>
      <w:pPr>
        <w:spacing w:after="60" w:before="60"/>
        <w:jc w:val="both"/>
      </w:pPr>
      <w:r>
        <w:rPr>
          <w:color w:val="333333"/>
          <w:sz w:val="22"/>
          <w:szCs w:val="22"/>
        </w:rPr>
        <w:t xml:space="preserve">Chaque collecteur est indépendant et récupère des événements depuis une source spécifique :</w:t>
      </w:r>
    </w:p>
    <w:tbl>
      <w:tblPr>
        <w:tblW w:type="dxa" w:w="8000"/>
        <w:tblBorders>
          <w:top w:val="single" w:color="2e6da4" w:sz="2"/>
          <w:left w:val="single" w:color="2e6da4" w:sz="2"/>
          <w:bottom w:val="single" w:color="2e6da4" w:sz="2"/>
          <w:right w:val="single" w:color="2e6da4" w:sz="2"/>
          <w:insideH w:val="single" w:color="auto" w:sz="4"/>
          <w:insideV w:val="single" w:color="auto" w:sz="4"/>
        </w:tblBorders>
      </w:tblPr>
      <w:tblGrid>
        <w:gridCol w:w="100"/>
        <w:gridCol w:w="100"/>
      </w:tblGrid>
      <w:tr>
        <w:tc>
          <w:tcPr>
            <w:tcW w:type="dxa" w:w="2500"/>
            <w:shd w:fill="1a2b4a" w:color="auto" w:val="clear"/>
            <w:vAlign w:val="center"/>
          </w:tcPr>
          <w:p>
            <w:pPr>
              <w:spacing w:after="60" w:before="60"/>
              <w:ind w:left="120" w:right="60"/>
            </w:pPr>
            <w:r>
              <w:rPr>
                <w:b/>
                <w:bCs/>
                <w:color w:val="FFFFFF"/>
                <w:sz w:val="20"/>
                <w:szCs w:val="20"/>
              </w:rPr>
              <w:t xml:space="preserve">Collecteur</w:t>
            </w:r>
          </w:p>
        </w:tc>
        <w:tc>
          <w:tcPr>
            <w:tcW w:type="dxa" w:w="5500"/>
            <w:shd w:fill="1a2b4a" w:color="auto" w:val="clear"/>
            <w:vAlign w:val="center"/>
          </w:tcPr>
          <w:p>
            <w:pPr>
              <w:spacing w:after="60" w:before="60"/>
              <w:ind w:left="120" w:right="120"/>
            </w:pPr>
            <w:r>
              <w:rPr>
                <w:b/>
                <w:bCs/>
                <w:color w:val="FFFFFF"/>
                <w:sz w:val="20"/>
                <w:szCs w:val="20"/>
              </w:rPr>
              <w:t xml:space="preserve">Source</w:t>
            </w:r>
          </w:p>
        </w:tc>
      </w:tr>
      <w:tr>
        <w:tc>
          <w:tcPr>
            <w:tcW w:type="dxa" w:w="2500"/>
            <w:shd w:fill="FFFFFF" w:color="auto" w:val="clear"/>
            <w:vAlign w:val="center"/>
          </w:tcPr>
          <w:p>
            <w:pPr>
              <w:spacing w:after="60" w:before="60"/>
              <w:ind w:left="120" w:right="60"/>
            </w:pPr>
            <w:r>
              <w:rPr>
                <w:b w:val="false"/>
                <w:bCs w:val="false"/>
                <w:color w:val="222222"/>
                <w:sz w:val="20"/>
                <w:szCs w:val="20"/>
              </w:rPr>
              <w:t xml:space="preserve">eBPF</w:t>
            </w:r>
          </w:p>
        </w:tc>
        <w:tc>
          <w:tcPr>
            <w:tcW w:type="dxa" w:w="5500"/>
            <w:shd w:fill="FFFFFF" w:color="auto" w:val="clear"/>
            <w:vAlign w:val="center"/>
          </w:tcPr>
          <w:p>
            <w:pPr>
              <w:spacing w:after="60" w:before="60"/>
              <w:ind w:left="120" w:right="120"/>
            </w:pPr>
            <w:r>
              <w:rPr>
                <w:b w:val="false"/>
                <w:bCs w:val="false"/>
                <w:color w:val="333333"/>
                <w:sz w:val="20"/>
                <w:szCs w:val="20"/>
              </w:rPr>
              <w:t xml:space="preserve">Appels système, réseau, processus (Linux ≥ 4.18)</w:t>
            </w:r>
          </w:p>
        </w:tc>
      </w:tr>
      <w:tr>
        <w:tc>
          <w:tcPr>
            <w:tcW w:type="dxa" w:w="2500"/>
            <w:shd w:fill="f5f7fa" w:color="auto" w:val="clear"/>
            <w:vAlign w:val="center"/>
          </w:tcPr>
          <w:p>
            <w:pPr>
              <w:spacing w:after="60" w:before="60"/>
              <w:ind w:left="120" w:right="60"/>
            </w:pPr>
            <w:r>
              <w:rPr>
                <w:b w:val="false"/>
                <w:bCs w:val="false"/>
                <w:color w:val="222222"/>
                <w:sz w:val="20"/>
                <w:szCs w:val="20"/>
              </w:rPr>
              <w:t xml:space="preserve">auditd</w:t>
            </w:r>
          </w:p>
        </w:tc>
        <w:tc>
          <w:tcPr>
            <w:tcW w:type="dxa" w:w="5500"/>
            <w:shd w:fill="f5f7fa" w:color="auto" w:val="clear"/>
            <w:vAlign w:val="center"/>
          </w:tcPr>
          <w:p>
            <w:pPr>
              <w:spacing w:after="60" w:before="60"/>
              <w:ind w:left="120" w:right="120"/>
            </w:pPr>
            <w:r>
              <w:rPr>
                <w:b w:val="false"/>
                <w:bCs w:val="false"/>
                <w:color w:val="333333"/>
                <w:sz w:val="20"/>
                <w:szCs w:val="20"/>
              </w:rPr>
              <w:t xml:space="preserve">Sous-système d'audit du noyau Linux</w:t>
            </w:r>
          </w:p>
        </w:tc>
      </w:tr>
      <w:tr>
        <w:tc>
          <w:tcPr>
            <w:tcW w:type="dxa" w:w="2500"/>
            <w:shd w:fill="FFFFFF" w:color="auto" w:val="clear"/>
            <w:vAlign w:val="center"/>
          </w:tcPr>
          <w:p>
            <w:pPr>
              <w:spacing w:after="60" w:before="60"/>
              <w:ind w:left="120" w:right="60"/>
            </w:pPr>
            <w:r>
              <w:rPr>
                <w:b w:val="false"/>
                <w:bCs w:val="false"/>
                <w:color w:val="222222"/>
                <w:sz w:val="20"/>
                <w:szCs w:val="20"/>
              </w:rPr>
              <w:t xml:space="preserve">fanotify</w:t>
            </w:r>
          </w:p>
        </w:tc>
        <w:tc>
          <w:tcPr>
            <w:tcW w:type="dxa" w:w="5500"/>
            <w:shd w:fill="FFFFFF" w:color="auto" w:val="clear"/>
            <w:vAlign w:val="center"/>
          </w:tcPr>
          <w:p>
            <w:pPr>
              <w:spacing w:after="60" w:before="60"/>
              <w:ind w:left="120" w:right="120"/>
            </w:pPr>
            <w:r>
              <w:rPr>
                <w:b w:val="false"/>
                <w:bCs w:val="false"/>
                <w:color w:val="333333"/>
                <w:sz w:val="20"/>
                <w:szCs w:val="20"/>
              </w:rPr>
              <w:t xml:space="preserve">Événements fichiers à haute performance</w:t>
            </w:r>
          </w:p>
        </w:tc>
      </w:tr>
      <w:tr>
        <w:tc>
          <w:tcPr>
            <w:tcW w:type="dxa" w:w="2500"/>
            <w:shd w:fill="f5f7fa" w:color="auto" w:val="clear"/>
            <w:vAlign w:val="center"/>
          </w:tcPr>
          <w:p>
            <w:pPr>
              <w:spacing w:after="60" w:before="60"/>
              <w:ind w:left="120" w:right="60"/>
            </w:pPr>
            <w:r>
              <w:rPr>
                <w:b w:val="false"/>
                <w:bCs w:val="false"/>
                <w:color w:val="222222"/>
                <w:sz w:val="20"/>
                <w:szCs w:val="20"/>
              </w:rPr>
              <w:t xml:space="preserve">inotify</w:t>
            </w:r>
          </w:p>
        </w:tc>
        <w:tc>
          <w:tcPr>
            <w:tcW w:type="dxa" w:w="5500"/>
            <w:shd w:fill="f5f7fa" w:color="auto" w:val="clear"/>
            <w:vAlign w:val="center"/>
          </w:tcPr>
          <w:p>
            <w:pPr>
              <w:spacing w:after="60" w:before="60"/>
              <w:ind w:left="120" w:right="120"/>
            </w:pPr>
            <w:r>
              <w:rPr>
                <w:b w:val="false"/>
                <w:bCs w:val="false"/>
                <w:color w:val="333333"/>
                <w:sz w:val="20"/>
                <w:szCs w:val="20"/>
              </w:rPr>
              <w:t xml:space="preserve">Notifications de changements de fichiers</w:t>
            </w:r>
          </w:p>
        </w:tc>
      </w:tr>
      <w:tr>
        <w:tc>
          <w:tcPr>
            <w:tcW w:type="dxa" w:w="2500"/>
            <w:shd w:fill="FFFFFF" w:color="auto" w:val="clear"/>
            <w:vAlign w:val="center"/>
          </w:tcPr>
          <w:p>
            <w:pPr>
              <w:spacing w:after="60" w:before="60"/>
              <w:ind w:left="120" w:right="60"/>
            </w:pPr>
            <w:r>
              <w:rPr>
                <w:b w:val="false"/>
                <w:bCs w:val="false"/>
                <w:color w:val="222222"/>
                <w:sz w:val="20"/>
                <w:szCs w:val="20"/>
              </w:rPr>
              <w:t xml:space="preserve">procfs</w:t>
            </w:r>
          </w:p>
        </w:tc>
        <w:tc>
          <w:tcPr>
            <w:tcW w:type="dxa" w:w="5500"/>
            <w:shd w:fill="FFFFFF" w:color="auto" w:val="clear"/>
            <w:vAlign w:val="center"/>
          </w:tcPr>
          <w:p>
            <w:pPr>
              <w:spacing w:after="60" w:before="60"/>
              <w:ind w:left="120" w:right="120"/>
            </w:pPr>
            <w:r>
              <w:rPr>
                <w:b w:val="false"/>
                <w:bCs w:val="false"/>
                <w:color w:val="333333"/>
                <w:sz w:val="20"/>
                <w:szCs w:val="20"/>
              </w:rPr>
              <w:t xml:space="preserve">État des processus et ressources (/proc)</w:t>
            </w:r>
          </w:p>
        </w:tc>
      </w:tr>
      <w:tr>
        <w:tc>
          <w:tcPr>
            <w:tcW w:type="dxa" w:w="2500"/>
            <w:shd w:fill="f5f7fa" w:color="auto" w:val="clear"/>
            <w:vAlign w:val="center"/>
          </w:tcPr>
          <w:p>
            <w:pPr>
              <w:spacing w:after="60" w:before="60"/>
              <w:ind w:left="120" w:right="60"/>
            </w:pPr>
            <w:r>
              <w:rPr>
                <w:b w:val="false"/>
                <w:bCs w:val="false"/>
                <w:color w:val="222222"/>
                <w:sz w:val="20"/>
                <w:szCs w:val="20"/>
              </w:rPr>
              <w:t xml:space="preserve">netlink</w:t>
            </w:r>
          </w:p>
        </w:tc>
        <w:tc>
          <w:tcPr>
            <w:tcW w:type="dxa" w:w="5500"/>
            <w:shd w:fill="f5f7fa" w:color="auto" w:val="clear"/>
            <w:vAlign w:val="center"/>
          </w:tcPr>
          <w:p>
            <w:pPr>
              <w:spacing w:after="60" w:before="60"/>
              <w:ind w:left="120" w:right="120"/>
            </w:pPr>
            <w:r>
              <w:rPr>
                <w:b w:val="false"/>
                <w:bCs w:val="false"/>
                <w:color w:val="333333"/>
                <w:sz w:val="20"/>
                <w:szCs w:val="20"/>
              </w:rPr>
              <w:t xml:space="preserve">Événements réseau (connexions, routes)</w:t>
            </w:r>
          </w:p>
        </w:tc>
      </w:tr>
      <w:tr>
        <w:tc>
          <w:tcPr>
            <w:tcW w:type="dxa" w:w="2500"/>
            <w:shd w:fill="FFFFFF" w:color="auto" w:val="clear"/>
            <w:vAlign w:val="center"/>
          </w:tcPr>
          <w:p>
            <w:pPr>
              <w:spacing w:after="60" w:before="60"/>
              <w:ind w:left="120" w:right="60"/>
            </w:pPr>
            <w:r>
              <w:rPr>
                <w:b w:val="false"/>
                <w:bCs w:val="false"/>
                <w:color w:val="222222"/>
                <w:sz w:val="20"/>
                <w:szCs w:val="20"/>
              </w:rPr>
              <w:t xml:space="preserve">journald</w:t>
            </w:r>
          </w:p>
        </w:tc>
        <w:tc>
          <w:tcPr>
            <w:tcW w:type="dxa" w:w="5500"/>
            <w:shd w:fill="FFFFFF" w:color="auto" w:val="clear"/>
            <w:vAlign w:val="center"/>
          </w:tcPr>
          <w:p>
            <w:pPr>
              <w:spacing w:after="60" w:before="60"/>
              <w:ind w:left="120" w:right="120"/>
            </w:pPr>
            <w:r>
              <w:rPr>
                <w:b w:val="false"/>
                <w:bCs w:val="false"/>
                <w:color w:val="333333"/>
                <w:sz w:val="20"/>
                <w:szCs w:val="20"/>
              </w:rPr>
              <w:t xml:space="preserve">Journaux systemd et services</w:t>
            </w:r>
          </w:p>
        </w:tc>
      </w:tr>
      <w:tr>
        <w:tc>
          <w:tcPr>
            <w:tcW w:type="dxa" w:w="2500"/>
            <w:shd w:fill="f5f7fa" w:color="auto" w:val="clear"/>
            <w:vAlign w:val="center"/>
          </w:tcPr>
          <w:p>
            <w:pPr>
              <w:spacing w:after="60" w:before="60"/>
              <w:ind w:left="120" w:right="60"/>
            </w:pPr>
            <w:r>
              <w:rPr>
                <w:b w:val="false"/>
                <w:bCs w:val="false"/>
                <w:color w:val="222222"/>
                <w:sz w:val="20"/>
                <w:szCs w:val="20"/>
              </w:rPr>
              <w:t xml:space="preserve">udev</w:t>
            </w:r>
          </w:p>
        </w:tc>
        <w:tc>
          <w:tcPr>
            <w:tcW w:type="dxa" w:w="5500"/>
            <w:shd w:fill="f5f7fa" w:color="auto" w:val="clear"/>
            <w:vAlign w:val="center"/>
          </w:tcPr>
          <w:p>
            <w:pPr>
              <w:spacing w:after="60" w:before="60"/>
              <w:ind w:left="120" w:right="120"/>
            </w:pPr>
            <w:r>
              <w:rPr>
                <w:b w:val="false"/>
                <w:bCs w:val="false"/>
                <w:color w:val="333333"/>
                <w:sz w:val="20"/>
                <w:szCs w:val="20"/>
              </w:rPr>
              <w:t xml:space="preserve">Périphériques (USB, caméra, microphone)</w:t>
            </w:r>
          </w:p>
        </w:tc>
      </w:tr>
      <w:tr>
        <w:tc>
          <w:tcPr>
            <w:tcW w:type="dxa" w:w="2500"/>
            <w:shd w:fill="FFFFFF" w:color="auto" w:val="clear"/>
            <w:vAlign w:val="center"/>
          </w:tcPr>
          <w:p>
            <w:pPr>
              <w:spacing w:after="60" w:before="60"/>
              <w:ind w:left="120" w:right="60"/>
            </w:pPr>
            <w:r>
              <w:rPr>
                <w:b w:val="false"/>
                <w:bCs w:val="false"/>
                <w:color w:val="222222"/>
                <w:sz w:val="20"/>
                <w:szCs w:val="20"/>
              </w:rPr>
              <w:t xml:space="preserve">syslog</w:t>
            </w:r>
          </w:p>
        </w:tc>
        <w:tc>
          <w:tcPr>
            <w:tcW w:type="dxa" w:w="5500"/>
            <w:shd w:fill="FFFFFF" w:color="auto" w:val="clear"/>
            <w:vAlign w:val="center"/>
          </w:tcPr>
          <w:p>
            <w:pPr>
              <w:spacing w:after="60" w:before="60"/>
              <w:ind w:left="120" w:right="120"/>
            </w:pPr>
            <w:r>
              <w:rPr>
                <w:b w:val="false"/>
                <w:bCs w:val="false"/>
                <w:color w:val="333333"/>
                <w:sz w:val="20"/>
                <w:szCs w:val="20"/>
              </w:rPr>
              <w:t xml:space="preserve">Journaux applicatifs et système</w:t>
            </w:r>
          </w:p>
        </w:tc>
      </w:tr>
    </w:tbl>
    <w:p/>
    <w:p>
      <w:pPr>
        <w:pStyle w:val="Heading2"/>
        <w:spacing w:after="80" w:before="240"/>
      </w:pPr>
      <w:r>
        <w:t xml:space="preserve">4.2 Bus d'événements</w:t>
      </w:r>
    </w:p>
    <w:p>
      <w:pPr>
        <w:spacing w:after="60" w:before="60"/>
        <w:jc w:val="both"/>
      </w:pPr>
      <w:r>
        <w:rPr>
          <w:color w:val="333333"/>
          <w:sz w:val="22"/>
          <w:szCs w:val="22"/>
        </w:rPr>
        <w:t xml:space="preserve">Tous les événements sont publiés sur un bus interne (implémentation : canal en mémoire, Redis Streams ou Apache Kafka selon l'échelle). Le bus garantit :</w:t>
      </w:r>
    </w:p>
    <w:p>
      <w:pPr>
        <w:pStyle w:val="ListParagraph"/>
        <w:numPr>
          <w:ilvl w:val="0"/>
          <w:numId w:val="1"/>
        </w:numPr>
        <w:spacing w:after="40" w:before="40"/>
      </w:pPr>
      <w:r>
        <w:rPr>
          <w:color w:val="333333"/>
          <w:sz w:val="21"/>
          <w:szCs w:val="21"/>
        </w:rPr>
        <w:t xml:space="preserve">Découplage total entre producteurs et consommateurs</w:t>
      </w:r>
    </w:p>
    <w:p>
      <w:pPr>
        <w:pStyle w:val="ListParagraph"/>
        <w:numPr>
          <w:ilvl w:val="0"/>
          <w:numId w:val="1"/>
        </w:numPr>
        <w:spacing w:after="40" w:before="40"/>
      </w:pPr>
      <w:r>
        <w:rPr>
          <w:color w:val="333333"/>
          <w:sz w:val="21"/>
          <w:szCs w:val="21"/>
        </w:rPr>
        <w:t xml:space="preserve">Bufférisation en cas de pic d'événements</w:t>
      </w:r>
    </w:p>
    <w:p>
      <w:pPr>
        <w:pStyle w:val="ListParagraph"/>
        <w:numPr>
          <w:ilvl w:val="0"/>
          <w:numId w:val="1"/>
        </w:numPr>
        <w:spacing w:after="40" w:before="40"/>
      </w:pPr>
      <w:r>
        <w:rPr>
          <w:color w:val="333333"/>
          <w:sz w:val="21"/>
          <w:szCs w:val="21"/>
        </w:rPr>
        <w:t xml:space="preserve">Persistance configurable des événements non traités</w:t>
      </w:r>
    </w:p>
    <w:p>
      <w:pPr>
        <w:pStyle w:val="ListParagraph"/>
        <w:numPr>
          <w:ilvl w:val="0"/>
          <w:numId w:val="1"/>
        </w:numPr>
        <w:spacing w:after="40" w:before="40"/>
      </w:pPr>
      <w:r>
        <w:rPr>
          <w:color w:val="333333"/>
          <w:sz w:val="21"/>
          <w:szCs w:val="21"/>
        </w:rPr>
        <w:t xml:space="preserve">Livraison ordonnée par source</w:t>
      </w:r>
    </w:p>
    <w:p/>
    <w:p>
      <w:pPr>
        <w:pStyle w:val="Heading2"/>
        <w:spacing w:after="80" w:before="240"/>
      </w:pPr>
      <w:r>
        <w:t xml:space="preserve">4.3 Normalisation</w:t>
      </w:r>
    </w:p>
    <w:p>
      <w:pPr>
        <w:spacing w:after="60" w:before="60"/>
        <w:jc w:val="both"/>
      </w:pPr>
      <w:r>
        <w:rPr>
          <w:color w:val="333333"/>
          <w:sz w:val="22"/>
          <w:szCs w:val="22"/>
        </w:rPr>
        <w:t xml:space="preserve">Tous les événements sont convertis dans un format commun avant tout traitement. Le schéma universel inclut obligatoirement :</w:t>
      </w:r>
    </w:p>
    <w:tbl>
      <w:tblPr>
        <w:tblW w:type="dxa" w:w="8000"/>
        <w:tblBorders>
          <w:top w:val="single" w:color="2e6da4" w:sz="2"/>
          <w:left w:val="single" w:color="2e6da4" w:sz="2"/>
          <w:bottom w:val="single" w:color="2e6da4" w:sz="2"/>
          <w:right w:val="single" w:color="2e6da4" w:sz="2"/>
          <w:insideH w:val="single" w:color="auto" w:sz="4"/>
          <w:insideV w:val="single" w:color="auto" w:sz="4"/>
        </w:tblBorders>
      </w:tblPr>
      <w:tblGrid>
        <w:gridCol w:w="100"/>
        <w:gridCol w:w="100"/>
      </w:tblGrid>
      <w:tr>
        <w:tc>
          <w:tcPr>
            <w:tcW w:type="dxa" w:w="2500"/>
            <w:shd w:fill="1a2b4a" w:color="auto" w:val="clear"/>
            <w:vAlign w:val="center"/>
          </w:tcPr>
          <w:p>
            <w:pPr>
              <w:spacing w:after="60" w:before="60"/>
              <w:ind w:left="120" w:right="60"/>
            </w:pPr>
            <w:r>
              <w:rPr>
                <w:b/>
                <w:bCs/>
                <w:color w:val="FFFFFF"/>
                <w:sz w:val="20"/>
                <w:szCs w:val="20"/>
              </w:rPr>
              <w:t xml:space="preserve">Champ</w:t>
            </w:r>
          </w:p>
        </w:tc>
        <w:tc>
          <w:tcPr>
            <w:tcW w:type="dxa" w:w="5500"/>
            <w:shd w:fill="1a2b4a" w:color="auto" w:val="clear"/>
            <w:vAlign w:val="center"/>
          </w:tcPr>
          <w:p>
            <w:pPr>
              <w:spacing w:after="60" w:before="60"/>
              <w:ind w:left="120" w:right="120"/>
            </w:pPr>
            <w:r>
              <w:rPr>
                <w:b/>
                <w:bCs/>
                <w:color w:val="FFFFFF"/>
                <w:sz w:val="20"/>
                <w:szCs w:val="20"/>
              </w:rPr>
              <w:t xml:space="preserve">Description</w:t>
            </w:r>
          </w:p>
        </w:tc>
      </w:tr>
      <w:tr>
        <w:tc>
          <w:tcPr>
            <w:tcW w:type="dxa" w:w="2500"/>
            <w:shd w:fill="FFFFFF" w:color="auto" w:val="clear"/>
            <w:vAlign w:val="center"/>
          </w:tcPr>
          <w:p>
            <w:pPr>
              <w:spacing w:after="60" w:before="60"/>
              <w:ind w:left="120" w:right="60"/>
            </w:pPr>
            <w:r>
              <w:rPr>
                <w:b w:val="false"/>
                <w:bCs w:val="false"/>
                <w:color w:val="222222"/>
                <w:sz w:val="20"/>
                <w:szCs w:val="20"/>
              </w:rPr>
              <w:t xml:space="preserve">event_id</w:t>
            </w:r>
          </w:p>
        </w:tc>
        <w:tc>
          <w:tcPr>
            <w:tcW w:type="dxa" w:w="5500"/>
            <w:shd w:fill="FFFFFF" w:color="auto" w:val="clear"/>
            <w:vAlign w:val="center"/>
          </w:tcPr>
          <w:p>
            <w:pPr>
              <w:spacing w:after="60" w:before="60"/>
              <w:ind w:left="120" w:right="120"/>
            </w:pPr>
            <w:r>
              <w:rPr>
                <w:b w:val="false"/>
                <w:bCs w:val="false"/>
                <w:color w:val="333333"/>
                <w:sz w:val="20"/>
                <w:szCs w:val="20"/>
              </w:rPr>
              <w:t xml:space="preserve">Identifiant unique universel (UUID v7)</w:t>
            </w:r>
          </w:p>
        </w:tc>
      </w:tr>
      <w:tr>
        <w:tc>
          <w:tcPr>
            <w:tcW w:type="dxa" w:w="2500"/>
            <w:shd w:fill="f5f7fa" w:color="auto" w:val="clear"/>
            <w:vAlign w:val="center"/>
          </w:tcPr>
          <w:p>
            <w:pPr>
              <w:spacing w:after="60" w:before="60"/>
              <w:ind w:left="120" w:right="60"/>
            </w:pPr>
            <w:r>
              <w:rPr>
                <w:b w:val="false"/>
                <w:bCs w:val="false"/>
                <w:color w:val="222222"/>
                <w:sz w:val="20"/>
                <w:szCs w:val="20"/>
              </w:rPr>
              <w:t xml:space="preserve">timestamp_ns</w:t>
            </w:r>
          </w:p>
        </w:tc>
        <w:tc>
          <w:tcPr>
            <w:tcW w:type="dxa" w:w="5500"/>
            <w:shd w:fill="f5f7fa" w:color="auto" w:val="clear"/>
            <w:vAlign w:val="center"/>
          </w:tcPr>
          <w:p>
            <w:pPr>
              <w:spacing w:after="60" w:before="60"/>
              <w:ind w:left="120" w:right="120"/>
            </w:pPr>
            <w:r>
              <w:rPr>
                <w:b w:val="false"/>
                <w:bCs w:val="false"/>
                <w:color w:val="333333"/>
                <w:sz w:val="20"/>
                <w:szCs w:val="20"/>
              </w:rPr>
              <w:t xml:space="preserve">Horodatage en nanosecondes (monotonic clock)</w:t>
            </w:r>
          </w:p>
        </w:tc>
      </w:tr>
      <w:tr>
        <w:tc>
          <w:tcPr>
            <w:tcW w:type="dxa" w:w="2500"/>
            <w:shd w:fill="FFFFFF" w:color="auto" w:val="clear"/>
            <w:vAlign w:val="center"/>
          </w:tcPr>
          <w:p>
            <w:pPr>
              <w:spacing w:after="60" w:before="60"/>
              <w:ind w:left="120" w:right="60"/>
            </w:pPr>
            <w:r>
              <w:rPr>
                <w:b w:val="false"/>
                <w:bCs w:val="false"/>
                <w:color w:val="222222"/>
                <w:sz w:val="20"/>
                <w:szCs w:val="20"/>
              </w:rPr>
              <w:t xml:space="preserve">category</w:t>
            </w:r>
          </w:p>
        </w:tc>
        <w:tc>
          <w:tcPr>
            <w:tcW w:type="dxa" w:w="5500"/>
            <w:shd w:fill="FFFFFF" w:color="auto" w:val="clear"/>
            <w:vAlign w:val="center"/>
          </w:tcPr>
          <w:p>
            <w:pPr>
              <w:spacing w:after="60" w:before="60"/>
              <w:ind w:left="120" w:right="120"/>
            </w:pPr>
            <w:r>
              <w:rPr>
                <w:b w:val="false"/>
                <w:bCs w:val="false"/>
                <w:color w:val="333333"/>
                <w:sz w:val="20"/>
                <w:szCs w:val="20"/>
              </w:rPr>
              <w:t xml:space="preserve">Catégorie : file, process, network, user, device</w:t>
            </w:r>
          </w:p>
        </w:tc>
      </w:tr>
      <w:tr>
        <w:tc>
          <w:tcPr>
            <w:tcW w:type="dxa" w:w="2500"/>
            <w:shd w:fill="f5f7fa" w:color="auto" w:val="clear"/>
            <w:vAlign w:val="center"/>
          </w:tcPr>
          <w:p>
            <w:pPr>
              <w:spacing w:after="60" w:before="60"/>
              <w:ind w:left="120" w:right="60"/>
            </w:pPr>
            <w:r>
              <w:rPr>
                <w:b w:val="false"/>
                <w:bCs w:val="false"/>
                <w:color w:val="222222"/>
                <w:sz w:val="20"/>
                <w:szCs w:val="20"/>
              </w:rPr>
              <w:t xml:space="preserve">type</w:t>
            </w:r>
          </w:p>
        </w:tc>
        <w:tc>
          <w:tcPr>
            <w:tcW w:type="dxa" w:w="5500"/>
            <w:shd w:fill="f5f7fa" w:color="auto" w:val="clear"/>
            <w:vAlign w:val="center"/>
          </w:tcPr>
          <w:p>
            <w:pPr>
              <w:spacing w:after="60" w:before="60"/>
              <w:ind w:left="120" w:right="120"/>
            </w:pPr>
            <w:r>
              <w:rPr>
                <w:b w:val="false"/>
                <w:bCs w:val="false"/>
                <w:color w:val="333333"/>
                <w:sz w:val="20"/>
                <w:szCs w:val="20"/>
              </w:rPr>
              <w:t xml:space="preserve">Type précis de l'événement (ex : file.create)</w:t>
            </w:r>
          </w:p>
        </w:tc>
      </w:tr>
      <w:tr>
        <w:tc>
          <w:tcPr>
            <w:tcW w:type="dxa" w:w="2500"/>
            <w:shd w:fill="FFFFFF" w:color="auto" w:val="clear"/>
            <w:vAlign w:val="center"/>
          </w:tcPr>
          <w:p>
            <w:pPr>
              <w:spacing w:after="60" w:before="60"/>
              <w:ind w:left="120" w:right="60"/>
            </w:pPr>
            <w:r>
              <w:rPr>
                <w:b w:val="false"/>
                <w:bCs w:val="false"/>
                <w:color w:val="222222"/>
                <w:sz w:val="20"/>
                <w:szCs w:val="20"/>
              </w:rPr>
              <w:t xml:space="preserve">severity</w:t>
            </w:r>
          </w:p>
        </w:tc>
        <w:tc>
          <w:tcPr>
            <w:tcW w:type="dxa" w:w="5500"/>
            <w:shd w:fill="FFFFFF" w:color="auto" w:val="clear"/>
            <w:vAlign w:val="center"/>
          </w:tcPr>
          <w:p>
            <w:pPr>
              <w:spacing w:after="60" w:before="60"/>
              <w:ind w:left="120" w:right="120"/>
            </w:pPr>
            <w:r>
              <w:rPr>
                <w:b w:val="false"/>
                <w:bCs w:val="false"/>
                <w:color w:val="333333"/>
                <w:sz w:val="20"/>
                <w:szCs w:val="20"/>
              </w:rPr>
              <w:t xml:space="preserve">Niveau : info, low, medium, high, critical</w:t>
            </w:r>
          </w:p>
        </w:tc>
      </w:tr>
      <w:tr>
        <w:tc>
          <w:tcPr>
            <w:tcW w:type="dxa" w:w="2500"/>
            <w:shd w:fill="f5f7fa" w:color="auto" w:val="clear"/>
            <w:vAlign w:val="center"/>
          </w:tcPr>
          <w:p>
            <w:pPr>
              <w:spacing w:after="60" w:before="60"/>
              <w:ind w:left="120" w:right="60"/>
            </w:pPr>
            <w:r>
              <w:rPr>
                <w:b w:val="false"/>
                <w:bCs w:val="false"/>
                <w:color w:val="222222"/>
                <w:sz w:val="20"/>
                <w:szCs w:val="20"/>
              </w:rPr>
              <w:t xml:space="preserve">uid / gid</w:t>
            </w:r>
          </w:p>
        </w:tc>
        <w:tc>
          <w:tcPr>
            <w:tcW w:type="dxa" w:w="5500"/>
            <w:shd w:fill="f5f7fa" w:color="auto" w:val="clear"/>
            <w:vAlign w:val="center"/>
          </w:tcPr>
          <w:p>
            <w:pPr>
              <w:spacing w:after="60" w:before="60"/>
              <w:ind w:left="120" w:right="120"/>
            </w:pPr>
            <w:r>
              <w:rPr>
                <w:b w:val="false"/>
                <w:bCs w:val="false"/>
                <w:color w:val="333333"/>
                <w:sz w:val="20"/>
                <w:szCs w:val="20"/>
              </w:rPr>
              <w:t xml:space="preserve">Identifiants utilisateur réel et effectif</w:t>
            </w:r>
          </w:p>
        </w:tc>
      </w:tr>
      <w:tr>
        <w:tc>
          <w:tcPr>
            <w:tcW w:type="dxa" w:w="2500"/>
            <w:shd w:fill="FFFFFF" w:color="auto" w:val="clear"/>
            <w:vAlign w:val="center"/>
          </w:tcPr>
          <w:p>
            <w:pPr>
              <w:spacing w:after="60" w:before="60"/>
              <w:ind w:left="120" w:right="60"/>
            </w:pPr>
            <w:r>
              <w:rPr>
                <w:b w:val="false"/>
                <w:bCs w:val="false"/>
                <w:color w:val="222222"/>
                <w:sz w:val="20"/>
                <w:szCs w:val="20"/>
              </w:rPr>
              <w:t xml:space="preserve">pid / ppid</w:t>
            </w:r>
          </w:p>
        </w:tc>
        <w:tc>
          <w:tcPr>
            <w:tcW w:type="dxa" w:w="5500"/>
            <w:shd w:fill="FFFFFF" w:color="auto" w:val="clear"/>
            <w:vAlign w:val="center"/>
          </w:tcPr>
          <w:p>
            <w:pPr>
              <w:spacing w:after="60" w:before="60"/>
              <w:ind w:left="120" w:right="120"/>
            </w:pPr>
            <w:r>
              <w:rPr>
                <w:b w:val="false"/>
                <w:bCs w:val="false"/>
                <w:color w:val="333333"/>
                <w:sz w:val="20"/>
                <w:szCs w:val="20"/>
              </w:rPr>
              <w:t xml:space="preserve">Identifiants processus et processus parent</w:t>
            </w:r>
          </w:p>
        </w:tc>
      </w:tr>
      <w:tr>
        <w:tc>
          <w:tcPr>
            <w:tcW w:type="dxa" w:w="2500"/>
            <w:shd w:fill="f5f7fa" w:color="auto" w:val="clear"/>
            <w:vAlign w:val="center"/>
          </w:tcPr>
          <w:p>
            <w:pPr>
              <w:spacing w:after="60" w:before="60"/>
              <w:ind w:left="120" w:right="60"/>
            </w:pPr>
            <w:r>
              <w:rPr>
                <w:b w:val="false"/>
                <w:bCs w:val="false"/>
                <w:color w:val="222222"/>
                <w:sz w:val="20"/>
                <w:szCs w:val="20"/>
              </w:rPr>
              <w:t xml:space="preserve">process_name</w:t>
            </w:r>
          </w:p>
        </w:tc>
        <w:tc>
          <w:tcPr>
            <w:tcW w:type="dxa" w:w="5500"/>
            <w:shd w:fill="f5f7fa" w:color="auto" w:val="clear"/>
            <w:vAlign w:val="center"/>
          </w:tcPr>
          <w:p>
            <w:pPr>
              <w:spacing w:after="60" w:before="60"/>
              <w:ind w:left="120" w:right="120"/>
            </w:pPr>
            <w:r>
              <w:rPr>
                <w:b w:val="false"/>
                <w:bCs w:val="false"/>
                <w:color w:val="333333"/>
                <w:sz w:val="20"/>
                <w:szCs w:val="20"/>
              </w:rPr>
              <w:t xml:space="preserve">Nom du processus</w:t>
            </w:r>
          </w:p>
        </w:tc>
      </w:tr>
      <w:tr>
        <w:tc>
          <w:tcPr>
            <w:tcW w:type="dxa" w:w="2500"/>
            <w:shd w:fill="FFFFFF" w:color="auto" w:val="clear"/>
            <w:vAlign w:val="center"/>
          </w:tcPr>
          <w:p>
            <w:pPr>
              <w:spacing w:after="60" w:before="60"/>
              <w:ind w:left="120" w:right="60"/>
            </w:pPr>
            <w:r>
              <w:rPr>
                <w:b w:val="false"/>
                <w:bCs w:val="false"/>
                <w:color w:val="222222"/>
                <w:sz w:val="20"/>
                <w:szCs w:val="20"/>
              </w:rPr>
              <w:t xml:space="preserve">executable</w:t>
            </w:r>
          </w:p>
        </w:tc>
        <w:tc>
          <w:tcPr>
            <w:tcW w:type="dxa" w:w="5500"/>
            <w:shd w:fill="FFFFFF" w:color="auto" w:val="clear"/>
            <w:vAlign w:val="center"/>
          </w:tcPr>
          <w:p>
            <w:pPr>
              <w:spacing w:after="60" w:before="60"/>
              <w:ind w:left="120" w:right="120"/>
            </w:pPr>
            <w:r>
              <w:rPr>
                <w:b w:val="false"/>
                <w:bCs w:val="false"/>
                <w:color w:val="333333"/>
                <w:sz w:val="20"/>
                <w:szCs w:val="20"/>
              </w:rPr>
              <w:t xml:space="preserve">Chemin absolu de l'exécutable</w:t>
            </w:r>
          </w:p>
        </w:tc>
      </w:tr>
      <w:tr>
        <w:tc>
          <w:tcPr>
            <w:tcW w:type="dxa" w:w="2500"/>
            <w:shd w:fill="f5f7fa" w:color="auto" w:val="clear"/>
            <w:vAlign w:val="center"/>
          </w:tcPr>
          <w:p>
            <w:pPr>
              <w:spacing w:after="60" w:before="60"/>
              <w:ind w:left="120" w:right="60"/>
            </w:pPr>
            <w:r>
              <w:rPr>
                <w:b w:val="false"/>
                <w:bCs w:val="false"/>
                <w:color w:val="222222"/>
                <w:sz w:val="20"/>
                <w:szCs w:val="20"/>
              </w:rPr>
              <w:t xml:space="preserve">cmdline</w:t>
            </w:r>
          </w:p>
        </w:tc>
        <w:tc>
          <w:tcPr>
            <w:tcW w:type="dxa" w:w="5500"/>
            <w:shd w:fill="f5f7fa" w:color="auto" w:val="clear"/>
            <w:vAlign w:val="center"/>
          </w:tcPr>
          <w:p>
            <w:pPr>
              <w:spacing w:after="60" w:before="60"/>
              <w:ind w:left="120" w:right="120"/>
            </w:pPr>
            <w:r>
              <w:rPr>
                <w:b w:val="false"/>
                <w:bCs w:val="false"/>
                <w:color w:val="333333"/>
                <w:sz w:val="20"/>
                <w:szCs w:val="20"/>
              </w:rPr>
              <w:t xml:space="preserve">Ligne de commande complète</w:t>
            </w:r>
          </w:p>
        </w:tc>
      </w:tr>
      <w:tr>
        <w:tc>
          <w:tcPr>
            <w:tcW w:type="dxa" w:w="2500"/>
            <w:shd w:fill="FFFFFF" w:color="auto" w:val="clear"/>
            <w:vAlign w:val="center"/>
          </w:tcPr>
          <w:p>
            <w:pPr>
              <w:spacing w:after="60" w:before="60"/>
              <w:ind w:left="120" w:right="60"/>
            </w:pPr>
            <w:r>
              <w:rPr>
                <w:b w:val="false"/>
                <w:bCs w:val="false"/>
                <w:color w:val="222222"/>
                <w:sz w:val="20"/>
                <w:szCs w:val="20"/>
              </w:rPr>
              <w:t xml:space="preserve">cwd</w:t>
            </w:r>
          </w:p>
        </w:tc>
        <w:tc>
          <w:tcPr>
            <w:tcW w:type="dxa" w:w="5500"/>
            <w:shd w:fill="FFFFFF" w:color="auto" w:val="clear"/>
            <w:vAlign w:val="center"/>
          </w:tcPr>
          <w:p>
            <w:pPr>
              <w:spacing w:after="60" w:before="60"/>
              <w:ind w:left="120" w:right="120"/>
            </w:pPr>
            <w:r>
              <w:rPr>
                <w:b w:val="false"/>
                <w:bCs w:val="false"/>
                <w:color w:val="333333"/>
                <w:sz w:val="20"/>
                <w:szCs w:val="20"/>
              </w:rPr>
              <w:t xml:space="preserve">Répertoire courant du processus</w:t>
            </w:r>
          </w:p>
        </w:tc>
      </w:tr>
      <w:tr>
        <w:tc>
          <w:tcPr>
            <w:tcW w:type="dxa" w:w="2500"/>
            <w:shd w:fill="f5f7fa" w:color="auto" w:val="clear"/>
            <w:vAlign w:val="center"/>
          </w:tcPr>
          <w:p>
            <w:pPr>
              <w:spacing w:after="60" w:before="60"/>
              <w:ind w:left="120" w:right="60"/>
            </w:pPr>
            <w:r>
              <w:rPr>
                <w:b w:val="false"/>
                <w:bCs w:val="false"/>
                <w:color w:val="222222"/>
                <w:sz w:val="20"/>
                <w:szCs w:val="20"/>
              </w:rPr>
              <w:t xml:space="preserve">resource</w:t>
            </w:r>
          </w:p>
        </w:tc>
        <w:tc>
          <w:tcPr>
            <w:tcW w:type="dxa" w:w="5500"/>
            <w:shd w:fill="f5f7fa" w:color="auto" w:val="clear"/>
            <w:vAlign w:val="center"/>
          </w:tcPr>
          <w:p>
            <w:pPr>
              <w:spacing w:after="60" w:before="60"/>
              <w:ind w:left="120" w:right="120"/>
            </w:pPr>
            <w:r>
              <w:rPr>
                <w:b w:val="false"/>
                <w:bCs w:val="false"/>
                <w:color w:val="333333"/>
                <w:sz w:val="20"/>
                <w:szCs w:val="20"/>
              </w:rPr>
              <w:t xml:space="preserve">Ressource concernée (chemin, IP, port)</w:t>
            </w:r>
          </w:p>
        </w:tc>
      </w:tr>
      <w:tr>
        <w:tc>
          <w:tcPr>
            <w:tcW w:type="dxa" w:w="2500"/>
            <w:shd w:fill="FFFFFF" w:color="auto" w:val="clear"/>
            <w:vAlign w:val="center"/>
          </w:tcPr>
          <w:p>
            <w:pPr>
              <w:spacing w:after="60" w:before="60"/>
              <w:ind w:left="120" w:right="60"/>
            </w:pPr>
            <w:r>
              <w:rPr>
                <w:b w:val="false"/>
                <w:bCs w:val="false"/>
                <w:color w:val="222222"/>
                <w:sz w:val="20"/>
                <w:szCs w:val="20"/>
              </w:rPr>
              <w:t xml:space="preserve">result</w:t>
            </w:r>
          </w:p>
        </w:tc>
        <w:tc>
          <w:tcPr>
            <w:tcW w:type="dxa" w:w="5500"/>
            <w:shd w:fill="FFFFFF" w:color="auto" w:val="clear"/>
            <w:vAlign w:val="center"/>
          </w:tcPr>
          <w:p>
            <w:pPr>
              <w:spacing w:after="60" w:before="60"/>
              <w:ind w:left="120" w:right="120"/>
            </w:pPr>
            <w:r>
              <w:rPr>
                <w:b w:val="false"/>
                <w:bCs w:val="false"/>
                <w:color w:val="333333"/>
                <w:sz w:val="20"/>
                <w:szCs w:val="20"/>
              </w:rPr>
              <w:t xml:space="preserve">Résultat : success ou failure</w:t>
            </w:r>
          </w:p>
        </w:tc>
      </w:tr>
      <w:tr>
        <w:tc>
          <w:tcPr>
            <w:tcW w:type="dxa" w:w="2500"/>
            <w:shd w:fill="f5f7fa" w:color="auto" w:val="clear"/>
            <w:vAlign w:val="center"/>
          </w:tcPr>
          <w:p>
            <w:pPr>
              <w:spacing w:after="60" w:before="60"/>
              <w:ind w:left="120" w:right="60"/>
            </w:pPr>
            <w:r>
              <w:rPr>
                <w:b w:val="false"/>
                <w:bCs w:val="false"/>
                <w:color w:val="222222"/>
                <w:sz w:val="20"/>
                <w:szCs w:val="20"/>
              </w:rPr>
              <w:t xml:space="preserve">hash_chain</w:t>
            </w:r>
          </w:p>
        </w:tc>
        <w:tc>
          <w:tcPr>
            <w:tcW w:type="dxa" w:w="5500"/>
            <w:shd w:fill="f5f7fa" w:color="auto" w:val="clear"/>
            <w:vAlign w:val="center"/>
          </w:tcPr>
          <w:p>
            <w:pPr>
              <w:spacing w:after="60" w:before="60"/>
              <w:ind w:left="120" w:right="120"/>
            </w:pPr>
            <w:r>
              <w:rPr>
                <w:b w:val="false"/>
                <w:bCs w:val="false"/>
                <w:color w:val="333333"/>
                <w:sz w:val="20"/>
                <w:szCs w:val="20"/>
              </w:rPr>
              <w:t xml:space="preserve">Hash du bloc précédent (intégrité)</w:t>
            </w:r>
          </w:p>
        </w:tc>
      </w:tr>
      <w:tr>
        <w:tc>
          <w:tcPr>
            <w:tcW w:type="dxa" w:w="2500"/>
            <w:shd w:fill="FFFFFF" w:color="auto" w:val="clear"/>
            <w:vAlign w:val="center"/>
          </w:tcPr>
          <w:p>
            <w:pPr>
              <w:spacing w:after="60" w:before="60"/>
              <w:ind w:left="120" w:right="60"/>
            </w:pPr>
            <w:r>
              <w:rPr>
                <w:b w:val="false"/>
                <w:bCs w:val="false"/>
                <w:color w:val="222222"/>
                <w:sz w:val="20"/>
                <w:szCs w:val="20"/>
              </w:rPr>
              <w:t xml:space="preserve">signature</w:t>
            </w:r>
          </w:p>
        </w:tc>
        <w:tc>
          <w:tcPr>
            <w:tcW w:type="dxa" w:w="5500"/>
            <w:shd w:fill="FFFFFF" w:color="auto" w:val="clear"/>
            <w:vAlign w:val="center"/>
          </w:tcPr>
          <w:p>
            <w:pPr>
              <w:spacing w:after="60" w:before="60"/>
              <w:ind w:left="120" w:right="120"/>
            </w:pPr>
            <w:r>
              <w:rPr>
                <w:b w:val="false"/>
                <w:bCs w:val="false"/>
                <w:color w:val="333333"/>
                <w:sz w:val="20"/>
                <w:szCs w:val="20"/>
              </w:rPr>
              <w:t xml:space="preserve">Signature numérique du lot</w:t>
            </w:r>
          </w:p>
        </w:tc>
      </w:tr>
    </w:tbl>
    <w:p/>
    <w:p>
      <w:pPr>
        <w:pStyle w:val="Heading2"/>
        <w:spacing w:after="80" w:before="240"/>
      </w:pPr>
      <w:r>
        <w:t xml:space="preserve">4.4 Stockage</w:t>
      </w:r>
    </w:p>
    <w:p>
      <w:pPr>
        <w:spacing w:after="60" w:before="60"/>
        <w:jc w:val="both"/>
      </w:pPr>
      <w:r>
        <w:rPr>
          <w:color w:val="333333"/>
          <w:sz w:val="22"/>
          <w:szCs w:val="22"/>
        </w:rPr>
        <w:t xml:space="preserve">OSEye est compatible avec plusieurs backends de stockage :</w:t>
      </w:r>
    </w:p>
    <w:p>
      <w:pPr>
        <w:pStyle w:val="ListParagraph"/>
        <w:numPr>
          <w:ilvl w:val="0"/>
          <w:numId w:val="1"/>
        </w:numPr>
        <w:spacing w:after="40" w:before="40"/>
      </w:pPr>
      <w:r>
        <w:rPr>
          <w:color w:val="333333"/>
          <w:sz w:val="21"/>
          <w:szCs w:val="21"/>
        </w:rPr>
        <w:t xml:space="preserve">SQLite — développement, tests, déploiements mono-machine légers</w:t>
      </w:r>
    </w:p>
    <w:p>
      <w:pPr>
        <w:pStyle w:val="ListParagraph"/>
        <w:numPr>
          <w:ilvl w:val="0"/>
          <w:numId w:val="1"/>
        </w:numPr>
        <w:spacing w:after="40" w:before="40"/>
      </w:pPr>
      <w:r>
        <w:rPr>
          <w:color w:val="333333"/>
          <w:sz w:val="21"/>
          <w:szCs w:val="21"/>
        </w:rPr>
        <w:t xml:space="preserve">PostgreSQL — production standard, requêtes complexes, ACID</w:t>
      </w:r>
    </w:p>
    <w:p>
      <w:pPr>
        <w:pStyle w:val="ListParagraph"/>
        <w:numPr>
          <w:ilvl w:val="0"/>
          <w:numId w:val="1"/>
        </w:numPr>
        <w:spacing w:after="40" w:before="40"/>
      </w:pPr>
      <w:r>
        <w:rPr>
          <w:color w:val="333333"/>
          <w:sz w:val="21"/>
          <w:szCs w:val="21"/>
        </w:rPr>
        <w:t xml:space="preserve">ClickHouse — production à haute volumétrie, millions d'événements/heure</w:t>
      </w:r>
    </w:p>
    <w:p>
      <w:pPr>
        <w:spacing w:after="60" w:before="60"/>
        <w:jc w:val="both"/>
      </w:pPr>
      <w:r>
        <w:rPr>
          <w:color w:val="333333"/>
          <w:sz w:val="22"/>
          <w:szCs w:val="22"/>
        </w:rPr>
        <w:t xml:space="preserve">Le stockage garantit : indexation multicritère, archivage compressé, reconstruction chronologique, agrégations statistiques et recherche full-text.</w:t>
      </w:r>
    </w:p>
    <w:p>
      <w:r>
        <w:br w:type="page"/>
      </w:r>
    </w:p>
    <w:p>
      <w:pPr>
        <w:pStyle w:val="Heading1"/>
        <w:spacing w:after="120" w:before="360"/>
      </w:pPr>
      <w:r>
        <w:t xml:space="preserve">5. Surveillance des événements</w:t>
      </w:r>
    </w:p>
    <w:p>
      <w:pPr>
        <w:pStyle w:val="Heading2"/>
        <w:spacing w:after="80" w:before="240"/>
      </w:pPr>
      <w:r>
        <w:t xml:space="preserve">5.1 Fichiers</w:t>
      </w:r>
    </w:p>
    <w:p>
      <w:pPr>
        <w:spacing w:after="60" w:before="60"/>
        <w:jc w:val="both"/>
      </w:pPr>
      <w:r>
        <w:rPr>
          <w:color w:val="333333"/>
          <w:sz w:val="22"/>
          <w:szCs w:val="22"/>
        </w:rPr>
        <w:t xml:space="preserve">Détecter : création, suppression, lecture, écriture, modification, renommage, déplacement, copie, changement de permissions, changement de propriétaire, modification des attributs.</w:t>
      </w:r>
    </w:p>
    <w:p>
      <w:pPr>
        <w:spacing w:after="60" w:before="60"/>
        <w:jc w:val="both"/>
      </w:pPr>
      <w:r>
        <w:rPr>
          <w:color w:val="333333"/>
          <w:sz w:val="22"/>
          <w:szCs w:val="22"/>
        </w:rPr>
        <w:t xml:space="preserve">Pour chaque événement, enregistrer : utilisateur, UID/GID, PID, PPID, nom du processus, chemin complet, ancien et nouveau nom (renommage), hash SHA-256 avant/après, taille avant/après, résultat, adresse IP si accès réseau.</w:t>
      </w:r>
    </w:p>
    <w:p>
      <w:pPr>
        <w:pStyle w:val="Heading2"/>
        <w:spacing w:after="80" w:before="240"/>
      </w:pPr>
      <w:r>
        <w:t xml:space="preserve">5.2 Dossiers</w:t>
      </w:r>
    </w:p>
    <w:p>
      <w:pPr>
        <w:spacing w:after="60" w:before="60"/>
        <w:jc w:val="both"/>
      </w:pPr>
      <w:r>
        <w:rPr>
          <w:color w:val="333333"/>
          <w:sz w:val="22"/>
          <w:szCs w:val="22"/>
        </w:rPr>
        <w:t xml:space="preserve">Détecter : création, suppression, renommage, déplacement, changement ACL, changement de propriétaire.</w:t>
      </w:r>
    </w:p>
    <w:p>
      <w:pPr>
        <w:pStyle w:val="Heading2"/>
        <w:spacing w:after="80" w:before="240"/>
      </w:pPr>
      <w:r>
        <w:t xml:space="preserve">5.3 Processus</w:t>
      </w:r>
    </w:p>
    <w:p>
      <w:pPr>
        <w:spacing w:after="60" w:before="60"/>
        <w:jc w:val="both"/>
      </w:pPr>
      <w:r>
        <w:rPr>
          <w:color w:val="333333"/>
          <w:sz w:val="22"/>
          <w:szCs w:val="22"/>
        </w:rPr>
        <w:t xml:space="preserve">Détecter : création, terminaison, fork, exec, sudo, élévation de privilèges, chargement de bibliothèque dynamique, scripts exécutés, injection de code (si détectable via ptrace ou eBPF).</w:t>
      </w:r>
    </w:p>
    <w:p>
      <w:pPr>
        <w:spacing w:after="60" w:before="60"/>
        <w:jc w:val="both"/>
      </w:pPr>
      <w:r>
        <w:rPr>
          <w:color w:val="333333"/>
          <w:sz w:val="22"/>
          <w:szCs w:val="22"/>
        </w:rPr>
        <w:t xml:space="preserve">Enregistrer : PID, PPID, chaîne complète des ancêtres, utilisateur réel et effectif, chemin de l'exécutable, arguments, répertoire courant, variables d'environnement critiques, mémoire utilisée, temps CPU.</w:t>
      </w:r>
    </w:p>
    <w:p>
      <w:pPr>
        <w:pStyle w:val="Heading2"/>
        <w:spacing w:after="80" w:before="240"/>
      </w:pPr>
      <w:r>
        <w:t xml:space="preserve">5.4 Utilisateurs</w:t>
      </w:r>
    </w:p>
    <w:p>
      <w:pPr>
        <w:spacing w:after="60" w:before="60"/>
        <w:jc w:val="both"/>
      </w:pPr>
      <w:r>
        <w:rPr>
          <w:color w:val="333333"/>
          <w:sz w:val="22"/>
          <w:szCs w:val="22"/>
        </w:rPr>
        <w:t xml:space="preserve">Tracer : ouverture de session, fermeture, authentification réussie et échouée, utilisation de sudo, création, suppression, changement de mot de passe, ajout/suppression dans un groupe.</w:t>
      </w:r>
    </w:p>
    <w:p>
      <w:pPr>
        <w:pStyle w:val="Heading2"/>
        <w:spacing w:after="80" w:before="240"/>
      </w:pPr>
      <w:r>
        <w:t xml:space="preserve">5.5 Réseau</w:t>
      </w:r>
    </w:p>
    <w:p>
      <w:pPr>
        <w:spacing w:after="60" w:before="60"/>
        <w:jc w:val="both"/>
      </w:pPr>
      <w:r>
        <w:rPr>
          <w:color w:val="333333"/>
          <w:sz w:val="22"/>
          <w:szCs w:val="22"/>
        </w:rPr>
        <w:t xml:space="preserve">Surveiller : connexions TCP/UDP, DNS, HTTP/HTTPS, SSH, FTP, sockets, ports ouverts, connexions entrantes et sortantes.</w:t>
      </w:r>
    </w:p>
    <w:p>
      <w:pPr>
        <w:spacing w:after="60" w:before="60"/>
        <w:jc w:val="both"/>
      </w:pPr>
      <w:r>
        <w:rPr>
          <w:color w:val="333333"/>
          <w:sz w:val="22"/>
          <w:szCs w:val="22"/>
        </w:rPr>
        <w:t xml:space="preserve">Pour chaque connexion : PID, processus, utilisateur, IP source, IP destination, port source, port destination, protocole, volume de données échangées.</w:t>
      </w:r>
    </w:p>
    <w:p>
      <w:pPr>
        <w:pStyle w:val="Heading2"/>
        <w:spacing w:after="80" w:before="240"/>
      </w:pPr>
      <w:r>
        <w:t xml:space="preserve">5.6 Périphériques</w:t>
      </w:r>
    </w:p>
    <w:p>
      <w:pPr>
        <w:spacing w:after="60" w:before="60"/>
        <w:jc w:val="both"/>
      </w:pPr>
      <w:r>
        <w:rPr>
          <w:color w:val="333333"/>
          <w:sz w:val="22"/>
          <w:szCs w:val="22"/>
        </w:rPr>
        <w:t xml:space="preserve">Détecter : insertion et retrait USB, montage/démontage, copie de fichiers vers périphérique externe, impression, accès caméra, accès microphone.</w:t>
      </w:r>
    </w:p>
    <w:p>
      <w:r>
        <w:br w:type="page"/>
      </w:r>
    </w:p>
    <w:p>
      <w:pPr>
        <w:pStyle w:val="Heading1"/>
        <w:spacing w:after="120" w:before="360"/>
      </w:pPr>
      <w:r>
        <w:t xml:space="preserve">6. Corrélation des événements</w:t>
      </w:r>
    </w:p>
    <w:p>
      <w:pPr>
        <w:spacing w:after="60" w:before="60"/>
        <w:jc w:val="both"/>
      </w:pPr>
      <w:r>
        <w:rPr>
          <w:color w:val="333333"/>
          <w:sz w:val="22"/>
          <w:szCs w:val="22"/>
        </w:rPr>
        <w:t xml:space="preserve">Le moteur de corrélation est l'un des composants les plus stratégiques d'OSEye. Il relie des événements provenant de sources différentes pour reconstruire automatiquement la chronologie d'un incident.</w:t>
      </w:r>
    </w:p>
    <w:p>
      <w:pPr>
        <w:pStyle w:val="Heading2"/>
        <w:spacing w:after="80" w:before="240"/>
      </w:pPr>
      <w:r>
        <w:t xml:space="preserve">6.1 Capacités de corrélation</w:t>
      </w:r>
    </w:p>
    <w:p>
      <w:pPr>
        <w:pStyle w:val="ListParagraph"/>
        <w:numPr>
          <w:ilvl w:val="0"/>
          <w:numId w:val="1"/>
        </w:numPr>
        <w:spacing w:after="40" w:before="40"/>
      </w:pPr>
      <w:r>
        <w:rPr>
          <w:color w:val="333333"/>
          <w:sz w:val="21"/>
          <w:szCs w:val="21"/>
        </w:rPr>
        <w:t xml:space="preserve">Reconstruction automatique de la chaîne de processus (systemd → bash → python → malware.py)</w:t>
      </w:r>
    </w:p>
    <w:p>
      <w:pPr>
        <w:pStyle w:val="ListParagraph"/>
        <w:numPr>
          <w:ilvl w:val="0"/>
          <w:numId w:val="1"/>
        </w:numPr>
        <w:spacing w:after="40" w:before="40"/>
      </w:pPr>
      <w:r>
        <w:rPr>
          <w:color w:val="333333"/>
          <w:sz w:val="21"/>
          <w:szCs w:val="21"/>
        </w:rPr>
        <w:t xml:space="preserve">Liaison d'événements par PID/PPID, utilisateur, ressource cible et plage temporelle</w:t>
      </w:r>
    </w:p>
    <w:p>
      <w:pPr>
        <w:pStyle w:val="ListParagraph"/>
        <w:numPr>
          <w:ilvl w:val="0"/>
          <w:numId w:val="1"/>
        </w:numPr>
        <w:spacing w:after="40" w:before="40"/>
      </w:pPr>
      <w:r>
        <w:rPr>
          <w:color w:val="333333"/>
          <w:sz w:val="21"/>
          <w:szCs w:val="21"/>
        </w:rPr>
        <w:t xml:space="preserve">Chronologie automatique d'un fichier (téléchargement → lecture → modification → copie USB → retrait)</w:t>
      </w:r>
    </w:p>
    <w:p>
      <w:pPr>
        <w:pStyle w:val="ListParagraph"/>
        <w:numPr>
          <w:ilvl w:val="0"/>
          <w:numId w:val="1"/>
        </w:numPr>
        <w:spacing w:after="40" w:before="40"/>
      </w:pPr>
      <w:r>
        <w:rPr>
          <w:color w:val="333333"/>
          <w:sz w:val="21"/>
          <w:szCs w:val="21"/>
        </w:rPr>
        <w:t xml:space="preserve">Identification de la session utilisateur à l'origine d'une chaîne d'événements</w:t>
      </w:r>
    </w:p>
    <w:p>
      <w:pPr>
        <w:pStyle w:val="ListParagraph"/>
        <w:numPr>
          <w:ilvl w:val="0"/>
          <w:numId w:val="1"/>
        </w:numPr>
        <w:spacing w:after="40" w:before="40"/>
      </w:pPr>
      <w:r>
        <w:rPr>
          <w:color w:val="333333"/>
          <w:sz w:val="21"/>
          <w:szCs w:val="21"/>
        </w:rPr>
        <w:t xml:space="preserve">Reconstruction de la séquence complète d'une attaque en plusieurs étapes</w:t>
      </w:r>
    </w:p>
    <w:p>
      <w:pPr>
        <w:pStyle w:val="Heading2"/>
        <w:spacing w:after="80" w:before="240"/>
      </w:pPr>
      <w:r>
        <w:t xml:space="preserve">6.2 Exemple de reconstruction</w:t>
      </w:r>
    </w:p>
    <w:p>
      <w:pPr>
        <w:spacing w:after="60" w:before="60"/>
        <w:jc w:val="both"/>
      </w:pPr>
      <w:r>
        <w:rPr>
          <w:color w:val="333333"/>
          <w:sz w:val="22"/>
          <w:szCs w:val="22"/>
        </w:rPr>
        <w:t xml:space="preserve">OSEye doit reconstruire automatiquement des scénarios du type :</w:t>
      </w:r>
    </w:p>
    <w:p>
      <w:pPr>
        <w:pStyle w:val="ListParagraph"/>
        <w:numPr>
          <w:ilvl w:val="0"/>
          <w:numId w:val="1"/>
        </w:numPr>
        <w:spacing w:after="40" w:before="40"/>
      </w:pPr>
      <w:r>
        <w:rPr>
          <w:color w:val="333333"/>
          <w:sz w:val="21"/>
          <w:szCs w:val="21"/>
        </w:rPr>
        <w:t xml:space="preserve">Navigateur télécharge un fichier</w:t>
      </w:r>
    </w:p>
    <w:p>
      <w:pPr>
        <w:pStyle w:val="ListParagraph"/>
        <w:numPr>
          <w:ilvl w:val="0"/>
          <w:numId w:val="1"/>
        </w:numPr>
        <w:spacing w:after="40" w:before="40"/>
      </w:pPr>
      <w:r>
        <w:rPr>
          <w:color w:val="333333"/>
          <w:sz w:val="21"/>
          <w:szCs w:val="21"/>
        </w:rPr>
        <w:t xml:space="preserve">Fichier créé sur le disque</w:t>
      </w:r>
    </w:p>
    <w:p>
      <w:pPr>
        <w:pStyle w:val="ListParagraph"/>
        <w:numPr>
          <w:ilvl w:val="0"/>
          <w:numId w:val="1"/>
        </w:numPr>
        <w:spacing w:after="40" w:before="40"/>
      </w:pPr>
      <w:r>
        <w:rPr>
          <w:color w:val="333333"/>
          <w:sz w:val="21"/>
          <w:szCs w:val="21"/>
        </w:rPr>
        <w:t xml:space="preserve">Antivirus lit le fichier</w:t>
      </w:r>
    </w:p>
    <w:p>
      <w:pPr>
        <w:pStyle w:val="ListParagraph"/>
        <w:numPr>
          <w:ilvl w:val="0"/>
          <w:numId w:val="1"/>
        </w:numPr>
        <w:spacing w:after="40" w:before="40"/>
      </w:pPr>
      <w:r>
        <w:rPr>
          <w:color w:val="333333"/>
          <w:sz w:val="21"/>
          <w:szCs w:val="21"/>
        </w:rPr>
        <w:t xml:space="preserve">Utilisateur ouvre le fichier</w:t>
      </w:r>
    </w:p>
    <w:p>
      <w:pPr>
        <w:pStyle w:val="ListParagraph"/>
        <w:numPr>
          <w:ilvl w:val="0"/>
          <w:numId w:val="1"/>
        </w:numPr>
        <w:spacing w:after="40" w:before="40"/>
      </w:pPr>
      <w:r>
        <w:rPr>
          <w:color w:val="333333"/>
          <w:sz w:val="21"/>
          <w:szCs w:val="21"/>
        </w:rPr>
        <w:t xml:space="preserve">Application le modifie</w:t>
      </w:r>
    </w:p>
    <w:p>
      <w:pPr>
        <w:pStyle w:val="ListParagraph"/>
        <w:numPr>
          <w:ilvl w:val="0"/>
          <w:numId w:val="1"/>
        </w:numPr>
        <w:spacing w:after="40" w:before="40"/>
      </w:pPr>
      <w:r>
        <w:rPr>
          <w:color w:val="333333"/>
          <w:sz w:val="21"/>
          <w:szCs w:val="21"/>
        </w:rPr>
        <w:t xml:space="preserve">Fichier copié sur une clé USB</w:t>
      </w:r>
    </w:p>
    <w:p>
      <w:pPr>
        <w:pStyle w:val="ListParagraph"/>
        <w:numPr>
          <w:ilvl w:val="0"/>
          <w:numId w:val="1"/>
        </w:numPr>
        <w:spacing w:after="40" w:before="40"/>
      </w:pPr>
      <w:r>
        <w:rPr>
          <w:color w:val="333333"/>
          <w:sz w:val="21"/>
          <w:szCs w:val="21"/>
        </w:rPr>
        <w:t xml:space="preserve">Clé USB retirée — connexion réseau externe établie</w:t>
      </w:r>
    </w:p>
    <w:p>
      <w:pPr>
        <w:pStyle w:val="ListParagraph"/>
        <w:numPr>
          <w:ilvl w:val="0"/>
          <w:numId w:val="1"/>
        </w:numPr>
        <w:spacing w:after="40" w:before="40"/>
      </w:pPr>
      <w:r>
        <w:rPr>
          <w:color w:val="333333"/>
          <w:sz w:val="21"/>
          <w:szCs w:val="21"/>
        </w:rPr>
        <w:t xml:space="preserve">Élévation de privilèges — suppression des journaux</w:t>
      </w:r>
    </w:p>
    <w:p>
      <w:pPr>
        <w:pBdr>
          <w:left w:val="single" w:color="2e6da4" w:sz="4"/>
        </w:pBdr>
        <w:spacing w:after="80" w:before="80"/>
        <w:ind w:left="360"/>
      </w:pPr>
      <w:r>
        <w:rPr>
          <w:b/>
          <w:bCs/>
          <w:color w:val="2e6da4"/>
          <w:sz w:val="22"/>
          <w:szCs w:val="22"/>
        </w:rPr>
        <w:t xml:space="preserve">⚑  </w:t>
      </w:r>
      <w:r>
        <w:rPr>
          <w:i/>
          <w:iCs/>
          <w:color w:val="4a6080"/>
          <w:sz w:val="20"/>
          <w:szCs w:val="20"/>
        </w:rPr>
        <w:t xml:space="preserve">La corrélation doit fonctionner même si les événements arrivent dans le désordre. Le moteur doit gérer les événements hors séquence avec une fenêtre temporelle configurable.</w:t>
      </w:r>
    </w:p>
    <w:p>
      <w:r>
        <w:br w:type="page"/>
      </w:r>
    </w:p>
    <w:p>
      <w:pPr>
        <w:pStyle w:val="Heading1"/>
        <w:spacing w:after="120" w:before="360"/>
      </w:pPr>
      <w:r>
        <w:t xml:space="preserve">7. Threat Intelligence</w:t>
      </w:r>
    </w:p>
    <w:p>
      <w:pPr>
        <w:spacing w:after="60" w:before="60"/>
        <w:jc w:val="both"/>
      </w:pPr>
      <w:r>
        <w:rPr>
          <w:color w:val="333333"/>
          <w:sz w:val="22"/>
          <w:szCs w:val="22"/>
        </w:rPr>
        <w:t xml:space="preserve">OSEye doit enrichir ses événements avec des données de menace externes pour passer d'un observateur passif à un outil de détection proactive.</w:t>
      </w:r>
    </w:p>
    <w:p>
      <w:pPr>
        <w:pStyle w:val="Heading2"/>
        <w:spacing w:after="80" w:before="240"/>
      </w:pPr>
      <w:r>
        <w:t xml:space="preserve">7.1 Sources d'enrichissement</w:t>
      </w:r>
    </w:p>
    <w:tbl>
      <w:tblPr>
        <w:tblW w:type="dxa" w:w="8000"/>
        <w:tblBorders>
          <w:top w:val="single" w:color="2e6da4" w:sz="2"/>
          <w:left w:val="single" w:color="2e6da4" w:sz="2"/>
          <w:bottom w:val="single" w:color="2e6da4" w:sz="2"/>
          <w:right w:val="single" w:color="2e6da4" w:sz="2"/>
          <w:insideH w:val="single" w:color="auto" w:sz="4"/>
          <w:insideV w:val="single" w:color="auto" w:sz="4"/>
        </w:tblBorders>
      </w:tblPr>
      <w:tblGrid>
        <w:gridCol w:w="100"/>
        <w:gridCol w:w="100"/>
      </w:tblGrid>
      <w:tr>
        <w:tc>
          <w:tcPr>
            <w:tcW w:type="dxa" w:w="2500"/>
            <w:shd w:fill="1a2b4a" w:color="auto" w:val="clear"/>
            <w:vAlign w:val="center"/>
          </w:tcPr>
          <w:p>
            <w:pPr>
              <w:spacing w:after="60" w:before="60"/>
              <w:ind w:left="120" w:right="60"/>
            </w:pPr>
            <w:r>
              <w:rPr>
                <w:b/>
                <w:bCs/>
                <w:color w:val="FFFFFF"/>
                <w:sz w:val="20"/>
                <w:szCs w:val="20"/>
              </w:rPr>
              <w:t xml:space="preserve">Source</w:t>
            </w:r>
          </w:p>
        </w:tc>
        <w:tc>
          <w:tcPr>
            <w:tcW w:type="dxa" w:w="5500"/>
            <w:shd w:fill="1a2b4a" w:color="auto" w:val="clear"/>
            <w:vAlign w:val="center"/>
          </w:tcPr>
          <w:p>
            <w:pPr>
              <w:spacing w:after="60" w:before="60"/>
              <w:ind w:left="120" w:right="120"/>
            </w:pPr>
            <w:r>
              <w:rPr>
                <w:b/>
                <w:bCs/>
                <w:color w:val="FFFFFF"/>
                <w:sz w:val="20"/>
                <w:szCs w:val="20"/>
              </w:rPr>
              <w:t xml:space="preserve">Usage</w:t>
            </w:r>
          </w:p>
        </w:tc>
      </w:tr>
      <w:tr>
        <w:tc>
          <w:tcPr>
            <w:tcW w:type="dxa" w:w="2500"/>
            <w:shd w:fill="FFFFFF" w:color="auto" w:val="clear"/>
            <w:vAlign w:val="center"/>
          </w:tcPr>
          <w:p>
            <w:pPr>
              <w:spacing w:after="60" w:before="60"/>
              <w:ind w:left="120" w:right="60"/>
            </w:pPr>
            <w:r>
              <w:rPr>
                <w:b w:val="false"/>
                <w:bCs w:val="false"/>
                <w:color w:val="222222"/>
                <w:sz w:val="20"/>
                <w:szCs w:val="20"/>
              </w:rPr>
              <w:t xml:space="preserve">AbuseIPDB / GreyNoise</w:t>
            </w:r>
          </w:p>
        </w:tc>
        <w:tc>
          <w:tcPr>
            <w:tcW w:type="dxa" w:w="5500"/>
            <w:shd w:fill="FFFFFF" w:color="auto" w:val="clear"/>
            <w:vAlign w:val="center"/>
          </w:tcPr>
          <w:p>
            <w:pPr>
              <w:spacing w:after="60" w:before="60"/>
              <w:ind w:left="120" w:right="120"/>
            </w:pPr>
            <w:r>
              <w:rPr>
                <w:b w:val="false"/>
                <w:bCs w:val="false"/>
                <w:color w:val="333333"/>
                <w:sz w:val="20"/>
                <w:szCs w:val="20"/>
              </w:rPr>
              <w:t xml:space="preserve">Réputation des adresses IP</w:t>
            </w:r>
          </w:p>
        </w:tc>
      </w:tr>
      <w:tr>
        <w:tc>
          <w:tcPr>
            <w:tcW w:type="dxa" w:w="2500"/>
            <w:shd w:fill="f5f7fa" w:color="auto" w:val="clear"/>
            <w:vAlign w:val="center"/>
          </w:tcPr>
          <w:p>
            <w:pPr>
              <w:spacing w:after="60" w:before="60"/>
              <w:ind w:left="120" w:right="60"/>
            </w:pPr>
            <w:r>
              <w:rPr>
                <w:b w:val="false"/>
                <w:bCs w:val="false"/>
                <w:color w:val="222222"/>
                <w:sz w:val="20"/>
                <w:szCs w:val="20"/>
              </w:rPr>
              <w:t xml:space="preserve">VirusTotal / MalwareBazaar</w:t>
            </w:r>
          </w:p>
        </w:tc>
        <w:tc>
          <w:tcPr>
            <w:tcW w:type="dxa" w:w="5500"/>
            <w:shd w:fill="f5f7fa" w:color="auto" w:val="clear"/>
            <w:vAlign w:val="center"/>
          </w:tcPr>
          <w:p>
            <w:pPr>
              <w:spacing w:after="60" w:before="60"/>
              <w:ind w:left="120" w:right="120"/>
            </w:pPr>
            <w:r>
              <w:rPr>
                <w:b w:val="false"/>
                <w:bCs w:val="false"/>
                <w:color w:val="333333"/>
                <w:sz w:val="20"/>
                <w:szCs w:val="20"/>
              </w:rPr>
              <w:t xml:space="preserve">Réputation des hash de fichiers</w:t>
            </w:r>
          </w:p>
        </w:tc>
      </w:tr>
      <w:tr>
        <w:tc>
          <w:tcPr>
            <w:tcW w:type="dxa" w:w="2500"/>
            <w:shd w:fill="FFFFFF" w:color="auto" w:val="clear"/>
            <w:vAlign w:val="center"/>
          </w:tcPr>
          <w:p>
            <w:pPr>
              <w:spacing w:after="60" w:before="60"/>
              <w:ind w:left="120" w:right="60"/>
            </w:pPr>
            <w:r>
              <w:rPr>
                <w:b w:val="false"/>
                <w:bCs w:val="false"/>
                <w:color w:val="222222"/>
                <w:sz w:val="20"/>
                <w:szCs w:val="20"/>
              </w:rPr>
              <w:t xml:space="preserve">MISP</w:t>
            </w:r>
          </w:p>
        </w:tc>
        <w:tc>
          <w:tcPr>
            <w:tcW w:type="dxa" w:w="5500"/>
            <w:shd w:fill="FFFFFF" w:color="auto" w:val="clear"/>
            <w:vAlign w:val="center"/>
          </w:tcPr>
          <w:p>
            <w:pPr>
              <w:spacing w:after="60" w:before="60"/>
              <w:ind w:left="120" w:right="120"/>
            </w:pPr>
            <w:r>
              <w:rPr>
                <w:b w:val="false"/>
                <w:bCs w:val="false"/>
                <w:color w:val="333333"/>
                <w:sz w:val="20"/>
                <w:szCs w:val="20"/>
              </w:rPr>
              <w:t xml:space="preserve">Indicateurs de compromission (IoC) partagés</w:t>
            </w:r>
          </w:p>
        </w:tc>
      </w:tr>
      <w:tr>
        <w:tc>
          <w:tcPr>
            <w:tcW w:type="dxa" w:w="2500"/>
            <w:shd w:fill="f5f7fa" w:color="auto" w:val="clear"/>
            <w:vAlign w:val="center"/>
          </w:tcPr>
          <w:p>
            <w:pPr>
              <w:spacing w:after="60" w:before="60"/>
              <w:ind w:left="120" w:right="60"/>
            </w:pPr>
            <w:r>
              <w:rPr>
                <w:b w:val="false"/>
                <w:bCs w:val="false"/>
                <w:color w:val="222222"/>
                <w:sz w:val="20"/>
                <w:szCs w:val="20"/>
              </w:rPr>
              <w:t xml:space="preserve">OpenThreat / AlienVault OTX</w:t>
            </w:r>
          </w:p>
        </w:tc>
        <w:tc>
          <w:tcPr>
            <w:tcW w:type="dxa" w:w="5500"/>
            <w:shd w:fill="f5f7fa" w:color="auto" w:val="clear"/>
            <w:vAlign w:val="center"/>
          </w:tcPr>
          <w:p>
            <w:pPr>
              <w:spacing w:after="60" w:before="60"/>
              <w:ind w:left="120" w:right="120"/>
            </w:pPr>
            <w:r>
              <w:rPr>
                <w:b w:val="false"/>
                <w:bCs w:val="false"/>
                <w:color w:val="333333"/>
                <w:sz w:val="20"/>
                <w:szCs w:val="20"/>
              </w:rPr>
              <w:t xml:space="preserve">Flux de menaces open source</w:t>
            </w:r>
          </w:p>
        </w:tc>
      </w:tr>
      <w:tr>
        <w:tc>
          <w:tcPr>
            <w:tcW w:type="dxa" w:w="2500"/>
            <w:shd w:fill="FFFFFF" w:color="auto" w:val="clear"/>
            <w:vAlign w:val="center"/>
          </w:tcPr>
          <w:p>
            <w:pPr>
              <w:spacing w:after="60" w:before="60"/>
              <w:ind w:left="120" w:right="60"/>
            </w:pPr>
            <w:r>
              <w:rPr>
                <w:b w:val="false"/>
                <w:bCs w:val="false"/>
                <w:color w:val="222222"/>
                <w:sz w:val="20"/>
                <w:szCs w:val="20"/>
              </w:rPr>
              <w:t xml:space="preserve">STIX/TAXII</w:t>
            </w:r>
          </w:p>
        </w:tc>
        <w:tc>
          <w:tcPr>
            <w:tcW w:type="dxa" w:w="5500"/>
            <w:shd w:fill="FFFFFF" w:color="auto" w:val="clear"/>
            <w:vAlign w:val="center"/>
          </w:tcPr>
          <w:p>
            <w:pPr>
              <w:spacing w:after="60" w:before="60"/>
              <w:ind w:left="120" w:right="120"/>
            </w:pPr>
            <w:r>
              <w:rPr>
                <w:b w:val="false"/>
                <w:bCs w:val="false"/>
                <w:color w:val="333333"/>
                <w:sz w:val="20"/>
                <w:szCs w:val="20"/>
              </w:rPr>
              <w:t xml:space="preserve">Format d'import/export standardisé des IoC</w:t>
            </w:r>
          </w:p>
        </w:tc>
      </w:tr>
    </w:tbl>
    <w:p>
      <w:pPr>
        <w:pStyle w:val="Heading2"/>
        <w:spacing w:after="80" w:before="240"/>
      </w:pPr>
      <w:r>
        <w:t xml:space="preserve">7.2 Fonctionnement</w:t>
      </w:r>
    </w:p>
    <w:p>
      <w:pPr>
        <w:pStyle w:val="ListParagraph"/>
        <w:numPr>
          <w:ilvl w:val="0"/>
          <w:numId w:val="1"/>
        </w:numPr>
        <w:spacing w:after="40" w:before="40"/>
      </w:pPr>
      <w:r>
        <w:rPr>
          <w:color w:val="333333"/>
          <w:sz w:val="21"/>
          <w:szCs w:val="21"/>
        </w:rPr>
        <w:t xml:space="preserve">Vérification automatique des IPs distantes contre les listes de réputation lors de chaque nouvelle connexion</w:t>
      </w:r>
    </w:p>
    <w:p>
      <w:pPr>
        <w:pStyle w:val="ListParagraph"/>
        <w:numPr>
          <w:ilvl w:val="0"/>
          <w:numId w:val="1"/>
        </w:numPr>
        <w:spacing w:after="40" w:before="40"/>
      </w:pPr>
      <w:r>
        <w:rPr>
          <w:color w:val="333333"/>
          <w:sz w:val="21"/>
          <w:szCs w:val="21"/>
        </w:rPr>
        <w:t xml:space="preserve">Contrôle du hash SHA-256 de tout exécutable lancé contre les bases de malwares</w:t>
      </w:r>
    </w:p>
    <w:p>
      <w:pPr>
        <w:pStyle w:val="ListParagraph"/>
        <w:numPr>
          <w:ilvl w:val="0"/>
          <w:numId w:val="1"/>
        </w:numPr>
        <w:spacing w:after="40" w:before="40"/>
      </w:pPr>
      <w:r>
        <w:rPr>
          <w:color w:val="333333"/>
          <w:sz w:val="21"/>
          <w:szCs w:val="21"/>
        </w:rPr>
        <w:t xml:space="preserve">Import de flux IoC en format STIX/TAXII, mis à jour périodiquement</w:t>
      </w:r>
    </w:p>
    <w:p>
      <w:pPr>
        <w:pStyle w:val="ListParagraph"/>
        <w:numPr>
          <w:ilvl w:val="0"/>
          <w:numId w:val="1"/>
        </w:numPr>
        <w:spacing w:after="40" w:before="40"/>
      </w:pPr>
      <w:r>
        <w:rPr>
          <w:color w:val="333333"/>
          <w:sz w:val="21"/>
          <w:szCs w:val="21"/>
        </w:rPr>
        <w:t xml:space="preserve">Mise en cache locale des résultats pour éviter la dépendance réseau en temps réel</w:t>
      </w:r>
    </w:p>
    <w:p>
      <w:pPr>
        <w:pStyle w:val="ListParagraph"/>
        <w:numPr>
          <w:ilvl w:val="0"/>
          <w:numId w:val="1"/>
        </w:numPr>
        <w:spacing w:after="40" w:before="40"/>
      </w:pPr>
      <w:r>
        <w:rPr>
          <w:color w:val="333333"/>
          <w:sz w:val="21"/>
          <w:szCs w:val="21"/>
        </w:rPr>
        <w:t xml:space="preserve">Chaque correspondance IoC génère automatiquement une alerte de niveau élevé ou critique</w:t>
      </w:r>
    </w:p>
    <w:p>
      <w:pPr>
        <w:pBdr>
          <w:left w:val="single" w:color="2e6da4" w:sz="4"/>
        </w:pBdr>
        <w:spacing w:after="80" w:before="80"/>
        <w:ind w:left="360"/>
      </w:pPr>
      <w:r>
        <w:rPr>
          <w:b/>
          <w:bCs/>
          <w:color w:val="2e6da4"/>
          <w:sz w:val="22"/>
          <w:szCs w:val="22"/>
        </w:rPr>
        <w:t xml:space="preserve">⚑  </w:t>
      </w:r>
      <w:r>
        <w:rPr>
          <w:i/>
          <w:iCs/>
          <w:color w:val="4a6080"/>
          <w:sz w:val="20"/>
          <w:szCs w:val="20"/>
        </w:rPr>
        <w:t xml:space="preserve">La Threat Intelligence ne remplace pas les règles locales. Elle les complète avec un contexte mondial.</w:t>
      </w:r>
    </w:p>
    <w:p>
      <w:r>
        <w:br w:type="page"/>
      </w:r>
    </w:p>
    <w:p>
      <w:pPr>
        <w:pStyle w:val="Heading1"/>
        <w:spacing w:after="120" w:before="360"/>
      </w:pPr>
      <w:r>
        <w:t xml:space="preserve">8. Moteur de règles</w:t>
      </w:r>
    </w:p>
    <w:p>
      <w:pPr>
        <w:spacing w:after="60" w:before="60"/>
        <w:jc w:val="both"/>
      </w:pPr>
      <w:r>
        <w:rPr>
          <w:color w:val="333333"/>
          <w:sz w:val="22"/>
          <w:szCs w:val="22"/>
        </w:rPr>
        <w:t xml:space="preserve">Le moteur de règles constitue le premier niveau de détection, avant le Machine Learning. Il est basé sur des règles déclaratives en format YAML/TOML, éditables sans redémarrage.</w:t>
      </w:r>
    </w:p>
    <w:p>
      <w:pPr>
        <w:pStyle w:val="Heading2"/>
        <w:spacing w:after="80" w:before="240"/>
      </w:pPr>
      <w:r>
        <w:t xml:space="preserve">8.1 Structure d'une règle</w:t>
      </w:r>
    </w:p>
    <w:tbl>
      <w:tblPr>
        <w:tblW w:type="dxa" w:w="8000"/>
        <w:tblBorders>
          <w:top w:val="single" w:color="2e6da4" w:sz="2"/>
          <w:left w:val="single" w:color="2e6da4" w:sz="2"/>
          <w:bottom w:val="single" w:color="2e6da4" w:sz="2"/>
          <w:right w:val="single" w:color="2e6da4" w:sz="2"/>
          <w:insideH w:val="single" w:color="auto" w:sz="4"/>
          <w:insideV w:val="single" w:color="auto" w:sz="4"/>
        </w:tblBorders>
      </w:tblPr>
      <w:tblGrid>
        <w:gridCol w:w="100"/>
        <w:gridCol w:w="100"/>
      </w:tblGrid>
      <w:tr>
        <w:tc>
          <w:tcPr>
            <w:tcW w:type="dxa" w:w="2500"/>
            <w:shd w:fill="1a2b4a" w:color="auto" w:val="clear"/>
            <w:vAlign w:val="center"/>
          </w:tcPr>
          <w:p>
            <w:pPr>
              <w:spacing w:after="60" w:before="60"/>
              <w:ind w:left="120" w:right="60"/>
            </w:pPr>
            <w:r>
              <w:rPr>
                <w:b/>
                <w:bCs/>
                <w:color w:val="FFFFFF"/>
                <w:sz w:val="20"/>
                <w:szCs w:val="20"/>
              </w:rPr>
              <w:t xml:space="preserve">Champ</w:t>
            </w:r>
          </w:p>
        </w:tc>
        <w:tc>
          <w:tcPr>
            <w:tcW w:type="dxa" w:w="5500"/>
            <w:shd w:fill="1a2b4a" w:color="auto" w:val="clear"/>
            <w:vAlign w:val="center"/>
          </w:tcPr>
          <w:p>
            <w:pPr>
              <w:spacing w:after="60" w:before="60"/>
              <w:ind w:left="120" w:right="120"/>
            </w:pPr>
            <w:r>
              <w:rPr>
                <w:b/>
                <w:bCs/>
                <w:color w:val="FFFFFF"/>
                <w:sz w:val="20"/>
                <w:szCs w:val="20"/>
              </w:rPr>
              <w:t xml:space="preserve">Description</w:t>
            </w:r>
          </w:p>
        </w:tc>
      </w:tr>
      <w:tr>
        <w:tc>
          <w:tcPr>
            <w:tcW w:type="dxa" w:w="2500"/>
            <w:shd w:fill="FFFFFF" w:color="auto" w:val="clear"/>
            <w:vAlign w:val="center"/>
          </w:tcPr>
          <w:p>
            <w:pPr>
              <w:spacing w:after="60" w:before="60"/>
              <w:ind w:left="120" w:right="60"/>
            </w:pPr>
            <w:r>
              <w:rPr>
                <w:b w:val="false"/>
                <w:bCs w:val="false"/>
                <w:color w:val="222222"/>
                <w:sz w:val="20"/>
                <w:szCs w:val="20"/>
              </w:rPr>
              <w:t xml:space="preserve">id</w:t>
            </w:r>
          </w:p>
        </w:tc>
        <w:tc>
          <w:tcPr>
            <w:tcW w:type="dxa" w:w="5500"/>
            <w:shd w:fill="FFFFFF" w:color="auto" w:val="clear"/>
            <w:vAlign w:val="center"/>
          </w:tcPr>
          <w:p>
            <w:pPr>
              <w:spacing w:after="60" w:before="60"/>
              <w:ind w:left="120" w:right="120"/>
            </w:pPr>
            <w:r>
              <w:rPr>
                <w:b w:val="false"/>
                <w:bCs w:val="false"/>
                <w:color w:val="333333"/>
                <w:sz w:val="20"/>
                <w:szCs w:val="20"/>
              </w:rPr>
              <w:t xml:space="preserve">Identifiant unique de la règle</w:t>
            </w:r>
          </w:p>
        </w:tc>
      </w:tr>
      <w:tr>
        <w:tc>
          <w:tcPr>
            <w:tcW w:type="dxa" w:w="2500"/>
            <w:shd w:fill="f5f7fa" w:color="auto" w:val="clear"/>
            <w:vAlign w:val="center"/>
          </w:tcPr>
          <w:p>
            <w:pPr>
              <w:spacing w:after="60" w:before="60"/>
              <w:ind w:left="120" w:right="60"/>
            </w:pPr>
            <w:r>
              <w:rPr>
                <w:b w:val="false"/>
                <w:bCs w:val="false"/>
                <w:color w:val="222222"/>
                <w:sz w:val="20"/>
                <w:szCs w:val="20"/>
              </w:rPr>
              <w:t xml:space="preserve">name</w:t>
            </w:r>
          </w:p>
        </w:tc>
        <w:tc>
          <w:tcPr>
            <w:tcW w:type="dxa" w:w="5500"/>
            <w:shd w:fill="f5f7fa" w:color="auto" w:val="clear"/>
            <w:vAlign w:val="center"/>
          </w:tcPr>
          <w:p>
            <w:pPr>
              <w:spacing w:after="60" w:before="60"/>
              <w:ind w:left="120" w:right="120"/>
            </w:pPr>
            <w:r>
              <w:rPr>
                <w:b w:val="false"/>
                <w:bCs w:val="false"/>
                <w:color w:val="333333"/>
                <w:sz w:val="20"/>
                <w:szCs w:val="20"/>
              </w:rPr>
              <w:t xml:space="preserve">Nom descriptif</w:t>
            </w:r>
          </w:p>
        </w:tc>
      </w:tr>
      <w:tr>
        <w:tc>
          <w:tcPr>
            <w:tcW w:type="dxa" w:w="2500"/>
            <w:shd w:fill="FFFFFF" w:color="auto" w:val="clear"/>
            <w:vAlign w:val="center"/>
          </w:tcPr>
          <w:p>
            <w:pPr>
              <w:spacing w:after="60" w:before="60"/>
              <w:ind w:left="120" w:right="60"/>
            </w:pPr>
            <w:r>
              <w:rPr>
                <w:b w:val="false"/>
                <w:bCs w:val="false"/>
                <w:color w:val="222222"/>
                <w:sz w:val="20"/>
                <w:szCs w:val="20"/>
              </w:rPr>
              <w:t xml:space="preserve">severity</w:t>
            </w:r>
          </w:p>
        </w:tc>
        <w:tc>
          <w:tcPr>
            <w:tcW w:type="dxa" w:w="5500"/>
            <w:shd w:fill="FFFFFF" w:color="auto" w:val="clear"/>
            <w:vAlign w:val="center"/>
          </w:tcPr>
          <w:p>
            <w:pPr>
              <w:spacing w:after="60" w:before="60"/>
              <w:ind w:left="120" w:right="120"/>
            </w:pPr>
            <w:r>
              <w:rPr>
                <w:b w:val="false"/>
                <w:bCs w:val="false"/>
                <w:color w:val="333333"/>
                <w:sz w:val="20"/>
                <w:szCs w:val="20"/>
              </w:rPr>
              <w:t xml:space="preserve">Niveau de sévérité (low, medium, high, critical)</w:t>
            </w:r>
          </w:p>
        </w:tc>
      </w:tr>
      <w:tr>
        <w:tc>
          <w:tcPr>
            <w:tcW w:type="dxa" w:w="2500"/>
            <w:shd w:fill="f5f7fa" w:color="auto" w:val="clear"/>
            <w:vAlign w:val="center"/>
          </w:tcPr>
          <w:p>
            <w:pPr>
              <w:spacing w:after="60" w:before="60"/>
              <w:ind w:left="120" w:right="60"/>
            </w:pPr>
            <w:r>
              <w:rPr>
                <w:b w:val="false"/>
                <w:bCs w:val="false"/>
                <w:color w:val="222222"/>
                <w:sz w:val="20"/>
                <w:szCs w:val="20"/>
              </w:rPr>
              <w:t xml:space="preserve">condition</w:t>
            </w:r>
          </w:p>
        </w:tc>
        <w:tc>
          <w:tcPr>
            <w:tcW w:type="dxa" w:w="5500"/>
            <w:shd w:fill="f5f7fa" w:color="auto" w:val="clear"/>
            <w:vAlign w:val="center"/>
          </w:tcPr>
          <w:p>
            <w:pPr>
              <w:spacing w:after="60" w:before="60"/>
              <w:ind w:left="120" w:right="120"/>
            </w:pPr>
            <w:r>
              <w:rPr>
                <w:b w:val="false"/>
                <w:bCs w:val="false"/>
                <w:color w:val="333333"/>
                <w:sz w:val="20"/>
                <w:szCs w:val="20"/>
              </w:rPr>
              <w:t xml:space="preserve">Expression logique sur les champs de l'événement</w:t>
            </w:r>
          </w:p>
        </w:tc>
      </w:tr>
      <w:tr>
        <w:tc>
          <w:tcPr>
            <w:tcW w:type="dxa" w:w="2500"/>
            <w:shd w:fill="FFFFFF" w:color="auto" w:val="clear"/>
            <w:vAlign w:val="center"/>
          </w:tcPr>
          <w:p>
            <w:pPr>
              <w:spacing w:after="60" w:before="60"/>
              <w:ind w:left="120" w:right="60"/>
            </w:pPr>
            <w:r>
              <w:rPr>
                <w:b w:val="false"/>
                <w:bCs w:val="false"/>
                <w:color w:val="222222"/>
                <w:sz w:val="20"/>
                <w:szCs w:val="20"/>
              </w:rPr>
              <w:t xml:space="preserve">timeframe</w:t>
            </w:r>
          </w:p>
        </w:tc>
        <w:tc>
          <w:tcPr>
            <w:tcW w:type="dxa" w:w="5500"/>
            <w:shd w:fill="FFFFFF" w:color="auto" w:val="clear"/>
            <w:vAlign w:val="center"/>
          </w:tcPr>
          <w:p>
            <w:pPr>
              <w:spacing w:after="60" w:before="60"/>
              <w:ind w:left="120" w:right="120"/>
            </w:pPr>
            <w:r>
              <w:rPr>
                <w:b w:val="false"/>
                <w:bCs w:val="false"/>
                <w:color w:val="333333"/>
                <w:sz w:val="20"/>
                <w:szCs w:val="20"/>
              </w:rPr>
              <w:t xml:space="preserve">Fenêtre temporelle (ex : 5 événements en 60 secondes)</w:t>
            </w:r>
          </w:p>
        </w:tc>
      </w:tr>
      <w:tr>
        <w:tc>
          <w:tcPr>
            <w:tcW w:type="dxa" w:w="2500"/>
            <w:shd w:fill="f5f7fa" w:color="auto" w:val="clear"/>
            <w:vAlign w:val="center"/>
          </w:tcPr>
          <w:p>
            <w:pPr>
              <w:spacing w:after="60" w:before="60"/>
              <w:ind w:left="120" w:right="60"/>
            </w:pPr>
            <w:r>
              <w:rPr>
                <w:b w:val="false"/>
                <w:bCs w:val="false"/>
                <w:color w:val="222222"/>
                <w:sz w:val="20"/>
                <w:szCs w:val="20"/>
              </w:rPr>
              <w:t xml:space="preserve">action</w:t>
            </w:r>
          </w:p>
        </w:tc>
        <w:tc>
          <w:tcPr>
            <w:tcW w:type="dxa" w:w="5500"/>
            <w:shd w:fill="f5f7fa" w:color="auto" w:val="clear"/>
            <w:vAlign w:val="center"/>
          </w:tcPr>
          <w:p>
            <w:pPr>
              <w:spacing w:after="60" w:before="60"/>
              <w:ind w:left="120" w:right="120"/>
            </w:pPr>
            <w:r>
              <w:rPr>
                <w:b w:val="false"/>
                <w:bCs w:val="false"/>
                <w:color w:val="333333"/>
                <w:sz w:val="20"/>
                <w:szCs w:val="20"/>
              </w:rPr>
              <w:t xml:space="preserve">Alerte, blocage, notification, export</w:t>
            </w:r>
          </w:p>
        </w:tc>
      </w:tr>
      <w:tr>
        <w:tc>
          <w:tcPr>
            <w:tcW w:type="dxa" w:w="2500"/>
            <w:shd w:fill="FFFFFF" w:color="auto" w:val="clear"/>
            <w:vAlign w:val="center"/>
          </w:tcPr>
          <w:p>
            <w:pPr>
              <w:spacing w:after="60" w:before="60"/>
              <w:ind w:left="120" w:right="60"/>
            </w:pPr>
            <w:r>
              <w:rPr>
                <w:b w:val="false"/>
                <w:bCs w:val="false"/>
                <w:color w:val="222222"/>
                <w:sz w:val="20"/>
                <w:szCs w:val="20"/>
              </w:rPr>
              <w:t xml:space="preserve">explanation</w:t>
            </w:r>
          </w:p>
        </w:tc>
        <w:tc>
          <w:tcPr>
            <w:tcW w:type="dxa" w:w="5500"/>
            <w:shd w:fill="FFFFFF" w:color="auto" w:val="clear"/>
            <w:vAlign w:val="center"/>
          </w:tcPr>
          <w:p>
            <w:pPr>
              <w:spacing w:after="60" w:before="60"/>
              <w:ind w:left="120" w:right="120"/>
            </w:pPr>
            <w:r>
              <w:rPr>
                <w:b w:val="false"/>
                <w:bCs w:val="false"/>
                <w:color w:val="333333"/>
                <w:sz w:val="20"/>
                <w:szCs w:val="20"/>
              </w:rPr>
              <w:t xml:space="preserve">Texte explicatif pour l'analyste</w:t>
            </w:r>
          </w:p>
        </w:tc>
      </w:tr>
    </w:tbl>
    <w:p>
      <w:pPr>
        <w:pStyle w:val="Heading2"/>
        <w:spacing w:after="80" w:before="240"/>
      </w:pPr>
      <w:r>
        <w:t xml:space="preserve">8.2 Exemples de règles prédéfinies</w:t>
      </w:r>
    </w:p>
    <w:p>
      <w:pPr>
        <w:pStyle w:val="ListParagraph"/>
        <w:numPr>
          <w:ilvl w:val="0"/>
          <w:numId w:val="1"/>
        </w:numPr>
        <w:spacing w:after="40" w:before="40"/>
      </w:pPr>
      <w:r>
        <w:rPr>
          <w:color w:val="333333"/>
          <w:sz w:val="21"/>
          <w:szCs w:val="21"/>
        </w:rPr>
        <w:t xml:space="preserve">Suppression massive de fichiers en moins de 30 secondes (ransomware)</w:t>
      </w:r>
    </w:p>
    <w:p>
      <w:pPr>
        <w:pStyle w:val="ListParagraph"/>
        <w:numPr>
          <w:ilvl w:val="0"/>
          <w:numId w:val="1"/>
        </w:numPr>
        <w:spacing w:after="40" w:before="40"/>
      </w:pPr>
      <w:r>
        <w:rPr>
          <w:color w:val="333333"/>
          <w:sz w:val="21"/>
          <w:szCs w:val="21"/>
        </w:rPr>
        <w:t xml:space="preserve">Création excessive de processus fils (fork bomb)</w:t>
      </w:r>
    </w:p>
    <w:p>
      <w:pPr>
        <w:pStyle w:val="ListParagraph"/>
        <w:numPr>
          <w:ilvl w:val="0"/>
          <w:numId w:val="1"/>
        </w:numPr>
        <w:spacing w:after="40" w:before="40"/>
      </w:pPr>
      <w:r>
        <w:rPr>
          <w:color w:val="333333"/>
          <w:sz w:val="21"/>
          <w:szCs w:val="21"/>
        </w:rPr>
        <w:t xml:space="preserve">Accès à /etc/shadow, /etc/passwd, /boot, /proc/kcore</w:t>
      </w:r>
    </w:p>
    <w:p>
      <w:pPr>
        <w:pStyle w:val="ListParagraph"/>
        <w:numPr>
          <w:ilvl w:val="0"/>
          <w:numId w:val="1"/>
        </w:numPr>
        <w:spacing w:after="40" w:before="40"/>
      </w:pPr>
      <w:r>
        <w:rPr>
          <w:color w:val="333333"/>
          <w:sz w:val="21"/>
          <w:szCs w:val="21"/>
        </w:rPr>
        <w:t xml:space="preserve">Exécution d'un binaire depuis /tmp ou /dev/shm</w:t>
      </w:r>
    </w:p>
    <w:p>
      <w:pPr>
        <w:pStyle w:val="ListParagraph"/>
        <w:numPr>
          <w:ilvl w:val="0"/>
          <w:numId w:val="1"/>
        </w:numPr>
        <w:spacing w:after="40" w:before="40"/>
      </w:pPr>
      <w:r>
        <w:rPr>
          <w:color w:val="333333"/>
          <w:sz w:val="21"/>
          <w:szCs w:val="21"/>
        </w:rPr>
        <w:t xml:space="preserve">Connexion SSH depuis une IP inconnue hors des horaires habituels</w:t>
      </w:r>
    </w:p>
    <w:p>
      <w:pPr>
        <w:pStyle w:val="ListParagraph"/>
        <w:numPr>
          <w:ilvl w:val="0"/>
          <w:numId w:val="1"/>
        </w:numPr>
        <w:spacing w:after="40" w:before="40"/>
      </w:pPr>
      <w:r>
        <w:rPr>
          <w:color w:val="333333"/>
          <w:sz w:val="21"/>
          <w:szCs w:val="21"/>
        </w:rPr>
        <w:t xml:space="preserve">Processus inconnu utilisant sudo sans précédent dans l'historique</w:t>
      </w:r>
    </w:p>
    <w:p>
      <w:pPr>
        <w:pStyle w:val="ListParagraph"/>
        <w:numPr>
          <w:ilvl w:val="0"/>
          <w:numId w:val="1"/>
        </w:numPr>
        <w:spacing w:after="40" w:before="40"/>
      </w:pPr>
      <w:r>
        <w:rPr>
          <w:color w:val="333333"/>
          <w:sz w:val="21"/>
          <w:szCs w:val="21"/>
        </w:rPr>
        <w:t xml:space="preserve">Modification répétée des permissions de fichiers système</w:t>
      </w:r>
    </w:p>
    <w:p>
      <w:pPr>
        <w:pStyle w:val="ListParagraph"/>
        <w:numPr>
          <w:ilvl w:val="0"/>
          <w:numId w:val="1"/>
        </w:numPr>
        <w:spacing w:after="40" w:before="40"/>
      </w:pPr>
      <w:r>
        <w:rPr>
          <w:color w:val="333333"/>
          <w:sz w:val="21"/>
          <w:szCs w:val="21"/>
        </w:rPr>
        <w:t xml:space="preserve">Envoi de données vers une IP à mauvaise réputation</w:t>
      </w:r>
    </w:p>
    <w:p>
      <w:pPr>
        <w:pStyle w:val="ListParagraph"/>
        <w:numPr>
          <w:ilvl w:val="0"/>
          <w:numId w:val="1"/>
        </w:numPr>
        <w:spacing w:after="40" w:before="40"/>
      </w:pPr>
      <w:r>
        <w:rPr>
          <w:color w:val="333333"/>
          <w:sz w:val="21"/>
          <w:szCs w:val="21"/>
        </w:rPr>
        <w:t xml:space="preserve">Exécution d'un fichier dont le hash est présent dans une base de malwares</w:t>
      </w:r>
    </w:p>
    <w:p>
      <w:pPr>
        <w:pStyle w:val="ListParagraph"/>
        <w:numPr>
          <w:ilvl w:val="0"/>
          <w:numId w:val="1"/>
        </w:numPr>
        <w:spacing w:after="40" w:before="40"/>
      </w:pPr>
      <w:r>
        <w:rPr>
          <w:color w:val="333333"/>
          <w:sz w:val="21"/>
          <w:szCs w:val="21"/>
        </w:rPr>
        <w:t xml:space="preserve">Arrêt ou modification de l'agent OSEye lui-même</w:t>
      </w:r>
    </w:p>
    <w:p>
      <w:r>
        <w:br w:type="page"/>
      </w:r>
    </w:p>
    <w:p>
      <w:pPr>
        <w:pStyle w:val="Heading1"/>
        <w:spacing w:after="120" w:before="360"/>
      </w:pPr>
      <w:r>
        <w:t xml:space="preserve">9. Module de Machine Learning</w:t>
      </w:r>
    </w:p>
    <w:p>
      <w:pPr>
        <w:spacing w:after="60" w:before="60"/>
        <w:jc w:val="both"/>
      </w:pPr>
      <w:r>
        <w:rPr>
          <w:color w:val="333333"/>
          <w:sz w:val="22"/>
          <w:szCs w:val="22"/>
        </w:rPr>
        <w:t xml:space="preserve">Le Machine Learning constitue une évolution du projet. Il complète les règles sans les remplacer. Le module est indépendant et peut être activé ou désactivé sans impact sur le reste du système.</w:t>
      </w:r>
    </w:p>
    <w:p>
      <w:pPr>
        <w:pStyle w:val="Heading2"/>
        <w:spacing w:after="80" w:before="240"/>
      </w:pPr>
      <w:r>
        <w:t xml:space="preserve">9.1 Détection d'anomalies comportementales</w:t>
      </w:r>
    </w:p>
    <w:p>
      <w:pPr>
        <w:spacing w:after="60" w:before="60"/>
        <w:jc w:val="both"/>
      </w:pPr>
      <w:r>
        <w:rPr>
          <w:color w:val="333333"/>
          <w:sz w:val="22"/>
          <w:szCs w:val="22"/>
        </w:rPr>
        <w:t xml:space="preserve">Le modèle apprend le comportement normal de la machine (baseline) sur une période d'observation configurable. Il détecte :</w:t>
      </w:r>
    </w:p>
    <w:p>
      <w:pPr>
        <w:pStyle w:val="ListParagraph"/>
        <w:numPr>
          <w:ilvl w:val="0"/>
          <w:numId w:val="1"/>
        </w:numPr>
        <w:spacing w:after="40" w:before="40"/>
      </w:pPr>
      <w:r>
        <w:rPr>
          <w:color w:val="333333"/>
          <w:sz w:val="21"/>
          <w:szCs w:val="21"/>
        </w:rPr>
        <w:t xml:space="preserve">Activités inhabituelles par rapport à la baseline (heure, volume, type)</w:t>
      </w:r>
    </w:p>
    <w:p>
      <w:pPr>
        <w:pStyle w:val="ListParagraph"/>
        <w:numPr>
          <w:ilvl w:val="0"/>
          <w:numId w:val="1"/>
        </w:numPr>
        <w:spacing w:after="40" w:before="40"/>
      </w:pPr>
      <w:r>
        <w:rPr>
          <w:color w:val="333333"/>
          <w:sz w:val="21"/>
          <w:szCs w:val="21"/>
        </w:rPr>
        <w:t xml:space="preserve">Comportements similaires aux ransomwares (chiffrement massif, suppressions)</w:t>
      </w:r>
    </w:p>
    <w:p>
      <w:pPr>
        <w:pStyle w:val="ListParagraph"/>
        <w:numPr>
          <w:ilvl w:val="0"/>
          <w:numId w:val="1"/>
        </w:numPr>
        <w:spacing w:after="40" w:before="40"/>
      </w:pPr>
      <w:r>
        <w:rPr>
          <w:color w:val="333333"/>
          <w:sz w:val="21"/>
          <w:szCs w:val="21"/>
        </w:rPr>
        <w:t xml:space="preserve">Comportements similaires aux cryptominers (charge CPU anormale, connexions sortantes vers des pools)</w:t>
      </w:r>
    </w:p>
    <w:p>
      <w:pPr>
        <w:pStyle w:val="ListParagraph"/>
        <w:numPr>
          <w:ilvl w:val="0"/>
          <w:numId w:val="1"/>
        </w:numPr>
        <w:spacing w:after="40" w:before="40"/>
      </w:pPr>
      <w:r>
        <w:rPr>
          <w:color w:val="333333"/>
          <w:sz w:val="21"/>
          <w:szCs w:val="21"/>
        </w:rPr>
        <w:t xml:space="preserve">Comportements similaires aux malwares (persistance, escalade, communication C2)</w:t>
      </w:r>
    </w:p>
    <w:p>
      <w:pPr>
        <w:pStyle w:val="ListParagraph"/>
        <w:numPr>
          <w:ilvl w:val="0"/>
          <w:numId w:val="1"/>
        </w:numPr>
        <w:spacing w:after="40" w:before="40"/>
      </w:pPr>
      <w:r>
        <w:rPr>
          <w:color w:val="333333"/>
          <w:sz w:val="21"/>
          <w:szCs w:val="21"/>
        </w:rPr>
        <w:t xml:space="preserve">Pics d'activité inhabituels sur les fichiers, le réseau ou les processus</w:t>
      </w:r>
    </w:p>
    <w:p>
      <w:pPr>
        <w:pStyle w:val="Heading2"/>
        <w:spacing w:after="80" w:before="240"/>
      </w:pPr>
      <w:r>
        <w:t xml:space="preserve">9.2 Classification automatique</w:t>
      </w:r>
    </w:p>
    <w:tbl>
      <w:tblPr>
        <w:tblW w:type="dxa" w:w="8000"/>
        <w:tblBorders>
          <w:top w:val="single" w:color="2e6da4" w:sz="2"/>
          <w:left w:val="single" w:color="2e6da4" w:sz="2"/>
          <w:bottom w:val="single" w:color="2e6da4" w:sz="2"/>
          <w:right w:val="single" w:color="2e6da4" w:sz="2"/>
          <w:insideH w:val="single" w:color="auto" w:sz="4"/>
          <w:insideV w:val="single" w:color="auto" w:sz="4"/>
        </w:tblBorders>
      </w:tblPr>
      <w:tblGrid>
        <w:gridCol w:w="100"/>
        <w:gridCol w:w="100"/>
      </w:tblGrid>
      <w:tr>
        <w:tc>
          <w:tcPr>
            <w:tcW w:type="dxa" w:w="2500"/>
            <w:shd w:fill="1a2b4a" w:color="auto" w:val="clear"/>
            <w:vAlign w:val="center"/>
          </w:tcPr>
          <w:p>
            <w:pPr>
              <w:spacing w:after="60" w:before="60"/>
              <w:ind w:left="120" w:right="60"/>
            </w:pPr>
            <w:r>
              <w:rPr>
                <w:b/>
                <w:bCs/>
                <w:color w:val="FFFFFF"/>
                <w:sz w:val="20"/>
                <w:szCs w:val="20"/>
              </w:rPr>
              <w:t xml:space="preserve">Niveau</w:t>
            </w:r>
          </w:p>
        </w:tc>
        <w:tc>
          <w:tcPr>
            <w:tcW w:type="dxa" w:w="5500"/>
            <w:shd w:fill="1a2b4a" w:color="auto" w:val="clear"/>
            <w:vAlign w:val="center"/>
          </w:tcPr>
          <w:p>
            <w:pPr>
              <w:spacing w:after="60" w:before="60"/>
              <w:ind w:left="120" w:right="120"/>
            </w:pPr>
            <w:r>
              <w:rPr>
                <w:b/>
                <w:bCs/>
                <w:color w:val="FFFFFF"/>
                <w:sz w:val="20"/>
                <w:szCs w:val="20"/>
              </w:rPr>
              <w:t xml:space="preserve">Description</w:t>
            </w:r>
          </w:p>
        </w:tc>
      </w:tr>
      <w:tr>
        <w:tc>
          <w:tcPr>
            <w:tcW w:type="dxa" w:w="2500"/>
            <w:shd w:fill="FFFFFF" w:color="auto" w:val="clear"/>
            <w:vAlign w:val="center"/>
          </w:tcPr>
          <w:p>
            <w:pPr>
              <w:spacing w:after="60" w:before="60"/>
              <w:ind w:left="120" w:right="60"/>
            </w:pPr>
            <w:r>
              <w:rPr>
                <w:b w:val="false"/>
                <w:bCs w:val="false"/>
                <w:color w:val="222222"/>
                <w:sz w:val="20"/>
                <w:szCs w:val="20"/>
              </w:rPr>
              <w:t xml:space="preserve">Normal</w:t>
            </w:r>
          </w:p>
        </w:tc>
        <w:tc>
          <w:tcPr>
            <w:tcW w:type="dxa" w:w="5500"/>
            <w:shd w:fill="FFFFFF" w:color="auto" w:val="clear"/>
            <w:vAlign w:val="center"/>
          </w:tcPr>
          <w:p>
            <w:pPr>
              <w:spacing w:after="60" w:before="60"/>
              <w:ind w:left="120" w:right="120"/>
            </w:pPr>
            <w:r>
              <w:rPr>
                <w:b w:val="false"/>
                <w:bCs w:val="false"/>
                <w:color w:val="333333"/>
                <w:sz w:val="20"/>
                <w:szCs w:val="20"/>
              </w:rPr>
              <w:t xml:space="preserve">Comportement attendu, aucune action requise</w:t>
            </w:r>
          </w:p>
        </w:tc>
      </w:tr>
      <w:tr>
        <w:tc>
          <w:tcPr>
            <w:tcW w:type="dxa" w:w="2500"/>
            <w:shd w:fill="f5f7fa" w:color="auto" w:val="clear"/>
            <w:vAlign w:val="center"/>
          </w:tcPr>
          <w:p>
            <w:pPr>
              <w:spacing w:after="60" w:before="60"/>
              <w:ind w:left="120" w:right="60"/>
            </w:pPr>
            <w:r>
              <w:rPr>
                <w:b w:val="false"/>
                <w:bCs w:val="false"/>
                <w:color w:val="222222"/>
                <w:sz w:val="20"/>
                <w:szCs w:val="20"/>
              </w:rPr>
              <w:t xml:space="preserve">Faible</w:t>
            </w:r>
          </w:p>
        </w:tc>
        <w:tc>
          <w:tcPr>
            <w:tcW w:type="dxa" w:w="5500"/>
            <w:shd w:fill="f5f7fa" w:color="auto" w:val="clear"/>
            <w:vAlign w:val="center"/>
          </w:tcPr>
          <w:p>
            <w:pPr>
              <w:spacing w:after="60" w:before="60"/>
              <w:ind w:left="120" w:right="120"/>
            </w:pPr>
            <w:r>
              <w:rPr>
                <w:b w:val="false"/>
                <w:bCs w:val="false"/>
                <w:color w:val="333333"/>
                <w:sz w:val="20"/>
                <w:szCs w:val="20"/>
              </w:rPr>
              <w:t xml:space="preserve">Légèrement inhabituel, surveillance passive</w:t>
            </w:r>
          </w:p>
        </w:tc>
      </w:tr>
      <w:tr>
        <w:tc>
          <w:tcPr>
            <w:tcW w:type="dxa" w:w="2500"/>
            <w:shd w:fill="FFFFFF" w:color="auto" w:val="clear"/>
            <w:vAlign w:val="center"/>
          </w:tcPr>
          <w:p>
            <w:pPr>
              <w:spacing w:after="60" w:before="60"/>
              <w:ind w:left="120" w:right="60"/>
            </w:pPr>
            <w:r>
              <w:rPr>
                <w:b w:val="false"/>
                <w:bCs w:val="false"/>
                <w:color w:val="222222"/>
                <w:sz w:val="20"/>
                <w:szCs w:val="20"/>
              </w:rPr>
              <w:t xml:space="preserve">Suspect</w:t>
            </w:r>
          </w:p>
        </w:tc>
        <w:tc>
          <w:tcPr>
            <w:tcW w:type="dxa" w:w="5500"/>
            <w:shd w:fill="FFFFFF" w:color="auto" w:val="clear"/>
            <w:vAlign w:val="center"/>
          </w:tcPr>
          <w:p>
            <w:pPr>
              <w:spacing w:after="60" w:before="60"/>
              <w:ind w:left="120" w:right="120"/>
            </w:pPr>
            <w:r>
              <w:rPr>
                <w:b w:val="false"/>
                <w:bCs w:val="false"/>
                <w:color w:val="333333"/>
                <w:sz w:val="20"/>
                <w:szCs w:val="20"/>
              </w:rPr>
              <w:t xml:space="preserve">Anomalie confirmée, investigation recommandée</w:t>
            </w:r>
          </w:p>
        </w:tc>
      </w:tr>
      <w:tr>
        <w:tc>
          <w:tcPr>
            <w:tcW w:type="dxa" w:w="2500"/>
            <w:shd w:fill="f5f7fa" w:color="auto" w:val="clear"/>
            <w:vAlign w:val="center"/>
          </w:tcPr>
          <w:p>
            <w:pPr>
              <w:spacing w:after="60" w:before="60"/>
              <w:ind w:left="120" w:right="60"/>
            </w:pPr>
            <w:r>
              <w:rPr>
                <w:b w:val="false"/>
                <w:bCs w:val="false"/>
                <w:color w:val="222222"/>
                <w:sz w:val="20"/>
                <w:szCs w:val="20"/>
              </w:rPr>
              <w:t xml:space="preserve">Élevé</w:t>
            </w:r>
          </w:p>
        </w:tc>
        <w:tc>
          <w:tcPr>
            <w:tcW w:type="dxa" w:w="5500"/>
            <w:shd w:fill="f5f7fa" w:color="auto" w:val="clear"/>
            <w:vAlign w:val="center"/>
          </w:tcPr>
          <w:p>
            <w:pPr>
              <w:spacing w:after="60" w:before="60"/>
              <w:ind w:left="120" w:right="120"/>
            </w:pPr>
            <w:r>
              <w:rPr>
                <w:b w:val="false"/>
                <w:bCs w:val="false"/>
                <w:color w:val="333333"/>
                <w:sz w:val="20"/>
                <w:szCs w:val="20"/>
              </w:rPr>
              <w:t xml:space="preserve">Comportement malveillant probable, alerte immédiate</w:t>
            </w:r>
          </w:p>
        </w:tc>
      </w:tr>
      <w:tr>
        <w:tc>
          <w:tcPr>
            <w:tcW w:type="dxa" w:w="2500"/>
            <w:shd w:fill="FFFFFF" w:color="auto" w:val="clear"/>
            <w:vAlign w:val="center"/>
          </w:tcPr>
          <w:p>
            <w:pPr>
              <w:spacing w:after="60" w:before="60"/>
              <w:ind w:left="120" w:right="60"/>
            </w:pPr>
            <w:r>
              <w:rPr>
                <w:b w:val="false"/>
                <w:bCs w:val="false"/>
                <w:color w:val="222222"/>
                <w:sz w:val="20"/>
                <w:szCs w:val="20"/>
              </w:rPr>
              <w:t xml:space="preserve">Critique</w:t>
            </w:r>
          </w:p>
        </w:tc>
        <w:tc>
          <w:tcPr>
            <w:tcW w:type="dxa" w:w="5500"/>
            <w:shd w:fill="FFFFFF" w:color="auto" w:val="clear"/>
            <w:vAlign w:val="center"/>
          </w:tcPr>
          <w:p>
            <w:pPr>
              <w:spacing w:after="60" w:before="60"/>
              <w:ind w:left="120" w:right="120"/>
            </w:pPr>
            <w:r>
              <w:rPr>
                <w:b w:val="false"/>
                <w:bCs w:val="false"/>
                <w:color w:val="333333"/>
                <w:sz w:val="20"/>
                <w:szCs w:val="20"/>
              </w:rPr>
              <w:t xml:space="preserve">Attaque active détectée, réponse urgente requise</w:t>
            </w:r>
          </w:p>
        </w:tc>
      </w:tr>
    </w:tbl>
    <w:p>
      <w:pPr>
        <w:pStyle w:val="Heading2"/>
        <w:spacing w:after="80" w:before="240"/>
      </w:pPr>
      <w:r>
        <w:t xml:space="preserve">9.3 Score comportemental dynamique</w:t>
      </w:r>
    </w:p>
    <w:p>
      <w:pPr>
        <w:spacing w:after="60" w:before="60"/>
        <w:jc w:val="both"/>
      </w:pPr>
      <w:r>
        <w:rPr>
          <w:color w:val="333333"/>
          <w:sz w:val="22"/>
          <w:szCs w:val="22"/>
        </w:rPr>
        <w:t xml:space="preserve">Chaque entité (processus, utilisateur, fichier, connexion) possède un score dynamique calculé à partir de : l'historique des événements, la fréquence des actions, la consommation de ressources, les alertes déclenchées, les règles activées et les résultats du modèle ML.</w:t>
      </w:r>
    </w:p>
    <w:p>
      <w:pPr>
        <w:pStyle w:val="Heading2"/>
        <w:spacing w:after="80" w:before="240"/>
      </w:pPr>
      <w:r>
        <w:t xml:space="preserve">9.4 Corrélation intelligente</w:t>
      </w:r>
    </w:p>
    <w:p>
      <w:pPr>
        <w:spacing w:after="60" w:before="60"/>
        <w:jc w:val="both"/>
      </w:pPr>
      <w:r>
        <w:rPr>
          <w:color w:val="333333"/>
          <w:sz w:val="22"/>
          <w:szCs w:val="22"/>
        </w:rPr>
        <w:t xml:space="preserve">Le module ML identifie automatiquement des chaînes d'événements correspondant à des patterns d'attaque connus (MITRE ATT&amp;CK) ou à des anomalies statistiquement significatives.</w:t>
      </w:r>
    </w:p>
    <w:p>
      <w:r>
        <w:br w:type="page"/>
      </w:r>
    </w:p>
    <w:p>
      <w:pPr>
        <w:pStyle w:val="Heading1"/>
        <w:spacing w:after="120" w:before="360"/>
      </w:pPr>
      <w:r>
        <w:t xml:space="preserve">10. Decision Engine</w:t>
      </w:r>
    </w:p>
    <w:p>
      <w:pPr>
        <w:spacing w:after="60" w:before="60"/>
        <w:jc w:val="both"/>
      </w:pPr>
      <w:r>
        <w:rPr>
          <w:color w:val="333333"/>
          <w:sz w:val="22"/>
          <w:szCs w:val="22"/>
        </w:rPr>
        <w:t xml:space="preserve">Le Decision Engine est le cerveau décisionnel d'OSEye. Il reçoit les résultats consolidés du Moteur de Règles, du Moteur ML et du Moteur de Corrélation, et décide de l'action à entreprendre. C'est ce composant qui transforme OSEye d'un simple observateur en un système capable de réagir de façon autonome et cohérente.</w:t>
      </w:r>
    </w:p>
    <w:p>
      <w:pPr>
        <w:pStyle w:val="Heading2"/>
        <w:spacing w:after="80" w:before="240"/>
      </w:pPr>
      <w:r>
        <w:t xml:space="preserve">10.1 Rôle et positionnement</w:t>
      </w:r>
    </w:p>
    <w:p>
      <w:pPr>
        <w:spacing w:after="60" w:before="60"/>
        <w:jc w:val="both"/>
      </w:pPr>
      <w:r>
        <w:rPr>
          <w:color w:val="333333"/>
          <w:sz w:val="22"/>
          <w:szCs w:val="22"/>
        </w:rPr>
        <w:t xml:space="preserve">Le Decision Engine se positionne en aval du Correlation Engine. Il agrège les signaux provenant de toutes les sources d'analyse et produit une décision unique, tracée et justifiée.</w:t>
      </w:r>
    </w:p>
    <w:p>
      <w:pPr>
        <w:shd w:fill="f0f4f8" w:color="auto" w:val="clear"/>
        <w:spacing w:after="40" w:before="40"/>
        <w:ind w:left="360" w:right="360"/>
      </w:pPr>
      <w:r>
        <w:rPr>
          <w:rFonts w:ascii="Courier New" w:cs="Courier New" w:eastAsia="Courier New" w:hAnsi="Courier New"/>
          <w:color w:val="2c3e50"/>
          <w:sz w:val="18"/>
          <w:szCs w:val="18"/>
        </w:rPr>
        <w:t xml:space="preserve">Règles  ──┐</w:t>
      </w:r>
    </w:p>
    <w:p>
      <w:pPr>
        <w:shd w:fill="f0f4f8" w:color="auto" w:val="clear"/>
        <w:spacing w:after="40" w:before="40"/>
        <w:ind w:left="360" w:right="360"/>
      </w:pPr>
      <w:r>
        <w:rPr>
          <w:rFonts w:ascii="Courier New" w:cs="Courier New" w:eastAsia="Courier New" w:hAnsi="Courier New"/>
          <w:color w:val="2c3e50"/>
          <w:sz w:val="18"/>
          <w:szCs w:val="18"/>
        </w:rPr>
        <w:t xml:space="preserve">ML      ──┼──► Correlation Engine ──► Decision Engine ──► Action</w:t>
      </w:r>
    </w:p>
    <w:p>
      <w:pPr>
        <w:shd w:fill="f0f4f8" w:color="auto" w:val="clear"/>
        <w:spacing w:after="40" w:before="40"/>
        <w:ind w:left="360" w:right="360"/>
      </w:pPr>
      <w:r>
        <w:rPr>
          <w:rFonts w:ascii="Courier New" w:cs="Courier New" w:eastAsia="Courier New" w:hAnsi="Courier New"/>
          <w:color w:val="2c3e50"/>
          <w:sz w:val="18"/>
          <w:szCs w:val="18"/>
        </w:rPr>
        <w:t xml:space="preserve">ThreatInt─┘</w:t>
      </w:r>
    </w:p>
    <w:p/>
    <w:p>
      <w:pPr>
        <w:pStyle w:val="Heading2"/>
        <w:spacing w:after="80" w:before="240"/>
      </w:pPr>
      <w:r>
        <w:t xml:space="preserve">10.2 Décisions disponibles</w:t>
      </w:r>
    </w:p>
    <w:tbl>
      <w:tblPr>
        <w:tblW w:type="dxa" w:w="8000"/>
        <w:tblBorders>
          <w:top w:val="single" w:color="2e6da4" w:sz="2"/>
          <w:left w:val="single" w:color="2e6da4" w:sz="2"/>
          <w:bottom w:val="single" w:color="2e6da4" w:sz="2"/>
          <w:right w:val="single" w:color="2e6da4" w:sz="2"/>
          <w:insideH w:val="single" w:color="auto" w:sz="4"/>
          <w:insideV w:val="single" w:color="auto" w:sz="4"/>
        </w:tblBorders>
      </w:tblPr>
      <w:tblGrid>
        <w:gridCol w:w="100"/>
        <w:gridCol w:w="100"/>
      </w:tblGrid>
      <w:tr>
        <w:tc>
          <w:tcPr>
            <w:tcW w:type="dxa" w:w="2500"/>
            <w:shd w:fill="1a2b4a" w:color="auto" w:val="clear"/>
            <w:vAlign w:val="center"/>
          </w:tcPr>
          <w:p>
            <w:pPr>
              <w:spacing w:after="60" w:before="60"/>
              <w:ind w:left="120" w:right="60"/>
            </w:pPr>
            <w:r>
              <w:rPr>
                <w:b/>
                <w:bCs/>
                <w:color w:val="FFFFFF"/>
                <w:sz w:val="20"/>
                <w:szCs w:val="20"/>
              </w:rPr>
              <w:t xml:space="preserve">Décision</w:t>
            </w:r>
          </w:p>
        </w:tc>
        <w:tc>
          <w:tcPr>
            <w:tcW w:type="dxa" w:w="5500"/>
            <w:shd w:fill="1a2b4a" w:color="auto" w:val="clear"/>
            <w:vAlign w:val="center"/>
          </w:tcPr>
          <w:p>
            <w:pPr>
              <w:spacing w:after="60" w:before="60"/>
              <w:ind w:left="120" w:right="120"/>
            </w:pPr>
            <w:r>
              <w:rPr>
                <w:b/>
                <w:bCs/>
                <w:color w:val="FFFFFF"/>
                <w:sz w:val="20"/>
                <w:szCs w:val="20"/>
              </w:rPr>
              <w:t xml:space="preserve">Description</w:t>
            </w:r>
          </w:p>
        </w:tc>
      </w:tr>
      <w:tr>
        <w:tc>
          <w:tcPr>
            <w:tcW w:type="dxa" w:w="2500"/>
            <w:shd w:fill="FFFFFF" w:color="auto" w:val="clear"/>
            <w:vAlign w:val="center"/>
          </w:tcPr>
          <w:p>
            <w:pPr>
              <w:spacing w:after="60" w:before="60"/>
              <w:ind w:left="120" w:right="60"/>
            </w:pPr>
            <w:r>
              <w:rPr>
                <w:b w:val="false"/>
                <w:bCs w:val="false"/>
                <w:color w:val="222222"/>
                <w:sz w:val="20"/>
                <w:szCs w:val="20"/>
              </w:rPr>
              <w:t xml:space="preserve">ALERT</w:t>
            </w:r>
          </w:p>
        </w:tc>
        <w:tc>
          <w:tcPr>
            <w:tcW w:type="dxa" w:w="5500"/>
            <w:shd w:fill="FFFFFF" w:color="auto" w:val="clear"/>
            <w:vAlign w:val="center"/>
          </w:tcPr>
          <w:p>
            <w:pPr>
              <w:spacing w:after="60" w:before="60"/>
              <w:ind w:left="120" w:right="120"/>
            </w:pPr>
            <w:r>
              <w:rPr>
                <w:b w:val="false"/>
                <w:bCs w:val="false"/>
                <w:color w:val="333333"/>
                <w:sz w:val="20"/>
                <w:szCs w:val="20"/>
              </w:rPr>
              <w:t xml:space="preserve">Émettre une alerte vers le dashboard et l'API</w:t>
            </w:r>
          </w:p>
        </w:tc>
      </w:tr>
      <w:tr>
        <w:tc>
          <w:tcPr>
            <w:tcW w:type="dxa" w:w="2500"/>
            <w:shd w:fill="f5f7fa" w:color="auto" w:val="clear"/>
            <w:vAlign w:val="center"/>
          </w:tcPr>
          <w:p>
            <w:pPr>
              <w:spacing w:after="60" w:before="60"/>
              <w:ind w:left="120" w:right="60"/>
            </w:pPr>
            <w:r>
              <w:rPr>
                <w:b w:val="false"/>
                <w:bCs w:val="false"/>
                <w:color w:val="222222"/>
                <w:sz w:val="20"/>
                <w:szCs w:val="20"/>
              </w:rPr>
              <w:t xml:space="preserve">IGNORE</w:t>
            </w:r>
          </w:p>
        </w:tc>
        <w:tc>
          <w:tcPr>
            <w:tcW w:type="dxa" w:w="5500"/>
            <w:shd w:fill="f5f7fa" w:color="auto" w:val="clear"/>
            <w:vAlign w:val="center"/>
          </w:tcPr>
          <w:p>
            <w:pPr>
              <w:spacing w:after="60" w:before="60"/>
              <w:ind w:left="120" w:right="120"/>
            </w:pPr>
            <w:r>
              <w:rPr>
                <w:b w:val="false"/>
                <w:bCs w:val="false"/>
                <w:color w:val="333333"/>
                <w:sz w:val="20"/>
                <w:szCs w:val="20"/>
              </w:rPr>
              <w:t xml:space="preserve">Événement jugé bénin, aucune action</w:t>
            </w:r>
          </w:p>
        </w:tc>
      </w:tr>
      <w:tr>
        <w:tc>
          <w:tcPr>
            <w:tcW w:type="dxa" w:w="2500"/>
            <w:shd w:fill="FFFFFF" w:color="auto" w:val="clear"/>
            <w:vAlign w:val="center"/>
          </w:tcPr>
          <w:p>
            <w:pPr>
              <w:spacing w:after="60" w:before="60"/>
              <w:ind w:left="120" w:right="60"/>
            </w:pPr>
            <w:r>
              <w:rPr>
                <w:b w:val="false"/>
                <w:bCs w:val="false"/>
                <w:color w:val="222222"/>
                <w:sz w:val="20"/>
                <w:szCs w:val="20"/>
              </w:rPr>
              <w:t xml:space="preserve">ESCALATE</w:t>
            </w:r>
          </w:p>
        </w:tc>
        <w:tc>
          <w:tcPr>
            <w:tcW w:type="dxa" w:w="5500"/>
            <w:shd w:fill="FFFFFF" w:color="auto" w:val="clear"/>
            <w:vAlign w:val="center"/>
          </w:tcPr>
          <w:p>
            <w:pPr>
              <w:spacing w:after="60" w:before="60"/>
              <w:ind w:left="120" w:right="120"/>
            </w:pPr>
            <w:r>
              <w:rPr>
                <w:b w:val="false"/>
                <w:bCs w:val="false"/>
                <w:color w:val="333333"/>
                <w:sz w:val="20"/>
                <w:szCs w:val="20"/>
              </w:rPr>
              <w:t xml:space="preserve">Augmenter le niveau de surveillance de l'entité concernée</w:t>
            </w:r>
          </w:p>
        </w:tc>
      </w:tr>
      <w:tr>
        <w:tc>
          <w:tcPr>
            <w:tcW w:type="dxa" w:w="2500"/>
            <w:shd w:fill="f5f7fa" w:color="auto" w:val="clear"/>
            <w:vAlign w:val="center"/>
          </w:tcPr>
          <w:p>
            <w:pPr>
              <w:spacing w:after="60" w:before="60"/>
              <w:ind w:left="120" w:right="60"/>
            </w:pPr>
            <w:r>
              <w:rPr>
                <w:b w:val="false"/>
                <w:bCs w:val="false"/>
                <w:color w:val="222222"/>
                <w:sz w:val="20"/>
                <w:szCs w:val="20"/>
              </w:rPr>
              <w:t xml:space="preserve">INVESTIGATE</w:t>
            </w:r>
          </w:p>
        </w:tc>
        <w:tc>
          <w:tcPr>
            <w:tcW w:type="dxa" w:w="5500"/>
            <w:shd w:fill="f5f7fa" w:color="auto" w:val="clear"/>
            <w:vAlign w:val="center"/>
          </w:tcPr>
          <w:p>
            <w:pPr>
              <w:spacing w:after="60" w:before="60"/>
              <w:ind w:left="120" w:right="120"/>
            </w:pPr>
            <w:r>
              <w:rPr>
                <w:b w:val="false"/>
                <w:bCs w:val="false"/>
                <w:color w:val="333333"/>
                <w:sz w:val="20"/>
                <w:szCs w:val="20"/>
              </w:rPr>
              <w:t xml:space="preserve">Déclencher une investigation automatique et créer un cas forensique</w:t>
            </w:r>
          </w:p>
        </w:tc>
      </w:tr>
      <w:tr>
        <w:tc>
          <w:tcPr>
            <w:tcW w:type="dxa" w:w="2500"/>
            <w:shd w:fill="FFFFFF" w:color="auto" w:val="clear"/>
            <w:vAlign w:val="center"/>
          </w:tcPr>
          <w:p>
            <w:pPr>
              <w:spacing w:after="60" w:before="60"/>
              <w:ind w:left="120" w:right="60"/>
            </w:pPr>
            <w:r>
              <w:rPr>
                <w:b w:val="false"/>
                <w:bCs w:val="false"/>
                <w:color w:val="222222"/>
                <w:sz w:val="20"/>
                <w:szCs w:val="20"/>
              </w:rPr>
              <w:t xml:space="preserve">ISOLATE</w:t>
            </w:r>
          </w:p>
        </w:tc>
        <w:tc>
          <w:tcPr>
            <w:tcW w:type="dxa" w:w="5500"/>
            <w:shd w:fill="FFFFFF" w:color="auto" w:val="clear"/>
            <w:vAlign w:val="center"/>
          </w:tcPr>
          <w:p>
            <w:pPr>
              <w:spacing w:after="60" w:before="60"/>
              <w:ind w:left="120" w:right="120"/>
            </w:pPr>
            <w:r>
              <w:rPr>
                <w:b w:val="false"/>
                <w:bCs w:val="false"/>
                <w:color w:val="333333"/>
                <w:sz w:val="20"/>
                <w:szCs w:val="20"/>
              </w:rPr>
              <w:t xml:space="preserve">Suspendre ou isoler le processus suspect (réponse active)</w:t>
            </w:r>
          </w:p>
        </w:tc>
      </w:tr>
      <w:tr>
        <w:tc>
          <w:tcPr>
            <w:tcW w:type="dxa" w:w="2500"/>
            <w:shd w:fill="f5f7fa" w:color="auto" w:val="clear"/>
            <w:vAlign w:val="center"/>
          </w:tcPr>
          <w:p>
            <w:pPr>
              <w:spacing w:after="60" w:before="60"/>
              <w:ind w:left="120" w:right="60"/>
            </w:pPr>
            <w:r>
              <w:rPr>
                <w:b w:val="false"/>
                <w:bCs w:val="false"/>
                <w:color w:val="222222"/>
                <w:sz w:val="20"/>
                <w:szCs w:val="20"/>
              </w:rPr>
              <w:t xml:space="preserve">REQUEST_HUMAN</w:t>
            </w:r>
          </w:p>
        </w:tc>
        <w:tc>
          <w:tcPr>
            <w:tcW w:type="dxa" w:w="5500"/>
            <w:shd w:fill="f5f7fa" w:color="auto" w:val="clear"/>
            <w:vAlign w:val="center"/>
          </w:tcPr>
          <w:p>
            <w:pPr>
              <w:spacing w:after="60" w:before="60"/>
              <w:ind w:left="120" w:right="120"/>
            </w:pPr>
            <w:r>
              <w:rPr>
                <w:b w:val="false"/>
                <w:bCs w:val="false"/>
                <w:color w:val="333333"/>
                <w:sz w:val="20"/>
                <w:szCs w:val="20"/>
              </w:rPr>
              <w:t xml:space="preserve">Soumettre la décision à validation humaine via l'interface</w:t>
            </w:r>
          </w:p>
        </w:tc>
      </w:tr>
      <w:tr>
        <w:tc>
          <w:tcPr>
            <w:tcW w:type="dxa" w:w="2500"/>
            <w:shd w:fill="FFFFFF" w:color="auto" w:val="clear"/>
            <w:vAlign w:val="center"/>
          </w:tcPr>
          <w:p>
            <w:pPr>
              <w:spacing w:after="60" w:before="60"/>
              <w:ind w:left="120" w:right="60"/>
            </w:pPr>
            <w:r>
              <w:rPr>
                <w:b w:val="false"/>
                <w:bCs w:val="false"/>
                <w:color w:val="222222"/>
                <w:sz w:val="20"/>
                <w:szCs w:val="20"/>
              </w:rPr>
              <w:t xml:space="preserve">COLLECT_MORE</w:t>
            </w:r>
          </w:p>
        </w:tc>
        <w:tc>
          <w:tcPr>
            <w:tcW w:type="dxa" w:w="5500"/>
            <w:shd w:fill="FFFFFF" w:color="auto" w:val="clear"/>
            <w:vAlign w:val="center"/>
          </w:tcPr>
          <w:p>
            <w:pPr>
              <w:spacing w:after="60" w:before="60"/>
              <w:ind w:left="120" w:right="120"/>
            </w:pPr>
            <w:r>
              <w:rPr>
                <w:b w:val="false"/>
                <w:bCs w:val="false"/>
                <w:color w:val="333333"/>
                <w:sz w:val="20"/>
                <w:szCs w:val="20"/>
              </w:rPr>
              <w:t xml:space="preserve">Activer temporairement des collecteurs supplémentaires</w:t>
            </w:r>
          </w:p>
        </w:tc>
      </w:tr>
      <w:tr>
        <w:tc>
          <w:tcPr>
            <w:tcW w:type="dxa" w:w="2500"/>
            <w:shd w:fill="f5f7fa" w:color="auto" w:val="clear"/>
            <w:vAlign w:val="center"/>
          </w:tcPr>
          <w:p>
            <w:pPr>
              <w:spacing w:after="60" w:before="60"/>
              <w:ind w:left="120" w:right="60"/>
            </w:pPr>
            <w:r>
              <w:rPr>
                <w:b w:val="false"/>
                <w:bCs w:val="false"/>
                <w:color w:val="222222"/>
                <w:sz w:val="20"/>
                <w:szCs w:val="20"/>
              </w:rPr>
              <w:t xml:space="preserve">NOTIFY</w:t>
            </w:r>
          </w:p>
        </w:tc>
        <w:tc>
          <w:tcPr>
            <w:tcW w:type="dxa" w:w="5500"/>
            <w:shd w:fill="f5f7fa" w:color="auto" w:val="clear"/>
            <w:vAlign w:val="center"/>
          </w:tcPr>
          <w:p>
            <w:pPr>
              <w:spacing w:after="60" w:before="60"/>
              <w:ind w:left="120" w:right="120"/>
            </w:pPr>
            <w:r>
              <w:rPr>
                <w:b w:val="false"/>
                <w:bCs w:val="false"/>
                <w:color w:val="333333"/>
                <w:sz w:val="20"/>
                <w:szCs w:val="20"/>
              </w:rPr>
              <w:t xml:space="preserve">Envoyer une notification (email, Slack, webhook) à l'équipe</w:t>
            </w:r>
          </w:p>
        </w:tc>
      </w:tr>
    </w:tbl>
    <w:p>
      <w:pPr>
        <w:pStyle w:val="Heading2"/>
        <w:spacing w:after="80" w:before="240"/>
      </w:pPr>
      <w:r>
        <w:t xml:space="preserve">10.3 Logique de décision</w:t>
      </w:r>
    </w:p>
    <w:p>
      <w:pPr>
        <w:spacing w:after="60" w:before="60"/>
        <w:jc w:val="both"/>
      </w:pPr>
      <w:r>
        <w:rPr>
          <w:color w:val="333333"/>
          <w:sz w:val="22"/>
          <w:szCs w:val="22"/>
        </w:rPr>
        <w:t xml:space="preserve">Le Decision Engine applique une logique en plusieurs étapes pour produire la décision optimale :</w:t>
      </w:r>
    </w:p>
    <w:p>
      <w:pPr>
        <w:pStyle w:val="ListParagraph"/>
        <w:numPr>
          <w:ilvl w:val="0"/>
          <w:numId w:val="1"/>
        </w:numPr>
        <w:spacing w:after="40" w:before="40"/>
      </w:pPr>
      <w:r>
        <w:rPr>
          <w:color w:val="333333"/>
          <w:sz w:val="21"/>
          <w:szCs w:val="21"/>
        </w:rPr>
        <w:t xml:space="preserve">Agrégation des scores de risque provenant des moteurs Règles, ML et TI</w:t>
      </w:r>
    </w:p>
    <w:p>
      <w:pPr>
        <w:pStyle w:val="ListParagraph"/>
        <w:numPr>
          <w:ilvl w:val="0"/>
          <w:numId w:val="1"/>
        </w:numPr>
        <w:spacing w:after="40" w:before="40"/>
      </w:pPr>
      <w:r>
        <w:rPr>
          <w:color w:val="333333"/>
          <w:sz w:val="21"/>
          <w:szCs w:val="21"/>
        </w:rPr>
        <w:t xml:space="preserve">Consultation du contexte de l'entité : score historique, alertes précédentes, profil de surveillance actif</w:t>
      </w:r>
    </w:p>
    <w:p>
      <w:pPr>
        <w:pStyle w:val="ListParagraph"/>
        <w:numPr>
          <w:ilvl w:val="0"/>
          <w:numId w:val="1"/>
        </w:numPr>
        <w:spacing w:after="40" w:before="40"/>
      </w:pPr>
      <w:r>
        <w:rPr>
          <w:color w:val="333333"/>
          <w:sz w:val="21"/>
          <w:szCs w:val="21"/>
        </w:rPr>
        <w:t xml:space="preserve">Application du Policy Engine pour vérifier les seuils de décision configurés</w:t>
      </w:r>
    </w:p>
    <w:p>
      <w:pPr>
        <w:pStyle w:val="ListParagraph"/>
        <w:numPr>
          <w:ilvl w:val="0"/>
          <w:numId w:val="1"/>
        </w:numPr>
        <w:spacing w:after="40" w:before="40"/>
      </w:pPr>
      <w:r>
        <w:rPr>
          <w:color w:val="333333"/>
          <w:sz w:val="21"/>
          <w:szCs w:val="21"/>
        </w:rPr>
        <w:t xml:space="preserve">Sélection de la décision selon une matrice risque × contexte × politique</w:t>
      </w:r>
    </w:p>
    <w:p>
      <w:pPr>
        <w:pStyle w:val="ListParagraph"/>
        <w:numPr>
          <w:ilvl w:val="0"/>
          <w:numId w:val="1"/>
        </w:numPr>
        <w:spacing w:after="40" w:before="40"/>
      </w:pPr>
      <w:r>
        <w:rPr>
          <w:color w:val="333333"/>
          <w:sz w:val="21"/>
          <w:szCs w:val="21"/>
        </w:rPr>
        <w:t xml:space="preserve">Journalisation complète de la décision : motif, sources, score, horodatage</w:t>
      </w:r>
    </w:p>
    <w:p>
      <w:pPr>
        <w:pStyle w:val="ListParagraph"/>
        <w:numPr>
          <w:ilvl w:val="0"/>
          <w:numId w:val="1"/>
        </w:numPr>
        <w:spacing w:after="40" w:before="40"/>
      </w:pPr>
      <w:r>
        <w:rPr>
          <w:color w:val="333333"/>
          <w:sz w:val="21"/>
          <w:szCs w:val="21"/>
        </w:rPr>
        <w:t xml:space="preserve">Transmission de la décision au module d'exécution (Actions)</w:t>
      </w:r>
    </w:p>
    <w:p>
      <w:pPr>
        <w:pStyle w:val="Heading2"/>
        <w:spacing w:after="80" w:before="240"/>
      </w:pPr>
      <w:r>
        <w:t xml:space="preserve">10.4 Matrice risque × décision</w:t>
      </w:r>
    </w:p>
    <w:tbl>
      <w:tblPr>
        <w:tblW w:type="dxa" w:w="8000"/>
        <w:tblBorders>
          <w:top w:val="single" w:color="2e6da4" w:sz="2"/>
          <w:left w:val="single" w:color="2e6da4" w:sz="2"/>
          <w:bottom w:val="single" w:color="2e6da4" w:sz="2"/>
          <w:right w:val="single" w:color="2e6da4" w:sz="2"/>
          <w:insideH w:val="single" w:color="auto" w:sz="4"/>
          <w:insideV w:val="single" w:color="auto" w:sz="4"/>
        </w:tblBorders>
      </w:tblPr>
      <w:tblGrid>
        <w:gridCol w:w="100"/>
        <w:gridCol w:w="100"/>
        <w:gridCol w:w="100"/>
      </w:tblGrid>
      <w:tr>
        <w:tc>
          <w:tcPr>
            <w:tcW w:type="dxa" w:w="2000"/>
            <w:shd w:fill="1a2b4a" w:color="auto" w:val="clear"/>
            <w:vAlign w:val="center"/>
          </w:tcPr>
          <w:p>
            <w:pPr>
              <w:spacing w:after="60" w:before="60"/>
              <w:ind w:left="100" w:right="80"/>
            </w:pPr>
            <w:r>
              <w:rPr>
                <w:b/>
                <w:bCs/>
                <w:color w:val="FFFFFF"/>
                <w:sz w:val="20"/>
                <w:szCs w:val="20"/>
              </w:rPr>
              <w:t xml:space="preserve">Score de risque</w:t>
            </w:r>
          </w:p>
        </w:tc>
        <w:tc>
          <w:tcPr>
            <w:tcW w:type="dxa" w:w="3000"/>
            <w:shd w:fill="1a2b4a" w:color="auto" w:val="clear"/>
            <w:vAlign w:val="center"/>
          </w:tcPr>
          <w:p>
            <w:pPr>
              <w:spacing w:after="60" w:before="60"/>
              <w:ind w:left="100" w:right="80"/>
            </w:pPr>
            <w:r>
              <w:rPr>
                <w:b/>
                <w:bCs/>
                <w:color w:val="FFFFFF"/>
                <w:sz w:val="20"/>
                <w:szCs w:val="20"/>
              </w:rPr>
              <w:t xml:space="preserve">Contexte</w:t>
            </w:r>
          </w:p>
        </w:tc>
        <w:tc>
          <w:tcPr>
            <w:tcW w:type="dxa" w:w="3000"/>
            <w:shd w:fill="1a2b4a" w:color="auto" w:val="clear"/>
            <w:vAlign w:val="center"/>
          </w:tcPr>
          <w:p>
            <w:pPr>
              <w:spacing w:after="60" w:before="60"/>
              <w:ind w:left="100" w:right="80"/>
            </w:pPr>
            <w:r>
              <w:rPr>
                <w:b/>
                <w:bCs/>
                <w:color w:val="FFFFFF"/>
                <w:sz w:val="20"/>
                <w:szCs w:val="20"/>
              </w:rPr>
              <w:t xml:space="preserve">Décision typique</w:t>
            </w:r>
          </w:p>
        </w:tc>
      </w:tr>
      <w:tr>
        <w:tc>
          <w:tcPr>
            <w:tcW w:type="dxa" w:w="2000"/>
            <w:shd w:fill="FFFFFF" w:color="auto" w:val="clear"/>
            <w:vAlign w:val="center"/>
          </w:tcPr>
          <w:p>
            <w:pPr>
              <w:spacing w:after="60" w:before="60"/>
              <w:ind w:left="100" w:right="80"/>
            </w:pPr>
            <w:r>
              <w:rPr>
                <w:b w:val="false"/>
                <w:bCs w:val="false"/>
                <w:color w:val="333333"/>
                <w:sz w:val="20"/>
                <w:szCs w:val="20"/>
              </w:rPr>
              <w:t xml:space="preserve">0–20 (Normal)</w:t>
            </w:r>
          </w:p>
        </w:tc>
        <w:tc>
          <w:tcPr>
            <w:tcW w:type="dxa" w:w="3000"/>
            <w:shd w:fill="FFFFFF" w:color="auto" w:val="clear"/>
            <w:vAlign w:val="center"/>
          </w:tcPr>
          <w:p>
            <w:pPr>
              <w:spacing w:after="60" w:before="60"/>
              <w:ind w:left="100" w:right="80"/>
            </w:pPr>
            <w:r>
              <w:rPr>
                <w:b w:val="false"/>
                <w:bCs w:val="false"/>
                <w:color w:val="333333"/>
                <w:sz w:val="20"/>
                <w:szCs w:val="20"/>
              </w:rPr>
              <w:t xml:space="preserve">Entité connue</w:t>
            </w:r>
          </w:p>
        </w:tc>
        <w:tc>
          <w:tcPr>
            <w:tcW w:type="dxa" w:w="3000"/>
            <w:shd w:fill="FFFFFF" w:color="auto" w:val="clear"/>
            <w:vAlign w:val="center"/>
          </w:tcPr>
          <w:p>
            <w:pPr>
              <w:spacing w:after="60" w:before="60"/>
              <w:ind w:left="100" w:right="80"/>
            </w:pPr>
            <w:r>
              <w:rPr>
                <w:b w:val="false"/>
                <w:bCs w:val="false"/>
                <w:color w:val="333333"/>
                <w:sz w:val="20"/>
                <w:szCs w:val="20"/>
              </w:rPr>
              <w:t xml:space="preserve">IGNORE</w:t>
            </w:r>
          </w:p>
        </w:tc>
      </w:tr>
      <w:tr>
        <w:tc>
          <w:tcPr>
            <w:tcW w:type="dxa" w:w="2000"/>
            <w:shd w:fill="f5f7fa" w:color="auto" w:val="clear"/>
            <w:vAlign w:val="center"/>
          </w:tcPr>
          <w:p>
            <w:pPr>
              <w:spacing w:after="60" w:before="60"/>
              <w:ind w:left="100" w:right="80"/>
            </w:pPr>
            <w:r>
              <w:rPr>
                <w:b w:val="false"/>
                <w:bCs w:val="false"/>
                <w:color w:val="333333"/>
                <w:sz w:val="20"/>
                <w:szCs w:val="20"/>
              </w:rPr>
              <w:t xml:space="preserve">21–40 (Faible)</w:t>
            </w:r>
          </w:p>
        </w:tc>
        <w:tc>
          <w:tcPr>
            <w:tcW w:type="dxa" w:w="3000"/>
            <w:shd w:fill="f5f7fa" w:color="auto" w:val="clear"/>
            <w:vAlign w:val="center"/>
          </w:tcPr>
          <w:p>
            <w:pPr>
              <w:spacing w:after="60" w:before="60"/>
              <w:ind w:left="100" w:right="80"/>
            </w:pPr>
            <w:r>
              <w:rPr>
                <w:b w:val="false"/>
                <w:bCs w:val="false"/>
                <w:color w:val="333333"/>
                <w:sz w:val="20"/>
                <w:szCs w:val="20"/>
              </w:rPr>
              <w:t xml:space="preserve">Première occurrence</w:t>
            </w:r>
          </w:p>
        </w:tc>
        <w:tc>
          <w:tcPr>
            <w:tcW w:type="dxa" w:w="3000"/>
            <w:shd w:fill="f5f7fa" w:color="auto" w:val="clear"/>
            <w:vAlign w:val="center"/>
          </w:tcPr>
          <w:p>
            <w:pPr>
              <w:spacing w:after="60" w:before="60"/>
              <w:ind w:left="100" w:right="80"/>
            </w:pPr>
            <w:r>
              <w:rPr>
                <w:b w:val="false"/>
                <w:bCs w:val="false"/>
                <w:color w:val="333333"/>
                <w:sz w:val="20"/>
                <w:szCs w:val="20"/>
              </w:rPr>
              <w:t xml:space="preserve">ESCALATE</w:t>
            </w:r>
          </w:p>
        </w:tc>
      </w:tr>
      <w:tr>
        <w:tc>
          <w:tcPr>
            <w:tcW w:type="dxa" w:w="2000"/>
            <w:shd w:fill="FFFFFF" w:color="auto" w:val="clear"/>
            <w:vAlign w:val="center"/>
          </w:tcPr>
          <w:p>
            <w:pPr>
              <w:spacing w:after="60" w:before="60"/>
              <w:ind w:left="100" w:right="80"/>
            </w:pPr>
            <w:r>
              <w:rPr>
                <w:b w:val="false"/>
                <w:bCs w:val="false"/>
                <w:color w:val="333333"/>
                <w:sz w:val="20"/>
                <w:szCs w:val="20"/>
              </w:rPr>
              <w:t xml:space="preserve">41–60 (Suspect)</w:t>
            </w:r>
          </w:p>
        </w:tc>
        <w:tc>
          <w:tcPr>
            <w:tcW w:type="dxa" w:w="3000"/>
            <w:shd w:fill="FFFFFF" w:color="auto" w:val="clear"/>
            <w:vAlign w:val="center"/>
          </w:tcPr>
          <w:p>
            <w:pPr>
              <w:spacing w:after="60" w:before="60"/>
              <w:ind w:left="100" w:right="80"/>
            </w:pPr>
            <w:r>
              <w:rPr>
                <w:b w:val="false"/>
                <w:bCs w:val="false"/>
                <w:color w:val="333333"/>
                <w:sz w:val="20"/>
                <w:szCs w:val="20"/>
              </w:rPr>
              <w:t xml:space="preserve">Pattern connu</w:t>
            </w:r>
          </w:p>
        </w:tc>
        <w:tc>
          <w:tcPr>
            <w:tcW w:type="dxa" w:w="3000"/>
            <w:shd w:fill="FFFFFF" w:color="auto" w:val="clear"/>
            <w:vAlign w:val="center"/>
          </w:tcPr>
          <w:p>
            <w:pPr>
              <w:spacing w:after="60" w:before="60"/>
              <w:ind w:left="100" w:right="80"/>
            </w:pPr>
            <w:r>
              <w:rPr>
                <w:b w:val="false"/>
                <w:bCs w:val="false"/>
                <w:color w:val="333333"/>
                <w:sz w:val="20"/>
                <w:szCs w:val="20"/>
              </w:rPr>
              <w:t xml:space="preserve">ALERT + INVESTIGATE</w:t>
            </w:r>
          </w:p>
        </w:tc>
      </w:tr>
      <w:tr>
        <w:tc>
          <w:tcPr>
            <w:tcW w:type="dxa" w:w="2000"/>
            <w:shd w:fill="f5f7fa" w:color="auto" w:val="clear"/>
            <w:vAlign w:val="center"/>
          </w:tcPr>
          <w:p>
            <w:pPr>
              <w:spacing w:after="60" w:before="60"/>
              <w:ind w:left="100" w:right="80"/>
            </w:pPr>
            <w:r>
              <w:rPr>
                <w:b w:val="false"/>
                <w:bCs w:val="false"/>
                <w:color w:val="333333"/>
                <w:sz w:val="20"/>
                <w:szCs w:val="20"/>
              </w:rPr>
              <w:t xml:space="preserve">61–80 (Élevé)</w:t>
            </w:r>
          </w:p>
        </w:tc>
        <w:tc>
          <w:tcPr>
            <w:tcW w:type="dxa" w:w="3000"/>
            <w:shd w:fill="f5f7fa" w:color="auto" w:val="clear"/>
            <w:vAlign w:val="center"/>
          </w:tcPr>
          <w:p>
            <w:pPr>
              <w:spacing w:after="60" w:before="60"/>
              <w:ind w:left="100" w:right="80"/>
            </w:pPr>
            <w:r>
              <w:rPr>
                <w:b w:val="false"/>
                <w:bCs w:val="false"/>
                <w:color w:val="333333"/>
                <w:sz w:val="20"/>
                <w:szCs w:val="20"/>
              </w:rPr>
              <w:t xml:space="preserve">IoC confirmé</w:t>
            </w:r>
          </w:p>
        </w:tc>
        <w:tc>
          <w:tcPr>
            <w:tcW w:type="dxa" w:w="3000"/>
            <w:shd w:fill="f5f7fa" w:color="auto" w:val="clear"/>
            <w:vAlign w:val="center"/>
          </w:tcPr>
          <w:p>
            <w:pPr>
              <w:spacing w:after="60" w:before="60"/>
              <w:ind w:left="100" w:right="80"/>
            </w:pPr>
            <w:r>
              <w:rPr>
                <w:b w:val="false"/>
                <w:bCs w:val="false"/>
                <w:color w:val="333333"/>
                <w:sz w:val="20"/>
                <w:szCs w:val="20"/>
              </w:rPr>
              <w:t xml:space="preserve">ALERT + ISOLATE</w:t>
            </w:r>
          </w:p>
        </w:tc>
      </w:tr>
      <w:tr>
        <w:tc>
          <w:tcPr>
            <w:tcW w:type="dxa" w:w="2000"/>
            <w:shd w:fill="FFFFFF" w:color="auto" w:val="clear"/>
            <w:vAlign w:val="center"/>
          </w:tcPr>
          <w:p>
            <w:pPr>
              <w:spacing w:after="60" w:before="60"/>
              <w:ind w:left="100" w:right="80"/>
            </w:pPr>
            <w:r>
              <w:rPr>
                <w:b w:val="false"/>
                <w:bCs w:val="false"/>
                <w:color w:val="333333"/>
                <w:sz w:val="20"/>
                <w:szCs w:val="20"/>
              </w:rPr>
              <w:t xml:space="preserve">81–100 (Critique)</w:t>
            </w:r>
          </w:p>
        </w:tc>
        <w:tc>
          <w:tcPr>
            <w:tcW w:type="dxa" w:w="3000"/>
            <w:shd w:fill="FFFFFF" w:color="auto" w:val="clear"/>
            <w:vAlign w:val="center"/>
          </w:tcPr>
          <w:p>
            <w:pPr>
              <w:spacing w:after="60" w:before="60"/>
              <w:ind w:left="100" w:right="80"/>
            </w:pPr>
            <w:r>
              <w:rPr>
                <w:b w:val="false"/>
                <w:bCs w:val="false"/>
                <w:color w:val="333333"/>
                <w:sz w:val="20"/>
                <w:szCs w:val="20"/>
              </w:rPr>
              <w:t xml:space="preserve">Attaque active</w:t>
            </w:r>
          </w:p>
        </w:tc>
        <w:tc>
          <w:tcPr>
            <w:tcW w:type="dxa" w:w="3000"/>
            <w:shd w:fill="FFFFFF" w:color="auto" w:val="clear"/>
            <w:vAlign w:val="center"/>
          </w:tcPr>
          <w:p>
            <w:pPr>
              <w:spacing w:after="60" w:before="60"/>
              <w:ind w:left="100" w:right="80"/>
            </w:pPr>
            <w:r>
              <w:rPr>
                <w:b w:val="false"/>
                <w:bCs w:val="false"/>
                <w:color w:val="333333"/>
                <w:sz w:val="20"/>
                <w:szCs w:val="20"/>
              </w:rPr>
              <w:t xml:space="preserve">ALERT + ISOLATE + REQUEST_HUMAN</w:t>
            </w:r>
          </w:p>
        </w:tc>
      </w:tr>
    </w:tbl>
    <w:p>
      <w:pPr>
        <w:pStyle w:val="Heading2"/>
        <w:spacing w:after="80" w:before="240"/>
      </w:pPr>
      <w:r>
        <w:t xml:space="preserve">10.5 Validation humaine</w:t>
      </w:r>
    </w:p>
    <w:p>
      <w:pPr>
        <w:spacing w:after="60" w:before="60"/>
        <w:jc w:val="both"/>
      </w:pPr>
      <w:r>
        <w:rPr>
          <w:color w:val="333333"/>
          <w:sz w:val="22"/>
          <w:szCs w:val="22"/>
        </w:rPr>
        <w:t xml:space="preserve">Pour certains niveaux de risque ou types d'action (notamment ISOLATE), le Decision Engine peut soumettre la décision à un analyste via le dashboard avant exécution. L'analyste dispose d'un délai configurable pour approuver, rejeter ou modifier la décision. Passé ce délai, la décision par défaut s'applique automatiquement.</w:t>
      </w:r>
    </w:p>
    <w:p>
      <w:pPr>
        <w:pBdr>
          <w:left w:val="single" w:color="2e6da4" w:sz="4"/>
        </w:pBdr>
        <w:spacing w:after="80" w:before="80"/>
        <w:ind w:left="360"/>
      </w:pPr>
      <w:r>
        <w:rPr>
          <w:b/>
          <w:bCs/>
          <w:color w:val="2e6da4"/>
          <w:sz w:val="22"/>
          <w:szCs w:val="22"/>
        </w:rPr>
        <w:t xml:space="preserve">⚑  </w:t>
      </w:r>
      <w:r>
        <w:rPr>
          <w:i/>
          <w:iCs/>
          <w:color w:val="4a6080"/>
          <w:sz w:val="20"/>
          <w:szCs w:val="20"/>
        </w:rPr>
        <w:t xml:space="preserve">Le Decision Engine enregistre toutes ses décisions dans un journal immuable distinct. Chaque décision inclut la liste des signaux d'entrée, le score calculé, la politique appliquée et le résultat. Ce journal est essentiel pour l'audit et l'amélioration continue du système.</w:t>
      </w:r>
    </w:p>
    <w:p>
      <w:r>
        <w:br w:type="page"/>
      </w:r>
    </w:p>
    <w:p>
      <w:pPr>
        <w:pStyle w:val="Heading1"/>
        <w:spacing w:after="120" w:before="360"/>
      </w:pPr>
      <w:r>
        <w:t xml:space="preserve">11. Mode forensique et investigation</w:t>
      </w:r>
    </w:p>
    <w:p>
      <w:pPr>
        <w:spacing w:after="60" w:before="60"/>
        <w:jc w:val="both"/>
      </w:pPr>
      <w:r>
        <w:rPr>
          <w:color w:val="333333"/>
          <w:sz w:val="22"/>
          <w:szCs w:val="22"/>
        </w:rPr>
        <w:t xml:space="preserve">OSEye intègre un mode d'investigation dédié permettant aux analystes de travailler sur un incident de façon structurée.</w:t>
      </w:r>
    </w:p>
    <w:p>
      <w:pPr>
        <w:pStyle w:val="Heading2"/>
        <w:spacing w:after="80" w:before="240"/>
      </w:pPr>
      <w:r>
        <w:t xml:space="preserve">11.1 Snapshot système</w:t>
      </w:r>
    </w:p>
    <w:p>
      <w:pPr>
        <w:pStyle w:val="ListParagraph"/>
        <w:numPr>
          <w:ilvl w:val="0"/>
          <w:numId w:val="1"/>
        </w:numPr>
        <w:spacing w:after="40" w:before="40"/>
      </w:pPr>
      <w:r>
        <w:rPr>
          <w:color w:val="333333"/>
          <w:sz w:val="21"/>
          <w:szCs w:val="21"/>
        </w:rPr>
        <w:t xml:space="preserve">Capture instantanée de l'état du système à un instant T : processus actifs, connexions ouvertes, fichiers ouverts, utilisateurs connectés</w:t>
      </w:r>
    </w:p>
    <w:p>
      <w:pPr>
        <w:pStyle w:val="ListParagraph"/>
        <w:numPr>
          <w:ilvl w:val="0"/>
          <w:numId w:val="1"/>
        </w:numPr>
        <w:spacing w:after="40" w:before="40"/>
      </w:pPr>
      <w:r>
        <w:rPr>
          <w:color w:val="333333"/>
          <w:sz w:val="21"/>
          <w:szCs w:val="21"/>
        </w:rPr>
        <w:t xml:space="preserve">Comparaison entre deux snapshots pour identifier les changements</w:t>
      </w:r>
    </w:p>
    <w:p>
      <w:pPr>
        <w:pStyle w:val="ListParagraph"/>
        <w:numPr>
          <w:ilvl w:val="0"/>
          <w:numId w:val="1"/>
        </w:numPr>
        <w:spacing w:after="40" w:before="40"/>
      </w:pPr>
      <w:r>
        <w:rPr>
          <w:color w:val="333333"/>
          <w:sz w:val="21"/>
          <w:szCs w:val="21"/>
        </w:rPr>
        <w:t xml:space="preserve">Conservation des snapshots dans un stockage immuable</w:t>
      </w:r>
    </w:p>
    <w:p>
      <w:pPr>
        <w:pStyle w:val="Heading2"/>
        <w:spacing w:after="80" w:before="240"/>
      </w:pPr>
      <w:r>
        <w:t xml:space="preserve">11.2 Gestion de cas (Case Management)</w:t>
      </w:r>
    </w:p>
    <w:p>
      <w:pPr>
        <w:pStyle w:val="ListParagraph"/>
        <w:numPr>
          <w:ilvl w:val="0"/>
          <w:numId w:val="1"/>
        </w:numPr>
        <w:spacing w:after="40" w:before="40"/>
      </w:pPr>
      <w:r>
        <w:rPr>
          <w:color w:val="333333"/>
          <w:sz w:val="21"/>
          <w:szCs w:val="21"/>
        </w:rPr>
        <w:t xml:space="preserve">Création d'un "cas" regroupant tous les événements liés à un incident</w:t>
      </w:r>
    </w:p>
    <w:p>
      <w:pPr>
        <w:pStyle w:val="ListParagraph"/>
        <w:numPr>
          <w:ilvl w:val="0"/>
          <w:numId w:val="1"/>
        </w:numPr>
        <w:spacing w:after="40" w:before="40"/>
      </w:pPr>
      <w:r>
        <w:rPr>
          <w:color w:val="333333"/>
          <w:sz w:val="21"/>
          <w:szCs w:val="21"/>
        </w:rPr>
        <w:t xml:space="preserve">Annotation des événements par l'analyste (notes, tags, statut)</w:t>
      </w:r>
    </w:p>
    <w:p>
      <w:pPr>
        <w:pStyle w:val="ListParagraph"/>
        <w:numPr>
          <w:ilvl w:val="0"/>
          <w:numId w:val="1"/>
        </w:numPr>
        <w:spacing w:after="40" w:before="40"/>
      </w:pPr>
      <w:r>
        <w:rPr>
          <w:color w:val="333333"/>
          <w:sz w:val="21"/>
          <w:szCs w:val="21"/>
        </w:rPr>
        <w:t xml:space="preserve">Timeline visuelle dédiée au cas</w:t>
      </w:r>
    </w:p>
    <w:p>
      <w:pPr>
        <w:pStyle w:val="ListParagraph"/>
        <w:numPr>
          <w:ilvl w:val="0"/>
          <w:numId w:val="1"/>
        </w:numPr>
        <w:spacing w:after="40" w:before="40"/>
      </w:pPr>
      <w:r>
        <w:rPr>
          <w:color w:val="333333"/>
          <w:sz w:val="21"/>
          <w:szCs w:val="21"/>
        </w:rPr>
        <w:t xml:space="preserve">Collaboration multi-analystes sur un même cas</w:t>
      </w:r>
    </w:p>
    <w:p>
      <w:pPr>
        <w:pStyle w:val="ListParagraph"/>
        <w:numPr>
          <w:ilvl w:val="0"/>
          <w:numId w:val="1"/>
        </w:numPr>
        <w:spacing w:after="40" w:before="40"/>
      </w:pPr>
      <w:r>
        <w:rPr>
          <w:color w:val="333333"/>
          <w:sz w:val="21"/>
          <w:szCs w:val="21"/>
        </w:rPr>
        <w:t xml:space="preserve">Statuts de cas : ouvert, en cours, résolu, archivé</w:t>
      </w:r>
    </w:p>
    <w:p>
      <w:pPr>
        <w:pStyle w:val="Heading2"/>
        <w:spacing w:after="80" w:before="240"/>
      </w:pPr>
      <w:r>
        <w:t xml:space="preserve">11.3 Export forensique</w:t>
      </w:r>
    </w:p>
    <w:p>
      <w:pPr>
        <w:pStyle w:val="ListParagraph"/>
        <w:numPr>
          <w:ilvl w:val="0"/>
          <w:numId w:val="1"/>
        </w:numPr>
        <w:spacing w:after="40" w:before="40"/>
      </w:pPr>
      <w:r>
        <w:rPr>
          <w:color w:val="333333"/>
          <w:sz w:val="21"/>
          <w:szCs w:val="21"/>
        </w:rPr>
        <w:t xml:space="preserve">Bundle d'investigation complet exportable (JSON structuré, rapport HTML/PDF)</w:t>
      </w:r>
    </w:p>
    <w:p>
      <w:pPr>
        <w:pStyle w:val="ListParagraph"/>
        <w:numPr>
          <w:ilvl w:val="0"/>
          <w:numId w:val="1"/>
        </w:numPr>
        <w:spacing w:after="40" w:before="40"/>
      </w:pPr>
      <w:r>
        <w:rPr>
          <w:color w:val="333333"/>
          <w:sz w:val="21"/>
          <w:szCs w:val="21"/>
        </w:rPr>
        <w:t xml:space="preserve">Chaîne de custody documentée (qui a accédé au cas, quand, quelles modifications)</w:t>
      </w:r>
    </w:p>
    <w:p>
      <w:pPr>
        <w:pStyle w:val="ListParagraph"/>
        <w:numPr>
          <w:ilvl w:val="0"/>
          <w:numId w:val="1"/>
        </w:numPr>
        <w:spacing w:after="40" w:before="40"/>
      </w:pPr>
      <w:r>
        <w:rPr>
          <w:color w:val="333333"/>
          <w:sz w:val="21"/>
          <w:szCs w:val="21"/>
        </w:rPr>
        <w:t xml:space="preserve">Format compatible avec les outils d'investigation (MISP, TheHive)</w:t>
      </w:r>
    </w:p>
    <w:p>
      <w:pPr>
        <w:pBdr>
          <w:left w:val="single" w:color="2e6da4" w:sz="4"/>
        </w:pBdr>
        <w:spacing w:after="80" w:before="80"/>
        <w:ind w:left="360"/>
      </w:pPr>
      <w:r>
        <w:rPr>
          <w:b/>
          <w:bCs/>
          <w:color w:val="2e6da4"/>
          <w:sz w:val="22"/>
          <w:szCs w:val="22"/>
        </w:rPr>
        <w:t xml:space="preserve">⚑  </w:t>
      </w:r>
      <w:r>
        <w:rPr>
          <w:i/>
          <w:iCs/>
          <w:color w:val="4a6080"/>
          <w:sz w:val="20"/>
          <w:szCs w:val="20"/>
        </w:rPr>
        <w:t xml:space="preserve">Tous les accès aux données d'un cas sont tracés dans un journal d'audit séparé pour garantir la validité légale des preuves.</w:t>
      </w:r>
    </w:p>
    <w:p>
      <w:pPr>
        <w:pStyle w:val="Heading2"/>
        <w:spacing w:after="80" w:before="240"/>
      </w:pPr>
      <w:r>
        <w:t xml:space="preserve">11.4 Reconstruction de timeline</w:t>
      </w:r>
    </w:p>
    <w:p>
      <w:pPr>
        <w:spacing w:after="60" w:before="60"/>
        <w:jc w:val="both"/>
      </w:pPr>
      <w:r>
        <w:rPr>
          <w:color w:val="333333"/>
          <w:sz w:val="22"/>
          <w:szCs w:val="22"/>
        </w:rPr>
        <w:t xml:space="preserve">Le mode forensique permet de rejouer la séquence complète d'un incident à partir des événements archivés :</w:t>
      </w:r>
    </w:p>
    <w:p>
      <w:pPr>
        <w:pStyle w:val="ListParagraph"/>
        <w:numPr>
          <w:ilvl w:val="0"/>
          <w:numId w:val="1"/>
        </w:numPr>
        <w:spacing w:after="40" w:before="40"/>
      </w:pPr>
      <w:r>
        <w:rPr>
          <w:color w:val="333333"/>
          <w:sz w:val="21"/>
          <w:szCs w:val="21"/>
        </w:rPr>
        <w:t xml:space="preserve">Sélection d'une plage temporelle et d'un ou plusieurs critères (PID, utilisateur, fichier, IP)</w:t>
      </w:r>
    </w:p>
    <w:p>
      <w:pPr>
        <w:pStyle w:val="ListParagraph"/>
        <w:numPr>
          <w:ilvl w:val="0"/>
          <w:numId w:val="1"/>
        </w:numPr>
        <w:spacing w:after="40" w:before="40"/>
      </w:pPr>
      <w:r>
        <w:rPr>
          <w:color w:val="333333"/>
          <w:sz w:val="21"/>
          <w:szCs w:val="21"/>
        </w:rPr>
        <w:t xml:space="preserve">Reconstruction visuelle de la chaîne causale d'événements</w:t>
      </w:r>
    </w:p>
    <w:p>
      <w:pPr>
        <w:pStyle w:val="ListParagraph"/>
        <w:numPr>
          <w:ilvl w:val="0"/>
          <w:numId w:val="1"/>
        </w:numPr>
        <w:spacing w:after="40" w:before="40"/>
      </w:pPr>
      <w:r>
        <w:rPr>
          <w:color w:val="333333"/>
          <w:sz w:val="21"/>
          <w:szCs w:val="21"/>
        </w:rPr>
        <w:t xml:space="preserve">Export de la timeline en PDF ou HTML pour inclusion dans un rapport d'incident</w:t>
      </w:r>
    </w:p>
    <w:p>
      <w:pPr>
        <w:pStyle w:val="ListParagraph"/>
        <w:numPr>
          <w:ilvl w:val="0"/>
          <w:numId w:val="1"/>
        </w:numPr>
        <w:spacing w:after="40" w:before="40"/>
      </w:pPr>
      <w:r>
        <w:rPr>
          <w:color w:val="333333"/>
          <w:sz w:val="21"/>
          <w:szCs w:val="21"/>
        </w:rPr>
        <w:t xml:space="preserve">Marquage des événements comme "preuves" avec horodatage et identité de l'analyste</w:t>
      </w:r>
    </w:p>
    <w:p>
      <w:r>
        <w:br w:type="page"/>
      </w:r>
    </w:p>
    <w:p>
      <w:pPr>
        <w:pStyle w:val="Heading1"/>
        <w:spacing w:after="120" w:before="360"/>
      </w:pPr>
      <w:r>
        <w:t xml:space="preserve">12. Gestion dynamique des ressources</w:t>
      </w:r>
    </w:p>
    <w:p>
      <w:pPr>
        <w:spacing w:after="60" w:before="60"/>
        <w:jc w:val="both"/>
      </w:pPr>
      <w:r>
        <w:rPr>
          <w:color w:val="333333"/>
          <w:sz w:val="22"/>
          <w:szCs w:val="22"/>
        </w:rPr>
        <w:t xml:space="preserve">OSEye surveille en permanence son propre fonctionnement et ajuste automatiquement son comportement.</w:t>
      </w:r>
    </w:p>
    <w:p>
      <w:pPr>
        <w:pStyle w:val="Heading2"/>
        <w:spacing w:after="80" w:before="240"/>
      </w:pPr>
      <w:r>
        <w:t xml:space="preserve">12.1 Métriques auto-surveillées</w:t>
      </w:r>
    </w:p>
    <w:p>
      <w:pPr>
        <w:pStyle w:val="ListParagraph"/>
        <w:numPr>
          <w:ilvl w:val="0"/>
          <w:numId w:val="1"/>
        </w:numPr>
        <w:spacing w:after="40" w:before="40"/>
      </w:pPr>
      <w:r>
        <w:rPr>
          <w:color w:val="333333"/>
          <w:sz w:val="21"/>
          <w:szCs w:val="21"/>
        </w:rPr>
        <w:t xml:space="preserve">Utilisation CPU, mémoire, disque et réseau de l'agent</w:t>
      </w:r>
    </w:p>
    <w:p>
      <w:pPr>
        <w:pStyle w:val="ListParagraph"/>
        <w:numPr>
          <w:ilvl w:val="0"/>
          <w:numId w:val="1"/>
        </w:numPr>
        <w:spacing w:after="40" w:before="40"/>
      </w:pPr>
      <w:r>
        <w:rPr>
          <w:color w:val="333333"/>
          <w:sz w:val="21"/>
          <w:szCs w:val="21"/>
        </w:rPr>
        <w:t xml:space="preserve">Nombre d'événements en attente dans le bus</w:t>
      </w:r>
    </w:p>
    <w:p>
      <w:pPr>
        <w:pStyle w:val="ListParagraph"/>
        <w:numPr>
          <w:ilvl w:val="0"/>
          <w:numId w:val="1"/>
        </w:numPr>
        <w:spacing w:after="40" w:before="40"/>
      </w:pPr>
      <w:r>
        <w:rPr>
          <w:color w:val="333333"/>
          <w:sz w:val="21"/>
          <w:szCs w:val="21"/>
        </w:rPr>
        <w:t xml:space="preserve">Latence de traitement par module</w:t>
      </w:r>
    </w:p>
    <w:p>
      <w:pPr>
        <w:pStyle w:val="ListParagraph"/>
        <w:numPr>
          <w:ilvl w:val="0"/>
          <w:numId w:val="1"/>
        </w:numPr>
        <w:spacing w:after="40" w:before="40"/>
      </w:pPr>
      <w:r>
        <w:rPr>
          <w:color w:val="333333"/>
          <w:sz w:val="21"/>
          <w:szCs w:val="21"/>
        </w:rPr>
        <w:t xml:space="preserve">Débit d'ingestion (événements/seconde)</w:t>
      </w:r>
    </w:p>
    <w:p>
      <w:pPr>
        <w:pStyle w:val="Heading2"/>
        <w:spacing w:after="80" w:before="240"/>
      </w:pPr>
      <w:r>
        <w:t xml:space="preserve">12.2 Ajustements automatiques</w:t>
      </w:r>
    </w:p>
    <w:p>
      <w:pPr>
        <w:pStyle w:val="ListParagraph"/>
        <w:numPr>
          <w:ilvl w:val="0"/>
          <w:numId w:val="1"/>
        </w:numPr>
        <w:spacing w:after="40" w:before="40"/>
      </w:pPr>
      <w:r>
        <w:rPr>
          <w:color w:val="333333"/>
          <w:sz w:val="21"/>
          <w:szCs w:val="21"/>
        </w:rPr>
        <w:t xml:space="preserve">Réduction de la fréquence des collecteurs basse priorité si la charge dépasse le seuil</w:t>
      </w:r>
    </w:p>
    <w:p>
      <w:pPr>
        <w:pStyle w:val="ListParagraph"/>
        <w:numPr>
          <w:ilvl w:val="0"/>
          <w:numId w:val="1"/>
        </w:numPr>
        <w:spacing w:after="40" w:before="40"/>
      </w:pPr>
      <w:r>
        <w:rPr>
          <w:color w:val="333333"/>
          <w:sz w:val="21"/>
          <w:szCs w:val="21"/>
        </w:rPr>
        <w:t xml:space="preserve">Suspension des analyses non critiques (statistiques, ML) lors de pics</w:t>
      </w:r>
    </w:p>
    <w:p>
      <w:pPr>
        <w:pStyle w:val="ListParagraph"/>
        <w:numPr>
          <w:ilvl w:val="0"/>
          <w:numId w:val="1"/>
        </w:numPr>
        <w:spacing w:after="40" w:before="40"/>
      </w:pPr>
      <w:r>
        <w:rPr>
          <w:color w:val="333333"/>
          <w:sz w:val="21"/>
          <w:szCs w:val="21"/>
        </w:rPr>
        <w:t xml:space="preserve">Augmentation du niveau de détail sur les entités à score de risque élevé</w:t>
      </w:r>
    </w:p>
    <w:p>
      <w:pPr>
        <w:pStyle w:val="ListParagraph"/>
        <w:numPr>
          <w:ilvl w:val="0"/>
          <w:numId w:val="1"/>
        </w:numPr>
        <w:spacing w:after="40" w:before="40"/>
      </w:pPr>
      <w:r>
        <w:rPr>
          <w:color w:val="333333"/>
          <w:sz w:val="21"/>
          <w:szCs w:val="21"/>
        </w:rPr>
        <w:t xml:space="preserve">Reprise automatique des modules suspendus lorsque la charge redescend</w:t>
      </w:r>
    </w:p>
    <w:p>
      <w:r>
        <w:br w:type="page"/>
      </w:r>
    </w:p>
    <w:p>
      <w:pPr>
        <w:pStyle w:val="Heading1"/>
        <w:spacing w:after="120" w:before="360"/>
      </w:pPr>
      <w:r>
        <w:t xml:space="preserve">13. Profils de surveillance (Policy Engine)</w:t>
      </w:r>
    </w:p>
    <w:p>
      <w:pPr>
        <w:spacing w:after="60" w:before="60"/>
        <w:jc w:val="both"/>
      </w:pPr>
      <w:r>
        <w:rPr>
          <w:color w:val="333333"/>
          <w:sz w:val="22"/>
          <w:szCs w:val="22"/>
        </w:rPr>
        <w:t xml:space="preserve">OSEye intègre un moteur de politiques permettant de définir précisément ce qui est surveillé, comment et avec quelle priorité.</w:t>
      </w:r>
    </w:p>
    <w:p>
      <w:pPr>
        <w:pStyle w:val="Heading2"/>
        <w:spacing w:after="80" w:before="240"/>
      </w:pPr>
      <w:r>
        <w:t xml:space="preserve">13.1 Contenu d'un profil</w:t>
      </w:r>
    </w:p>
    <w:p>
      <w:pPr>
        <w:pStyle w:val="ListParagraph"/>
        <w:numPr>
          <w:ilvl w:val="0"/>
          <w:numId w:val="1"/>
        </w:numPr>
        <w:spacing w:after="40" w:before="40"/>
      </w:pPr>
      <w:r>
        <w:rPr>
          <w:color w:val="333333"/>
          <w:sz w:val="21"/>
          <w:szCs w:val="21"/>
        </w:rPr>
        <w:t xml:space="preserve">Événements à collecter et leur priorité</w:t>
      </w:r>
    </w:p>
    <w:p>
      <w:pPr>
        <w:pStyle w:val="ListParagraph"/>
        <w:numPr>
          <w:ilvl w:val="0"/>
          <w:numId w:val="1"/>
        </w:numPr>
        <w:spacing w:after="40" w:before="40"/>
      </w:pPr>
      <w:r>
        <w:rPr>
          <w:color w:val="333333"/>
          <w:sz w:val="21"/>
          <w:szCs w:val="21"/>
        </w:rPr>
        <w:t xml:space="preserve">Seuils d'alerte par catégorie</w:t>
      </w:r>
    </w:p>
    <w:p>
      <w:pPr>
        <w:pStyle w:val="ListParagraph"/>
        <w:numPr>
          <w:ilvl w:val="0"/>
          <w:numId w:val="1"/>
        </w:numPr>
        <w:spacing w:after="40" w:before="40"/>
      </w:pPr>
      <w:r>
        <w:rPr>
          <w:color w:val="333333"/>
          <w:sz w:val="21"/>
          <w:szCs w:val="21"/>
        </w:rPr>
        <w:t xml:space="preserve">Ressources critiques à surveiller en priorité</w:t>
      </w:r>
    </w:p>
    <w:p>
      <w:pPr>
        <w:pStyle w:val="ListParagraph"/>
        <w:numPr>
          <w:ilvl w:val="0"/>
          <w:numId w:val="1"/>
        </w:numPr>
        <w:spacing w:after="40" w:before="40"/>
      </w:pPr>
      <w:r>
        <w:rPr>
          <w:color w:val="333333"/>
          <w:sz w:val="21"/>
          <w:szCs w:val="21"/>
        </w:rPr>
        <w:t xml:space="preserve">Règles spécifiques activées</w:t>
      </w:r>
    </w:p>
    <w:p>
      <w:pPr>
        <w:pStyle w:val="ListParagraph"/>
        <w:numPr>
          <w:ilvl w:val="0"/>
          <w:numId w:val="1"/>
        </w:numPr>
        <w:spacing w:after="40" w:before="40"/>
      </w:pPr>
      <w:r>
        <w:rPr>
          <w:color w:val="333333"/>
          <w:sz w:val="21"/>
          <w:szCs w:val="21"/>
        </w:rPr>
        <w:t xml:space="preserve">Modules activés ou désactivés</w:t>
      </w:r>
    </w:p>
    <w:p>
      <w:pPr>
        <w:pStyle w:val="ListParagraph"/>
        <w:numPr>
          <w:ilvl w:val="0"/>
          <w:numId w:val="1"/>
        </w:numPr>
        <w:spacing w:after="40" w:before="40"/>
      </w:pPr>
      <w:r>
        <w:rPr>
          <w:color w:val="333333"/>
          <w:sz w:val="21"/>
          <w:szCs w:val="21"/>
        </w:rPr>
        <w:t xml:space="preserve">Niveau de journalisation</w:t>
      </w:r>
    </w:p>
    <w:p>
      <w:pPr>
        <w:pStyle w:val="ListParagraph"/>
        <w:numPr>
          <w:ilvl w:val="0"/>
          <w:numId w:val="1"/>
        </w:numPr>
        <w:spacing w:after="40" w:before="40"/>
      </w:pPr>
      <w:r>
        <w:rPr>
          <w:color w:val="333333"/>
          <w:sz w:val="21"/>
          <w:szCs w:val="21"/>
        </w:rPr>
        <w:t xml:space="preserve">Politique de rétention</w:t>
      </w:r>
    </w:p>
    <w:p>
      <w:pPr>
        <w:pStyle w:val="Heading2"/>
        <w:spacing w:after="80" w:before="240"/>
      </w:pPr>
      <w:r>
        <w:t xml:space="preserve">13.2 Profils prédéfinis</w:t>
      </w:r>
    </w:p>
    <w:tbl>
      <w:tblPr>
        <w:tblW w:type="dxa" w:w="8000"/>
        <w:tblBorders>
          <w:top w:val="single" w:color="2e6da4" w:sz="2"/>
          <w:left w:val="single" w:color="2e6da4" w:sz="2"/>
          <w:bottom w:val="single" w:color="2e6da4" w:sz="2"/>
          <w:right w:val="single" w:color="2e6da4" w:sz="2"/>
          <w:insideH w:val="single" w:color="auto" w:sz="4"/>
          <w:insideV w:val="single" w:color="auto" w:sz="4"/>
        </w:tblBorders>
      </w:tblPr>
      <w:tblGrid>
        <w:gridCol w:w="100"/>
        <w:gridCol w:w="100"/>
      </w:tblGrid>
      <w:tr>
        <w:tc>
          <w:tcPr>
            <w:tcW w:type="dxa" w:w="2500"/>
            <w:shd w:fill="1a2b4a" w:color="auto" w:val="clear"/>
            <w:vAlign w:val="center"/>
          </w:tcPr>
          <w:p>
            <w:pPr>
              <w:spacing w:after="60" w:before="60"/>
              <w:ind w:left="120" w:right="60"/>
            </w:pPr>
            <w:r>
              <w:rPr>
                <w:b/>
                <w:bCs/>
                <w:color w:val="FFFFFF"/>
                <w:sz w:val="20"/>
                <w:szCs w:val="20"/>
              </w:rPr>
              <w:t xml:space="preserve">Profil</w:t>
            </w:r>
          </w:p>
        </w:tc>
        <w:tc>
          <w:tcPr>
            <w:tcW w:type="dxa" w:w="5500"/>
            <w:shd w:fill="1a2b4a" w:color="auto" w:val="clear"/>
            <w:vAlign w:val="center"/>
          </w:tcPr>
          <w:p>
            <w:pPr>
              <w:spacing w:after="60" w:before="60"/>
              <w:ind w:left="120" w:right="120"/>
            </w:pPr>
            <w:r>
              <w:rPr>
                <w:b/>
                <w:bCs/>
                <w:color w:val="FFFFFF"/>
                <w:sz w:val="20"/>
                <w:szCs w:val="20"/>
              </w:rPr>
              <w:t xml:space="preserve">Usage typique</w:t>
            </w:r>
          </w:p>
        </w:tc>
      </w:tr>
      <w:tr>
        <w:tc>
          <w:tcPr>
            <w:tcW w:type="dxa" w:w="2500"/>
            <w:shd w:fill="FFFFFF" w:color="auto" w:val="clear"/>
            <w:vAlign w:val="center"/>
          </w:tcPr>
          <w:p>
            <w:pPr>
              <w:spacing w:after="60" w:before="60"/>
              <w:ind w:left="120" w:right="60"/>
            </w:pPr>
            <w:r>
              <w:rPr>
                <w:b w:val="false"/>
                <w:bCs w:val="false"/>
                <w:color w:val="222222"/>
                <w:sz w:val="20"/>
                <w:szCs w:val="20"/>
              </w:rPr>
              <w:t xml:space="preserve">Serveur web</w:t>
            </w:r>
          </w:p>
        </w:tc>
        <w:tc>
          <w:tcPr>
            <w:tcW w:type="dxa" w:w="5500"/>
            <w:shd w:fill="FFFFFF" w:color="auto" w:val="clear"/>
            <w:vAlign w:val="center"/>
          </w:tcPr>
          <w:p>
            <w:pPr>
              <w:spacing w:after="60" w:before="60"/>
              <w:ind w:left="120" w:right="120"/>
            </w:pPr>
            <w:r>
              <w:rPr>
                <w:b w:val="false"/>
                <w:bCs w:val="false"/>
                <w:color w:val="333333"/>
                <w:sz w:val="20"/>
                <w:szCs w:val="20"/>
              </w:rPr>
              <w:t xml:space="preserve">Surveillance accrue des fichiers web, logs HTTP, processus nginx/apache</w:t>
            </w:r>
          </w:p>
        </w:tc>
      </w:tr>
      <w:tr>
        <w:tc>
          <w:tcPr>
            <w:tcW w:type="dxa" w:w="2500"/>
            <w:shd w:fill="f5f7fa" w:color="auto" w:val="clear"/>
            <w:vAlign w:val="center"/>
          </w:tcPr>
          <w:p>
            <w:pPr>
              <w:spacing w:after="60" w:before="60"/>
              <w:ind w:left="120" w:right="60"/>
            </w:pPr>
            <w:r>
              <w:rPr>
                <w:b w:val="false"/>
                <w:bCs w:val="false"/>
                <w:color w:val="222222"/>
                <w:sz w:val="20"/>
                <w:szCs w:val="20"/>
              </w:rPr>
              <w:t xml:space="preserve">Serveur de bases de données</w:t>
            </w:r>
          </w:p>
        </w:tc>
        <w:tc>
          <w:tcPr>
            <w:tcW w:type="dxa" w:w="5500"/>
            <w:shd w:fill="f5f7fa" w:color="auto" w:val="clear"/>
            <w:vAlign w:val="center"/>
          </w:tcPr>
          <w:p>
            <w:pPr>
              <w:spacing w:after="60" w:before="60"/>
              <w:ind w:left="120" w:right="120"/>
            </w:pPr>
            <w:r>
              <w:rPr>
                <w:b w:val="false"/>
                <w:bCs w:val="false"/>
                <w:color w:val="333333"/>
                <w:sz w:val="20"/>
                <w:szCs w:val="20"/>
              </w:rPr>
              <w:t xml:space="preserve">Focus sur les accès aux fichiers de données, connexions entrantes</w:t>
            </w:r>
          </w:p>
        </w:tc>
      </w:tr>
      <w:tr>
        <w:tc>
          <w:tcPr>
            <w:tcW w:type="dxa" w:w="2500"/>
            <w:shd w:fill="FFFFFF" w:color="auto" w:val="clear"/>
            <w:vAlign w:val="center"/>
          </w:tcPr>
          <w:p>
            <w:pPr>
              <w:spacing w:after="60" w:before="60"/>
              <w:ind w:left="120" w:right="60"/>
            </w:pPr>
            <w:r>
              <w:rPr>
                <w:b w:val="false"/>
                <w:bCs w:val="false"/>
                <w:color w:val="222222"/>
                <w:sz w:val="20"/>
                <w:szCs w:val="20"/>
              </w:rPr>
              <w:t xml:space="preserve">Poste de travail</w:t>
            </w:r>
          </w:p>
        </w:tc>
        <w:tc>
          <w:tcPr>
            <w:tcW w:type="dxa" w:w="5500"/>
            <w:shd w:fill="FFFFFF" w:color="auto" w:val="clear"/>
            <w:vAlign w:val="center"/>
          </w:tcPr>
          <w:p>
            <w:pPr>
              <w:spacing w:after="60" w:before="60"/>
              <w:ind w:left="120" w:right="120"/>
            </w:pPr>
            <w:r>
              <w:rPr>
                <w:b w:val="false"/>
                <w:bCs w:val="false"/>
                <w:color w:val="333333"/>
                <w:sz w:val="20"/>
                <w:szCs w:val="20"/>
              </w:rPr>
              <w:t xml:space="preserve">Activité utilisateur, périphériques USB, applications bureautiques</w:t>
            </w:r>
          </w:p>
        </w:tc>
      </w:tr>
      <w:tr>
        <w:tc>
          <w:tcPr>
            <w:tcW w:type="dxa" w:w="2500"/>
            <w:shd w:fill="f5f7fa" w:color="auto" w:val="clear"/>
            <w:vAlign w:val="center"/>
          </w:tcPr>
          <w:p>
            <w:pPr>
              <w:spacing w:after="60" w:before="60"/>
              <w:ind w:left="120" w:right="60"/>
            </w:pPr>
            <w:r>
              <w:rPr>
                <w:b w:val="false"/>
                <w:bCs w:val="false"/>
                <w:color w:val="222222"/>
                <w:sz w:val="20"/>
                <w:szCs w:val="20"/>
              </w:rPr>
              <w:t xml:space="preserve">Serveur de fichiers</w:t>
            </w:r>
          </w:p>
        </w:tc>
        <w:tc>
          <w:tcPr>
            <w:tcW w:type="dxa" w:w="5500"/>
            <w:shd w:fill="f5f7fa" w:color="auto" w:val="clear"/>
            <w:vAlign w:val="center"/>
          </w:tcPr>
          <w:p>
            <w:pPr>
              <w:spacing w:after="60" w:before="60"/>
              <w:ind w:left="120" w:right="120"/>
            </w:pPr>
            <w:r>
              <w:rPr>
                <w:b w:val="false"/>
                <w:bCs w:val="false"/>
                <w:color w:val="333333"/>
                <w:sz w:val="20"/>
                <w:szCs w:val="20"/>
              </w:rPr>
              <w:t xml:space="preserve">Tous les accès fichiers, partages réseau, transferts volumineux</w:t>
            </w:r>
          </w:p>
        </w:tc>
      </w:tr>
      <w:tr>
        <w:tc>
          <w:tcPr>
            <w:tcW w:type="dxa" w:w="2500"/>
            <w:shd w:fill="FFFFFF" w:color="auto" w:val="clear"/>
            <w:vAlign w:val="center"/>
          </w:tcPr>
          <w:p>
            <w:pPr>
              <w:spacing w:after="60" w:before="60"/>
              <w:ind w:left="120" w:right="60"/>
            </w:pPr>
            <w:r>
              <w:rPr>
                <w:b w:val="false"/>
                <w:bCs w:val="false"/>
                <w:color w:val="222222"/>
                <w:sz w:val="20"/>
                <w:szCs w:val="20"/>
              </w:rPr>
              <w:t xml:space="preserve">Conteneur</w:t>
            </w:r>
          </w:p>
        </w:tc>
        <w:tc>
          <w:tcPr>
            <w:tcW w:type="dxa" w:w="5500"/>
            <w:shd w:fill="FFFFFF" w:color="auto" w:val="clear"/>
            <w:vAlign w:val="center"/>
          </w:tcPr>
          <w:p>
            <w:pPr>
              <w:spacing w:after="60" w:before="60"/>
              <w:ind w:left="120" w:right="120"/>
            </w:pPr>
            <w:r>
              <w:rPr>
                <w:b w:val="false"/>
                <w:bCs w:val="false"/>
                <w:color w:val="333333"/>
                <w:sz w:val="20"/>
                <w:szCs w:val="20"/>
              </w:rPr>
              <w:t xml:space="preserve">Escape container, accès hôte, processus inattendus</w:t>
            </w:r>
          </w:p>
        </w:tc>
      </w:tr>
      <w:tr>
        <w:tc>
          <w:tcPr>
            <w:tcW w:type="dxa" w:w="2500"/>
            <w:shd w:fill="f5f7fa" w:color="auto" w:val="clear"/>
            <w:vAlign w:val="center"/>
          </w:tcPr>
          <w:p>
            <w:pPr>
              <w:spacing w:after="60" w:before="60"/>
              <w:ind w:left="120" w:right="60"/>
            </w:pPr>
            <w:r>
              <w:rPr>
                <w:b w:val="false"/>
                <w:bCs w:val="false"/>
                <w:color w:val="222222"/>
                <w:sz w:val="20"/>
                <w:szCs w:val="20"/>
              </w:rPr>
              <w:t xml:space="preserve">Investigation active</w:t>
            </w:r>
          </w:p>
        </w:tc>
        <w:tc>
          <w:tcPr>
            <w:tcW w:type="dxa" w:w="5500"/>
            <w:shd w:fill="f5f7fa" w:color="auto" w:val="clear"/>
            <w:vAlign w:val="center"/>
          </w:tcPr>
          <w:p>
            <w:pPr>
              <w:spacing w:after="60" w:before="60"/>
              <w:ind w:left="120" w:right="120"/>
            </w:pPr>
            <w:r>
              <w:rPr>
                <w:b w:val="false"/>
                <w:bCs w:val="false"/>
                <w:color w:val="333333"/>
                <w:sz w:val="20"/>
                <w:szCs w:val="20"/>
              </w:rPr>
              <w:t xml:space="preserve">Niveau maximum de détail sur toutes les catégories</w:t>
            </w:r>
          </w:p>
        </w:tc>
      </w:tr>
    </w:tbl>
    <w:p>
      <w:pPr>
        <w:spacing w:after="60" w:before="60"/>
        <w:jc w:val="both"/>
      </w:pPr>
      <w:r>
        <w:rPr>
          <w:color w:val="333333"/>
          <w:sz w:val="22"/>
          <w:szCs w:val="22"/>
        </w:rPr>
        <w:t xml:space="preserve">Le changement de profil est possible à chaud, sans redémarrage de l'agent.</w:t>
      </w:r>
    </w:p>
    <w:p>
      <w:r>
        <w:br w:type="page"/>
      </w:r>
    </w:p>
    <w:p>
      <w:pPr>
        <w:pStyle w:val="Heading1"/>
        <w:spacing w:after="120" w:before="360"/>
      </w:pPr>
      <w:r>
        <w:t xml:space="preserve">14. Déploiement distribué</w:t>
      </w:r>
    </w:p>
    <w:p>
      <w:pPr>
        <w:spacing w:after="60" w:before="60"/>
        <w:jc w:val="both"/>
      </w:pPr>
      <w:r>
        <w:rPr>
          <w:color w:val="333333"/>
          <w:sz w:val="22"/>
          <w:szCs w:val="22"/>
        </w:rPr>
        <w:t xml:space="preserve">OSEye est conçu pour fonctionner à la fois en mode mono-machine (lab, développement) et en mode distribué (environnements de production avec plusieurs dizaines ou centaines de serveurs).</w:t>
      </w:r>
    </w:p>
    <w:p>
      <w:pPr>
        <w:pStyle w:val="Heading2"/>
        <w:spacing w:after="80" w:before="240"/>
      </w:pPr>
      <w:r>
        <w:t xml:space="preserve">14.1 Architecture multi-nœuds</w:t>
      </w:r>
    </w:p>
    <w:tbl>
      <w:tblPr>
        <w:tblW w:type="dxa" w:w="8000"/>
        <w:tblBorders>
          <w:top w:val="single" w:color="2e6da4" w:sz="2"/>
          <w:left w:val="single" w:color="2e6da4" w:sz="2"/>
          <w:bottom w:val="single" w:color="2e6da4" w:sz="2"/>
          <w:right w:val="single" w:color="2e6da4" w:sz="2"/>
          <w:insideH w:val="single" w:color="auto" w:sz="4"/>
          <w:insideV w:val="single" w:color="auto" w:sz="4"/>
        </w:tblBorders>
      </w:tblPr>
      <w:tblGrid>
        <w:gridCol w:w="100"/>
        <w:gridCol w:w="100"/>
      </w:tblGrid>
      <w:tr>
        <w:tc>
          <w:tcPr>
            <w:tcW w:type="dxa" w:w="2500"/>
            <w:shd w:fill="1a2b4a" w:color="auto" w:val="clear"/>
            <w:vAlign w:val="center"/>
          </w:tcPr>
          <w:p>
            <w:pPr>
              <w:spacing w:after="60" w:before="60"/>
              <w:ind w:left="120" w:right="60"/>
            </w:pPr>
            <w:r>
              <w:rPr>
                <w:b/>
                <w:bCs/>
                <w:color w:val="FFFFFF"/>
                <w:sz w:val="20"/>
                <w:szCs w:val="20"/>
              </w:rPr>
              <w:t xml:space="preserve">Composant</w:t>
            </w:r>
          </w:p>
        </w:tc>
        <w:tc>
          <w:tcPr>
            <w:tcW w:type="dxa" w:w="5500"/>
            <w:shd w:fill="1a2b4a" w:color="auto" w:val="clear"/>
            <w:vAlign w:val="center"/>
          </w:tcPr>
          <w:p>
            <w:pPr>
              <w:spacing w:after="60" w:before="60"/>
              <w:ind w:left="120" w:right="120"/>
            </w:pPr>
            <w:r>
              <w:rPr>
                <w:b/>
                <w:bCs/>
                <w:color w:val="FFFFFF"/>
                <w:sz w:val="20"/>
                <w:szCs w:val="20"/>
              </w:rPr>
              <w:t xml:space="preserve">Rôle</w:t>
            </w:r>
          </w:p>
        </w:tc>
      </w:tr>
      <w:tr>
        <w:tc>
          <w:tcPr>
            <w:tcW w:type="dxa" w:w="2500"/>
            <w:shd w:fill="FFFFFF" w:color="auto" w:val="clear"/>
            <w:vAlign w:val="center"/>
          </w:tcPr>
          <w:p>
            <w:pPr>
              <w:spacing w:after="60" w:before="60"/>
              <w:ind w:left="120" w:right="60"/>
            </w:pPr>
            <w:r>
              <w:rPr>
                <w:b w:val="false"/>
                <w:bCs w:val="false"/>
                <w:color w:val="222222"/>
                <w:sz w:val="20"/>
                <w:szCs w:val="20"/>
              </w:rPr>
              <w:t xml:space="preserve">Agent (oseye-agent)</w:t>
            </w:r>
          </w:p>
        </w:tc>
        <w:tc>
          <w:tcPr>
            <w:tcW w:type="dxa" w:w="5500"/>
            <w:shd w:fill="FFFFFF" w:color="auto" w:val="clear"/>
            <w:vAlign w:val="center"/>
          </w:tcPr>
          <w:p>
            <w:pPr>
              <w:spacing w:after="60" w:before="60"/>
              <w:ind w:left="120" w:right="120"/>
            </w:pPr>
            <w:r>
              <w:rPr>
                <w:b w:val="false"/>
                <w:bCs w:val="false"/>
                <w:color w:val="333333"/>
                <w:sz w:val="20"/>
                <w:szCs w:val="20"/>
              </w:rPr>
              <w:t xml:space="preserve">Déployé sur chaque machine surveillée. Léger, autonome, capable de fonctionner hors ligne</w:t>
            </w:r>
          </w:p>
        </w:tc>
      </w:tr>
      <w:tr>
        <w:tc>
          <w:tcPr>
            <w:tcW w:type="dxa" w:w="2500"/>
            <w:shd w:fill="f5f7fa" w:color="auto" w:val="clear"/>
            <w:vAlign w:val="center"/>
          </w:tcPr>
          <w:p>
            <w:pPr>
              <w:spacing w:after="60" w:before="60"/>
              <w:ind w:left="120" w:right="60"/>
            </w:pPr>
            <w:r>
              <w:rPr>
                <w:b w:val="false"/>
                <w:bCs w:val="false"/>
                <w:color w:val="222222"/>
                <w:sz w:val="20"/>
                <w:szCs w:val="20"/>
              </w:rPr>
              <w:t xml:space="preserve">Collecteur central (oseye-collector)</w:t>
            </w:r>
          </w:p>
        </w:tc>
        <w:tc>
          <w:tcPr>
            <w:tcW w:type="dxa" w:w="5500"/>
            <w:shd w:fill="f5f7fa" w:color="auto" w:val="clear"/>
            <w:vAlign w:val="center"/>
          </w:tcPr>
          <w:p>
            <w:pPr>
              <w:spacing w:after="60" w:before="60"/>
              <w:ind w:left="120" w:right="120"/>
            </w:pPr>
            <w:r>
              <w:rPr>
                <w:b w:val="false"/>
                <w:bCs w:val="false"/>
                <w:color w:val="333333"/>
                <w:sz w:val="20"/>
                <w:szCs w:val="20"/>
              </w:rPr>
              <w:t xml:space="preserve">Agrège les événements de tous les agents</w:t>
            </w:r>
          </w:p>
        </w:tc>
      </w:tr>
      <w:tr>
        <w:tc>
          <w:tcPr>
            <w:tcW w:type="dxa" w:w="2500"/>
            <w:shd w:fill="FFFFFF" w:color="auto" w:val="clear"/>
            <w:vAlign w:val="center"/>
          </w:tcPr>
          <w:p>
            <w:pPr>
              <w:spacing w:after="60" w:before="60"/>
              <w:ind w:left="120" w:right="60"/>
            </w:pPr>
            <w:r>
              <w:rPr>
                <w:b w:val="false"/>
                <w:bCs w:val="false"/>
                <w:color w:val="222222"/>
                <w:sz w:val="20"/>
                <w:szCs w:val="20"/>
              </w:rPr>
              <w:t xml:space="preserve">Serveur d'analyse (oseye-server)</w:t>
            </w:r>
          </w:p>
        </w:tc>
        <w:tc>
          <w:tcPr>
            <w:tcW w:type="dxa" w:w="5500"/>
            <w:shd w:fill="FFFFFF" w:color="auto" w:val="clear"/>
            <w:vAlign w:val="center"/>
          </w:tcPr>
          <w:p>
            <w:pPr>
              <w:spacing w:after="60" w:before="60"/>
              <w:ind w:left="120" w:right="120"/>
            </w:pPr>
            <w:r>
              <w:rPr>
                <w:b w:val="false"/>
                <w:bCs w:val="false"/>
                <w:color w:val="333333"/>
                <w:sz w:val="20"/>
                <w:szCs w:val="20"/>
              </w:rPr>
              <w:t xml:space="preserve">Traitement, corrélation, ML, API</w:t>
            </w:r>
          </w:p>
        </w:tc>
      </w:tr>
      <w:tr>
        <w:tc>
          <w:tcPr>
            <w:tcW w:type="dxa" w:w="2500"/>
            <w:shd w:fill="f5f7fa" w:color="auto" w:val="clear"/>
            <w:vAlign w:val="center"/>
          </w:tcPr>
          <w:p>
            <w:pPr>
              <w:spacing w:after="60" w:before="60"/>
              <w:ind w:left="120" w:right="60"/>
            </w:pPr>
            <w:r>
              <w:rPr>
                <w:b w:val="false"/>
                <w:bCs w:val="false"/>
                <w:color w:val="222222"/>
                <w:sz w:val="20"/>
                <w:szCs w:val="20"/>
              </w:rPr>
              <w:t xml:space="preserve">Interface web (oseye-ui)</w:t>
            </w:r>
          </w:p>
        </w:tc>
        <w:tc>
          <w:tcPr>
            <w:tcW w:type="dxa" w:w="5500"/>
            <w:shd w:fill="f5f7fa" w:color="auto" w:val="clear"/>
            <w:vAlign w:val="center"/>
          </w:tcPr>
          <w:p>
            <w:pPr>
              <w:spacing w:after="60" w:before="60"/>
              <w:ind w:left="120" w:right="120"/>
            </w:pPr>
            <w:r>
              <w:rPr>
                <w:b w:val="false"/>
                <w:bCs w:val="false"/>
                <w:color w:val="333333"/>
                <w:sz w:val="20"/>
                <w:szCs w:val="20"/>
              </w:rPr>
              <w:t xml:space="preserve">Tableau de bord centralisé multi-hôtes</w:t>
            </w:r>
          </w:p>
        </w:tc>
      </w:tr>
    </w:tbl>
    <w:p>
      <w:pPr>
        <w:pStyle w:val="Heading2"/>
        <w:spacing w:after="80" w:before="240"/>
      </w:pPr>
      <w:r>
        <w:t xml:space="preserve">14.2 Résilience</w:t>
      </w:r>
    </w:p>
    <w:p>
      <w:pPr>
        <w:pStyle w:val="ListParagraph"/>
        <w:numPr>
          <w:ilvl w:val="0"/>
          <w:numId w:val="1"/>
        </w:numPr>
        <w:spacing w:after="40" w:before="40"/>
      </w:pPr>
      <w:r>
        <w:rPr>
          <w:color w:val="333333"/>
          <w:sz w:val="21"/>
          <w:szCs w:val="21"/>
        </w:rPr>
        <w:t xml:space="preserve">L'agent fonctionne de façon autonome si la connexion au serveur central est perdue</w:t>
      </w:r>
    </w:p>
    <w:p>
      <w:pPr>
        <w:pStyle w:val="ListParagraph"/>
        <w:numPr>
          <w:ilvl w:val="0"/>
          <w:numId w:val="1"/>
        </w:numPr>
        <w:spacing w:after="40" w:before="40"/>
      </w:pPr>
      <w:r>
        <w:rPr>
          <w:color w:val="333333"/>
          <w:sz w:val="21"/>
          <w:szCs w:val="21"/>
        </w:rPr>
        <w:t xml:space="preserve">Les événements sont bufférisés localement et réenvoyés à la reconnexion</w:t>
      </w:r>
    </w:p>
    <w:p>
      <w:pPr>
        <w:pStyle w:val="ListParagraph"/>
        <w:numPr>
          <w:ilvl w:val="0"/>
          <w:numId w:val="1"/>
        </w:numPr>
        <w:spacing w:after="40" w:before="40"/>
      </w:pPr>
      <w:r>
        <w:rPr>
          <w:color w:val="333333"/>
          <w:sz w:val="21"/>
          <w:szCs w:val="21"/>
        </w:rPr>
        <w:t xml:space="preserve">Le serveur central est redondable (cluster actif/actif)</w:t>
      </w:r>
    </w:p>
    <w:p>
      <w:pPr>
        <w:pStyle w:val="Heading2"/>
        <w:spacing w:after="80" w:before="240"/>
      </w:pPr>
      <w:r>
        <w:t xml:space="preserve">14.3 Déploiement</w:t>
      </w:r>
    </w:p>
    <w:p>
      <w:pPr>
        <w:pStyle w:val="ListParagraph"/>
        <w:numPr>
          <w:ilvl w:val="0"/>
          <w:numId w:val="1"/>
        </w:numPr>
        <w:spacing w:after="40" w:before="40"/>
      </w:pPr>
      <w:r>
        <w:rPr>
          <w:color w:val="333333"/>
          <w:sz w:val="21"/>
          <w:szCs w:val="21"/>
        </w:rPr>
        <w:t xml:space="preserve">Packages natifs : .deb (Debian/Ubuntu), .rpm (RHEL/Fedora/Alma)</w:t>
      </w:r>
    </w:p>
    <w:p>
      <w:pPr>
        <w:pStyle w:val="ListParagraph"/>
        <w:numPr>
          <w:ilvl w:val="0"/>
          <w:numId w:val="1"/>
        </w:numPr>
        <w:spacing w:after="40" w:before="40"/>
      </w:pPr>
      <w:r>
        <w:rPr>
          <w:color w:val="333333"/>
          <w:sz w:val="21"/>
          <w:szCs w:val="21"/>
        </w:rPr>
        <w:t xml:space="preserve">Image Docker officielle avec variables d'environnement de configuration</w:t>
      </w:r>
    </w:p>
    <w:p>
      <w:pPr>
        <w:pStyle w:val="ListParagraph"/>
        <w:numPr>
          <w:ilvl w:val="0"/>
          <w:numId w:val="1"/>
        </w:numPr>
        <w:spacing w:after="40" w:before="40"/>
      </w:pPr>
      <w:r>
        <w:rPr>
          <w:color w:val="333333"/>
          <w:sz w:val="21"/>
          <w:szCs w:val="21"/>
        </w:rPr>
        <w:t xml:space="preserve">Chart Helm pour déploiements Kubernetes</w:t>
      </w:r>
    </w:p>
    <w:p>
      <w:pPr>
        <w:pStyle w:val="ListParagraph"/>
        <w:numPr>
          <w:ilvl w:val="0"/>
          <w:numId w:val="1"/>
        </w:numPr>
        <w:spacing w:after="40" w:before="40"/>
      </w:pPr>
      <w:r>
        <w:rPr>
          <w:color w:val="333333"/>
          <w:sz w:val="21"/>
          <w:szCs w:val="21"/>
        </w:rPr>
        <w:t xml:space="preserve">Ansible Playbook pour le déploiement à grande échelle</w:t>
      </w:r>
    </w:p>
    <w:p>
      <w:pPr>
        <w:pStyle w:val="ListParagraph"/>
        <w:numPr>
          <w:ilvl w:val="0"/>
          <w:numId w:val="1"/>
        </w:numPr>
        <w:spacing w:after="40" w:before="40"/>
      </w:pPr>
      <w:r>
        <w:rPr>
          <w:color w:val="333333"/>
          <w:sz w:val="21"/>
          <w:szCs w:val="21"/>
        </w:rPr>
        <w:t xml:space="preserve">Configuration centralisée via l'API du serveur (push de config vers les agents)</w:t>
      </w:r>
    </w:p>
    <w:p>
      <w:r>
        <w:br w:type="page"/>
      </w:r>
    </w:p>
    <w:p>
      <w:pPr>
        <w:pStyle w:val="Heading1"/>
        <w:spacing w:after="120" w:before="360"/>
      </w:pPr>
      <w:r>
        <w:t xml:space="preserve">15. Plugin SDK</w:t>
      </w:r>
    </w:p>
    <w:p>
      <w:pPr>
        <w:spacing w:after="60" w:before="60"/>
        <w:jc w:val="both"/>
      </w:pPr>
      <w:r>
        <w:rPr>
          <w:color w:val="333333"/>
          <w:sz w:val="22"/>
          <w:szCs w:val="22"/>
        </w:rPr>
        <w:t xml:space="preserve">OSEye intègre un système de plugins qui permet d'étendre ses capacités sans modifier le cœur de l'application. Les plugins peuvent ajouter de nouveaux collecteurs, de nouvelles règles de détection, de nouveaux canaux de notification ou de nouveaux backends de stockage.</w:t>
      </w:r>
    </w:p>
    <w:p>
      <w:pPr>
        <w:pStyle w:val="Heading2"/>
        <w:spacing w:after="80" w:before="240"/>
      </w:pPr>
      <w:r>
        <w:t xml:space="preserve">15.1 Types de plugins</w:t>
      </w:r>
    </w:p>
    <w:tbl>
      <w:tblPr>
        <w:tblW w:type="dxa" w:w="8000"/>
        <w:tblBorders>
          <w:top w:val="single" w:color="2e6da4" w:sz="2"/>
          <w:left w:val="single" w:color="2e6da4" w:sz="2"/>
          <w:bottom w:val="single" w:color="2e6da4" w:sz="2"/>
          <w:right w:val="single" w:color="2e6da4" w:sz="2"/>
          <w:insideH w:val="single" w:color="auto" w:sz="4"/>
          <w:insideV w:val="single" w:color="auto" w:sz="4"/>
        </w:tblBorders>
      </w:tblPr>
      <w:tblGrid>
        <w:gridCol w:w="100"/>
        <w:gridCol w:w="100"/>
      </w:tblGrid>
      <w:tr>
        <w:tc>
          <w:tcPr>
            <w:tcW w:type="dxa" w:w="2500"/>
            <w:shd w:fill="1a2b4a" w:color="auto" w:val="clear"/>
            <w:vAlign w:val="center"/>
          </w:tcPr>
          <w:p>
            <w:pPr>
              <w:spacing w:after="60" w:before="60"/>
              <w:ind w:left="120" w:right="60"/>
            </w:pPr>
            <w:r>
              <w:rPr>
                <w:b/>
                <w:bCs/>
                <w:color w:val="FFFFFF"/>
                <w:sz w:val="20"/>
                <w:szCs w:val="20"/>
              </w:rPr>
              <w:t xml:space="preserve">Type</w:t>
            </w:r>
          </w:p>
        </w:tc>
        <w:tc>
          <w:tcPr>
            <w:tcW w:type="dxa" w:w="5500"/>
            <w:shd w:fill="1a2b4a" w:color="auto" w:val="clear"/>
            <w:vAlign w:val="center"/>
          </w:tcPr>
          <w:p>
            <w:pPr>
              <w:spacing w:after="60" w:before="60"/>
              <w:ind w:left="120" w:right="120"/>
            </w:pPr>
            <w:r>
              <w:rPr>
                <w:b/>
                <w:bCs/>
                <w:color w:val="FFFFFF"/>
                <w:sz w:val="20"/>
                <w:szCs w:val="20"/>
              </w:rPr>
              <w:t xml:space="preserve">Description</w:t>
            </w:r>
          </w:p>
        </w:tc>
      </w:tr>
      <w:tr>
        <w:tc>
          <w:tcPr>
            <w:tcW w:type="dxa" w:w="2500"/>
            <w:shd w:fill="FFFFFF" w:color="auto" w:val="clear"/>
            <w:vAlign w:val="center"/>
          </w:tcPr>
          <w:p>
            <w:pPr>
              <w:spacing w:after="60" w:before="60"/>
              <w:ind w:left="120" w:right="60"/>
            </w:pPr>
            <w:r>
              <w:rPr>
                <w:b w:val="false"/>
                <w:bCs w:val="false"/>
                <w:color w:val="222222"/>
                <w:sz w:val="20"/>
                <w:szCs w:val="20"/>
              </w:rPr>
              <w:t xml:space="preserve">Collecteur</w:t>
            </w:r>
          </w:p>
        </w:tc>
        <w:tc>
          <w:tcPr>
            <w:tcW w:type="dxa" w:w="5500"/>
            <w:shd w:fill="FFFFFF" w:color="auto" w:val="clear"/>
            <w:vAlign w:val="center"/>
          </w:tcPr>
          <w:p>
            <w:pPr>
              <w:spacing w:after="60" w:before="60"/>
              <w:ind w:left="120" w:right="120"/>
            </w:pPr>
            <w:r>
              <w:rPr>
                <w:b w:val="false"/>
                <w:bCs w:val="false"/>
                <w:color w:val="333333"/>
                <w:sz w:val="20"/>
                <w:szCs w:val="20"/>
              </w:rPr>
              <w:t xml:space="preserve">Nouvelle source d'événements (ex : container runtime, cloud provider)</w:t>
            </w:r>
          </w:p>
        </w:tc>
      </w:tr>
      <w:tr>
        <w:tc>
          <w:tcPr>
            <w:tcW w:type="dxa" w:w="2500"/>
            <w:shd w:fill="f5f7fa" w:color="auto" w:val="clear"/>
            <w:vAlign w:val="center"/>
          </w:tcPr>
          <w:p>
            <w:pPr>
              <w:spacing w:after="60" w:before="60"/>
              <w:ind w:left="120" w:right="60"/>
            </w:pPr>
            <w:r>
              <w:rPr>
                <w:b w:val="false"/>
                <w:bCs w:val="false"/>
                <w:color w:val="222222"/>
                <w:sz w:val="20"/>
                <w:szCs w:val="20"/>
              </w:rPr>
              <w:t xml:space="preserve">Analyseur</w:t>
            </w:r>
          </w:p>
        </w:tc>
        <w:tc>
          <w:tcPr>
            <w:tcW w:type="dxa" w:w="5500"/>
            <w:shd w:fill="f5f7fa" w:color="auto" w:val="clear"/>
            <w:vAlign w:val="center"/>
          </w:tcPr>
          <w:p>
            <w:pPr>
              <w:spacing w:after="60" w:before="60"/>
              <w:ind w:left="120" w:right="120"/>
            </w:pPr>
            <w:r>
              <w:rPr>
                <w:b w:val="false"/>
                <w:bCs w:val="false"/>
                <w:color w:val="333333"/>
                <w:sz w:val="20"/>
                <w:szCs w:val="20"/>
              </w:rPr>
              <w:t xml:space="preserve">Nouveau moteur d'analyse ou modèle ML tiers</w:t>
            </w:r>
          </w:p>
        </w:tc>
      </w:tr>
      <w:tr>
        <w:tc>
          <w:tcPr>
            <w:tcW w:type="dxa" w:w="2500"/>
            <w:shd w:fill="FFFFFF" w:color="auto" w:val="clear"/>
            <w:vAlign w:val="center"/>
          </w:tcPr>
          <w:p>
            <w:pPr>
              <w:spacing w:after="60" w:before="60"/>
              <w:ind w:left="120" w:right="60"/>
            </w:pPr>
            <w:r>
              <w:rPr>
                <w:b w:val="false"/>
                <w:bCs w:val="false"/>
                <w:color w:val="222222"/>
                <w:sz w:val="20"/>
                <w:szCs w:val="20"/>
              </w:rPr>
              <w:t xml:space="preserve">Notificateur</w:t>
            </w:r>
          </w:p>
        </w:tc>
        <w:tc>
          <w:tcPr>
            <w:tcW w:type="dxa" w:w="5500"/>
            <w:shd w:fill="FFFFFF" w:color="auto" w:val="clear"/>
            <w:vAlign w:val="center"/>
          </w:tcPr>
          <w:p>
            <w:pPr>
              <w:spacing w:after="60" w:before="60"/>
              <w:ind w:left="120" w:right="120"/>
            </w:pPr>
            <w:r>
              <w:rPr>
                <w:b w:val="false"/>
                <w:bCs w:val="false"/>
                <w:color w:val="333333"/>
                <w:sz w:val="20"/>
                <w:szCs w:val="20"/>
              </w:rPr>
              <w:t xml:space="preserve">Nouveau canal d'alerte (ex : PagerDuty, Teams, JIRA)</w:t>
            </w:r>
          </w:p>
        </w:tc>
      </w:tr>
      <w:tr>
        <w:tc>
          <w:tcPr>
            <w:tcW w:type="dxa" w:w="2500"/>
            <w:shd w:fill="f5f7fa" w:color="auto" w:val="clear"/>
            <w:vAlign w:val="center"/>
          </w:tcPr>
          <w:p>
            <w:pPr>
              <w:spacing w:after="60" w:before="60"/>
              <w:ind w:left="120" w:right="60"/>
            </w:pPr>
            <w:r>
              <w:rPr>
                <w:b w:val="false"/>
                <w:bCs w:val="false"/>
                <w:color w:val="222222"/>
                <w:sz w:val="20"/>
                <w:szCs w:val="20"/>
              </w:rPr>
              <w:t xml:space="preserve">Exporteur</w:t>
            </w:r>
          </w:p>
        </w:tc>
        <w:tc>
          <w:tcPr>
            <w:tcW w:type="dxa" w:w="5500"/>
            <w:shd w:fill="f5f7fa" w:color="auto" w:val="clear"/>
            <w:vAlign w:val="center"/>
          </w:tcPr>
          <w:p>
            <w:pPr>
              <w:spacing w:after="60" w:before="60"/>
              <w:ind w:left="120" w:right="120"/>
            </w:pPr>
            <w:r>
              <w:rPr>
                <w:b w:val="false"/>
                <w:bCs w:val="false"/>
                <w:color w:val="333333"/>
                <w:sz w:val="20"/>
                <w:szCs w:val="20"/>
              </w:rPr>
              <w:t xml:space="preserve">Nouveau format d'export ou backend de stockage</w:t>
            </w:r>
          </w:p>
        </w:tc>
      </w:tr>
      <w:tr>
        <w:tc>
          <w:tcPr>
            <w:tcW w:type="dxa" w:w="2500"/>
            <w:shd w:fill="FFFFFF" w:color="auto" w:val="clear"/>
            <w:vAlign w:val="center"/>
          </w:tcPr>
          <w:p>
            <w:pPr>
              <w:spacing w:after="60" w:before="60"/>
              <w:ind w:left="120" w:right="60"/>
            </w:pPr>
            <w:r>
              <w:rPr>
                <w:b w:val="false"/>
                <w:bCs w:val="false"/>
                <w:color w:val="222222"/>
                <w:sz w:val="20"/>
                <w:szCs w:val="20"/>
              </w:rPr>
              <w:t xml:space="preserve">Enrichisseur</w:t>
            </w:r>
          </w:p>
        </w:tc>
        <w:tc>
          <w:tcPr>
            <w:tcW w:type="dxa" w:w="5500"/>
            <w:shd w:fill="FFFFFF" w:color="auto" w:val="clear"/>
            <w:vAlign w:val="center"/>
          </w:tcPr>
          <w:p>
            <w:pPr>
              <w:spacing w:after="60" w:before="60"/>
              <w:ind w:left="120" w:right="120"/>
            </w:pPr>
            <w:r>
              <w:rPr>
                <w:b w:val="false"/>
                <w:bCs w:val="false"/>
                <w:color w:val="333333"/>
                <w:sz w:val="20"/>
                <w:szCs w:val="20"/>
              </w:rPr>
              <w:t xml:space="preserve">Source de données de contexte supplémentaire</w:t>
            </w:r>
          </w:p>
        </w:tc>
      </w:tr>
      <w:tr>
        <w:tc>
          <w:tcPr>
            <w:tcW w:type="dxa" w:w="2500"/>
            <w:shd w:fill="f5f7fa" w:color="auto" w:val="clear"/>
            <w:vAlign w:val="center"/>
          </w:tcPr>
          <w:p>
            <w:pPr>
              <w:spacing w:after="60" w:before="60"/>
              <w:ind w:left="120" w:right="60"/>
            </w:pPr>
            <w:r>
              <w:rPr>
                <w:b w:val="false"/>
                <w:bCs w:val="false"/>
                <w:color w:val="222222"/>
                <w:sz w:val="20"/>
                <w:szCs w:val="20"/>
              </w:rPr>
              <w:t xml:space="preserve">Action</w:t>
            </w:r>
          </w:p>
        </w:tc>
        <w:tc>
          <w:tcPr>
            <w:tcW w:type="dxa" w:w="5500"/>
            <w:shd w:fill="f5f7fa" w:color="auto" w:val="clear"/>
            <w:vAlign w:val="center"/>
          </w:tcPr>
          <w:p>
            <w:pPr>
              <w:spacing w:after="60" w:before="60"/>
              <w:ind w:left="120" w:right="120"/>
            </w:pPr>
            <w:r>
              <w:rPr>
                <w:b w:val="false"/>
                <w:bCs w:val="false"/>
                <w:color w:val="333333"/>
                <w:sz w:val="20"/>
                <w:szCs w:val="20"/>
              </w:rPr>
              <w:t xml:space="preserve">Nouvelle réponse automatique (ex : blocage pare-feu, quarantaine)</w:t>
            </w:r>
          </w:p>
        </w:tc>
      </w:tr>
    </w:tbl>
    <w:p>
      <w:pPr>
        <w:pStyle w:val="Heading2"/>
        <w:spacing w:after="80" w:before="240"/>
      </w:pPr>
      <w:r>
        <w:t xml:space="preserve">15.2 Interface de plugin</w:t>
      </w:r>
    </w:p>
    <w:p>
      <w:pPr>
        <w:spacing w:after="60" w:before="60"/>
        <w:jc w:val="both"/>
      </w:pPr>
      <w:r>
        <w:rPr>
          <w:color w:val="333333"/>
          <w:sz w:val="22"/>
          <w:szCs w:val="22"/>
        </w:rPr>
        <w:t xml:space="preserve">Chaque plugin implémente une interface standard définie par le SDK :</w:t>
      </w:r>
    </w:p>
    <w:p>
      <w:pPr>
        <w:shd w:fill="f0f4f8" w:color="auto" w:val="clear"/>
        <w:spacing w:after="40" w:before="40"/>
        <w:ind w:left="360" w:right="360"/>
      </w:pPr>
      <w:r>
        <w:rPr>
          <w:rFonts w:ascii="Courier New" w:cs="Courier New" w:eastAsia="Courier New" w:hAnsi="Courier New"/>
          <w:color w:val="2c3e50"/>
          <w:sz w:val="18"/>
          <w:szCs w:val="18"/>
        </w:rPr>
        <w:t xml:space="preserve">class OsEyePlugin:</w:t>
      </w:r>
    </w:p>
    <w:p>
      <w:pPr>
        <w:shd w:fill="f0f4f8" w:color="auto" w:val="clear"/>
        <w:spacing w:after="40" w:before="40"/>
        <w:ind w:left="360" w:right="360"/>
      </w:pPr>
      <w:r>
        <w:rPr>
          <w:rFonts w:ascii="Courier New" w:cs="Courier New" w:eastAsia="Courier New" w:hAnsi="Courier New"/>
          <w:color w:val="2c3e50"/>
          <w:sz w:val="18"/>
          <w:szCs w:val="18"/>
        </w:rPr>
        <w:t xml:space="preserve">    def name(self) -&gt; str: ...</w:t>
      </w:r>
    </w:p>
    <w:p>
      <w:pPr>
        <w:shd w:fill="f0f4f8" w:color="auto" w:val="clear"/>
        <w:spacing w:after="40" w:before="40"/>
        <w:ind w:left="360" w:right="360"/>
      </w:pPr>
      <w:r>
        <w:rPr>
          <w:rFonts w:ascii="Courier New" w:cs="Courier New" w:eastAsia="Courier New" w:hAnsi="Courier New"/>
          <w:color w:val="2c3e50"/>
          <w:sz w:val="18"/>
          <w:szCs w:val="18"/>
        </w:rPr>
        <w:t xml:space="preserve">    def version(self) -&gt; str: ...</w:t>
      </w:r>
    </w:p>
    <w:p>
      <w:pPr>
        <w:shd w:fill="f0f4f8" w:color="auto" w:val="clear"/>
        <w:spacing w:after="40" w:before="40"/>
        <w:ind w:left="360" w:right="360"/>
      </w:pPr>
      <w:r>
        <w:rPr>
          <w:rFonts w:ascii="Courier New" w:cs="Courier New" w:eastAsia="Courier New" w:hAnsi="Courier New"/>
          <w:color w:val="2c3e50"/>
          <w:sz w:val="18"/>
          <w:szCs w:val="18"/>
        </w:rPr>
        <w:t xml:space="preserve">    def on_load(self, config: PluginConfig) -&gt; None: ...</w:t>
      </w:r>
    </w:p>
    <w:p>
      <w:pPr>
        <w:shd w:fill="f0f4f8" w:color="auto" w:val="clear"/>
        <w:spacing w:after="40" w:before="40"/>
        <w:ind w:left="360" w:right="360"/>
      </w:pPr>
      <w:r>
        <w:rPr>
          <w:rFonts w:ascii="Courier New" w:cs="Courier New" w:eastAsia="Courier New" w:hAnsi="Courier New"/>
          <w:color w:val="2c3e50"/>
          <w:sz w:val="18"/>
          <w:szCs w:val="18"/>
        </w:rPr>
        <w:t xml:space="preserve">    def on_event(self, event: Event) -&gt; list[Action]: ...</w:t>
      </w:r>
    </w:p>
    <w:p>
      <w:pPr>
        <w:shd w:fill="f0f4f8" w:color="auto" w:val="clear"/>
        <w:spacing w:after="40" w:before="40"/>
        <w:ind w:left="360" w:right="360"/>
      </w:pPr>
      <w:r>
        <w:rPr>
          <w:rFonts w:ascii="Courier New" w:cs="Courier New" w:eastAsia="Courier New" w:hAnsi="Courier New"/>
          <w:color w:val="2c3e50"/>
          <w:sz w:val="18"/>
          <w:szCs w:val="18"/>
        </w:rPr>
        <w:t xml:space="preserve">    def on_unload(self) -&gt; None: ...</w:t>
      </w:r>
    </w:p>
    <w:p/>
    <w:p>
      <w:pPr>
        <w:pStyle w:val="Heading2"/>
        <w:spacing w:after="80" w:before="240"/>
      </w:pPr>
      <w:r>
        <w:t xml:space="preserve">15.3 Isolation et sécurité</w:t>
      </w:r>
    </w:p>
    <w:p>
      <w:pPr>
        <w:pStyle w:val="ListParagraph"/>
        <w:numPr>
          <w:ilvl w:val="0"/>
          <w:numId w:val="1"/>
        </w:numPr>
        <w:spacing w:after="40" w:before="40"/>
      </w:pPr>
      <w:r>
        <w:rPr>
          <w:color w:val="333333"/>
          <w:sz w:val="21"/>
          <w:szCs w:val="21"/>
        </w:rPr>
        <w:t xml:space="preserve">Chaque plugin s'exécute dans un processus isolé (subprocess ou sandbox)</w:t>
      </w:r>
    </w:p>
    <w:p>
      <w:pPr>
        <w:pStyle w:val="ListParagraph"/>
        <w:numPr>
          <w:ilvl w:val="0"/>
          <w:numId w:val="1"/>
        </w:numPr>
        <w:spacing w:after="40" w:before="40"/>
      </w:pPr>
      <w:r>
        <w:rPr>
          <w:color w:val="333333"/>
          <w:sz w:val="21"/>
          <w:szCs w:val="21"/>
        </w:rPr>
        <w:t xml:space="preserve">Communication inter-processus via Unix socket ou pipe nommé</w:t>
      </w:r>
    </w:p>
    <w:p>
      <w:pPr>
        <w:pStyle w:val="ListParagraph"/>
        <w:numPr>
          <w:ilvl w:val="0"/>
          <w:numId w:val="1"/>
        </w:numPr>
        <w:spacing w:after="40" w:before="40"/>
      </w:pPr>
      <w:r>
        <w:rPr>
          <w:color w:val="333333"/>
          <w:sz w:val="21"/>
          <w:szCs w:val="21"/>
        </w:rPr>
        <w:t xml:space="preserve">Signature numérique obligatoire des plugins — seuls les plugins signés sont chargés</w:t>
      </w:r>
    </w:p>
    <w:p>
      <w:pPr>
        <w:pStyle w:val="ListParagraph"/>
        <w:numPr>
          <w:ilvl w:val="0"/>
          <w:numId w:val="1"/>
        </w:numPr>
        <w:spacing w:after="40" w:before="40"/>
      </w:pPr>
      <w:r>
        <w:rPr>
          <w:color w:val="333333"/>
          <w:sz w:val="21"/>
          <w:szCs w:val="21"/>
        </w:rPr>
        <w:t xml:space="preserve">Liste blanche configurable des plugins autorisés</w:t>
      </w:r>
    </w:p>
    <w:p>
      <w:pPr>
        <w:pStyle w:val="ListParagraph"/>
        <w:numPr>
          <w:ilvl w:val="0"/>
          <w:numId w:val="1"/>
        </w:numPr>
        <w:spacing w:after="40" w:before="40"/>
      </w:pPr>
      <w:r>
        <w:rPr>
          <w:color w:val="333333"/>
          <w:sz w:val="21"/>
          <w:szCs w:val="21"/>
        </w:rPr>
        <w:t xml:space="preserve">Limitation des ressources CPU et mémoire par plugin</w:t>
      </w:r>
    </w:p>
    <w:p>
      <w:pPr>
        <w:pStyle w:val="ListParagraph"/>
        <w:numPr>
          <w:ilvl w:val="0"/>
          <w:numId w:val="1"/>
        </w:numPr>
        <w:spacing w:after="40" w:before="40"/>
      </w:pPr>
      <w:r>
        <w:rPr>
          <w:color w:val="333333"/>
          <w:sz w:val="21"/>
          <w:szCs w:val="21"/>
        </w:rPr>
        <w:t xml:space="preserve">Journal d'audit des actions de chaque plugin</w:t>
      </w:r>
    </w:p>
    <w:p>
      <w:pPr>
        <w:pStyle w:val="Heading2"/>
        <w:spacing w:after="80" w:before="240"/>
      </w:pPr>
      <w:r>
        <w:t xml:space="preserve">15.4 Distribution</w:t>
      </w:r>
    </w:p>
    <w:p>
      <w:pPr>
        <w:pStyle w:val="ListParagraph"/>
        <w:numPr>
          <w:ilvl w:val="0"/>
          <w:numId w:val="1"/>
        </w:numPr>
        <w:spacing w:after="40" w:before="40"/>
      </w:pPr>
      <w:r>
        <w:rPr>
          <w:color w:val="333333"/>
          <w:sz w:val="21"/>
          <w:szCs w:val="21"/>
        </w:rPr>
        <w:t xml:space="preserve">Répertoire de plugins officiel OSEye (analogue à un App Store)</w:t>
      </w:r>
    </w:p>
    <w:p>
      <w:pPr>
        <w:pStyle w:val="ListParagraph"/>
        <w:numPr>
          <w:ilvl w:val="0"/>
          <w:numId w:val="1"/>
        </w:numPr>
        <w:spacing w:after="40" w:before="40"/>
      </w:pPr>
      <w:r>
        <w:rPr>
          <w:color w:val="333333"/>
          <w:sz w:val="21"/>
          <w:szCs w:val="21"/>
        </w:rPr>
        <w:t xml:space="preserve">Installation via CLI : oseye plugin install &lt;nom&gt;</w:t>
      </w:r>
    </w:p>
    <w:p>
      <w:pPr>
        <w:pStyle w:val="ListParagraph"/>
        <w:numPr>
          <w:ilvl w:val="0"/>
          <w:numId w:val="1"/>
        </w:numPr>
        <w:spacing w:after="40" w:before="40"/>
      </w:pPr>
      <w:r>
        <w:rPr>
          <w:color w:val="333333"/>
          <w:sz w:val="21"/>
          <w:szCs w:val="21"/>
        </w:rPr>
        <w:t xml:space="preserve">Mise à jour automatique ou manuelle selon la politique configurée</w:t>
      </w:r>
    </w:p>
    <w:p>
      <w:pPr>
        <w:pStyle w:val="ListParagraph"/>
        <w:numPr>
          <w:ilvl w:val="0"/>
          <w:numId w:val="1"/>
        </w:numPr>
        <w:spacing w:after="40" w:before="40"/>
      </w:pPr>
      <w:r>
        <w:rPr>
          <w:color w:val="333333"/>
          <w:sz w:val="21"/>
          <w:szCs w:val="21"/>
        </w:rPr>
        <w:t xml:space="preserve">Désactivation à chaud sans redémarrage de l'agent</w:t>
      </w:r>
    </w:p>
    <w:p>
      <w:r>
        <w:br w:type="page"/>
      </w:r>
    </w:p>
    <w:p>
      <w:pPr>
        <w:pStyle w:val="Heading1"/>
        <w:spacing w:after="120" w:before="360"/>
      </w:pPr>
      <w:r>
        <w:t xml:space="preserve">16. Sécurité de la plateforme</w:t>
      </w:r>
    </w:p>
    <w:p>
      <w:pPr>
        <w:spacing w:after="60" w:before="60"/>
        <w:jc w:val="both"/>
      </w:pPr>
      <w:r>
        <w:rPr>
          <w:color w:val="333333"/>
          <w:sz w:val="22"/>
          <w:szCs w:val="22"/>
        </w:rPr>
        <w:t xml:space="preserve">La plateforme OSEye elle-même doit être sécurisée. Un attaquant qui compromet OSEye dispose d'un accès à toutes les données collectées.</w:t>
      </w:r>
    </w:p>
    <w:p>
      <w:pPr>
        <w:pStyle w:val="Heading2"/>
        <w:spacing w:after="80" w:before="240"/>
      </w:pPr>
      <w:r>
        <w:t xml:space="preserve">16.1 Authentification et autorisation</w:t>
      </w:r>
    </w:p>
    <w:p>
      <w:pPr>
        <w:pStyle w:val="ListParagraph"/>
        <w:numPr>
          <w:ilvl w:val="0"/>
          <w:numId w:val="1"/>
        </w:numPr>
        <w:spacing w:after="40" w:before="40"/>
      </w:pPr>
      <w:r>
        <w:rPr>
          <w:color w:val="333333"/>
          <w:sz w:val="21"/>
          <w:szCs w:val="21"/>
        </w:rPr>
        <w:t xml:space="preserve">Authentification par JWT (accès court terme) et API keys (accès automatisé)</w:t>
      </w:r>
    </w:p>
    <w:p>
      <w:pPr>
        <w:pStyle w:val="ListParagraph"/>
        <w:numPr>
          <w:ilvl w:val="0"/>
          <w:numId w:val="1"/>
        </w:numPr>
        <w:spacing w:after="40" w:before="40"/>
      </w:pPr>
      <w:r>
        <w:rPr>
          <w:color w:val="333333"/>
          <w:sz w:val="21"/>
          <w:szCs w:val="21"/>
        </w:rPr>
        <w:t xml:space="preserve">Support optionnel OAuth2/OIDC pour intégration SSO (Active Directory, Keycloak)</w:t>
      </w:r>
    </w:p>
    <w:p>
      <w:pPr>
        <w:pStyle w:val="ListParagraph"/>
        <w:numPr>
          <w:ilvl w:val="0"/>
          <w:numId w:val="1"/>
        </w:numPr>
        <w:spacing w:after="40" w:before="40"/>
      </w:pPr>
      <w:r>
        <w:rPr>
          <w:color w:val="333333"/>
          <w:sz w:val="21"/>
          <w:szCs w:val="21"/>
        </w:rPr>
        <w:t xml:space="preserve">Contrôle d'accès basé sur les rôles (RBAC) : administrateur, analyste senior, analyste, lecteur</w:t>
      </w:r>
    </w:p>
    <w:p>
      <w:pPr>
        <w:pStyle w:val="ListParagraph"/>
        <w:numPr>
          <w:ilvl w:val="0"/>
          <w:numId w:val="1"/>
        </w:numPr>
        <w:spacing w:after="40" w:before="40"/>
      </w:pPr>
      <w:r>
        <w:rPr>
          <w:color w:val="333333"/>
          <w:sz w:val="21"/>
          <w:szCs w:val="21"/>
        </w:rPr>
        <w:t xml:space="preserve">Multi-tenancy : plusieurs équipes peuvent avoir des vues isolées sur le même déploiement</w:t>
      </w:r>
    </w:p>
    <w:p>
      <w:pPr>
        <w:pStyle w:val="Heading2"/>
        <w:spacing w:after="80" w:before="240"/>
      </w:pPr>
      <w:r>
        <w:t xml:space="preserve">16.2 Protection de l'agent</w:t>
      </w:r>
    </w:p>
    <w:p>
      <w:pPr>
        <w:pStyle w:val="ListParagraph"/>
        <w:numPr>
          <w:ilvl w:val="0"/>
          <w:numId w:val="1"/>
        </w:numPr>
        <w:spacing w:after="40" w:before="40"/>
      </w:pPr>
      <w:r>
        <w:rPr>
          <w:color w:val="333333"/>
          <w:sz w:val="21"/>
          <w:szCs w:val="21"/>
        </w:rPr>
        <w:t xml:space="preserve">L'agent OSEye surveille son propre processus et génère une alerte critique s'il est tué ou suspendu</w:t>
      </w:r>
    </w:p>
    <w:p>
      <w:pPr>
        <w:pStyle w:val="ListParagraph"/>
        <w:numPr>
          <w:ilvl w:val="0"/>
          <w:numId w:val="1"/>
        </w:numPr>
        <w:spacing w:after="40" w:before="40"/>
      </w:pPr>
      <w:r>
        <w:rPr>
          <w:color w:val="333333"/>
          <w:sz w:val="21"/>
          <w:szCs w:val="21"/>
        </w:rPr>
        <w:t xml:space="preserve">Les fichiers de configuration de l'agent sont protégés en écriture</w:t>
      </w:r>
    </w:p>
    <w:p>
      <w:pPr>
        <w:pStyle w:val="ListParagraph"/>
        <w:numPr>
          <w:ilvl w:val="0"/>
          <w:numId w:val="1"/>
        </w:numPr>
        <w:spacing w:after="40" w:before="40"/>
      </w:pPr>
      <w:r>
        <w:rPr>
          <w:color w:val="333333"/>
          <w:sz w:val="21"/>
          <w:szCs w:val="21"/>
        </w:rPr>
        <w:t xml:space="preserve">Vérification de l'intégrité de l'agent au démarrage (hash signé)</w:t>
      </w:r>
    </w:p>
    <w:p>
      <w:pPr>
        <w:pStyle w:val="Heading2"/>
        <w:spacing w:after="80" w:before="240"/>
      </w:pPr>
      <w:r>
        <w:t xml:space="preserve">16.3 Communications</w:t>
      </w:r>
    </w:p>
    <w:p>
      <w:pPr>
        <w:pStyle w:val="ListParagraph"/>
        <w:numPr>
          <w:ilvl w:val="0"/>
          <w:numId w:val="1"/>
        </w:numPr>
        <w:spacing w:after="40" w:before="40"/>
      </w:pPr>
      <w:r>
        <w:rPr>
          <w:color w:val="333333"/>
          <w:sz w:val="21"/>
          <w:szCs w:val="21"/>
        </w:rPr>
        <w:t xml:space="preserve">TLS 1.3 minimum entre tous les composants</w:t>
      </w:r>
    </w:p>
    <w:p>
      <w:pPr>
        <w:pStyle w:val="ListParagraph"/>
        <w:numPr>
          <w:ilvl w:val="0"/>
          <w:numId w:val="1"/>
        </w:numPr>
        <w:spacing w:after="40" w:before="40"/>
      </w:pPr>
      <w:r>
        <w:rPr>
          <w:color w:val="333333"/>
          <w:sz w:val="21"/>
          <w:szCs w:val="21"/>
        </w:rPr>
        <w:t xml:space="preserve">Certificats mutuels (mTLS) entre agents et serveur central</w:t>
      </w:r>
    </w:p>
    <w:p>
      <w:pPr>
        <w:pStyle w:val="ListParagraph"/>
        <w:numPr>
          <w:ilvl w:val="0"/>
          <w:numId w:val="1"/>
        </w:numPr>
        <w:spacing w:after="40" w:before="40"/>
      </w:pPr>
      <w:r>
        <w:rPr>
          <w:color w:val="333333"/>
          <w:sz w:val="21"/>
          <w:szCs w:val="21"/>
        </w:rPr>
        <w:t xml:space="preserve">Authentification des agents par certificat X.509</w:t>
      </w:r>
    </w:p>
    <w:p>
      <w:r>
        <w:br w:type="page"/>
      </w:r>
    </w:p>
    <w:p>
      <w:pPr>
        <w:pStyle w:val="Heading1"/>
        <w:spacing w:after="120" w:before="360"/>
      </w:pPr>
      <w:r>
        <w:t xml:space="preserve">17. Interface utilisateur</w:t>
      </w:r>
    </w:p>
    <w:p>
      <w:pPr>
        <w:spacing w:after="60" w:before="60"/>
        <w:jc w:val="both"/>
      </w:pPr>
      <w:r>
        <w:rPr>
          <w:color w:val="333333"/>
          <w:sz w:val="22"/>
          <w:szCs w:val="22"/>
        </w:rPr>
        <w:t xml:space="preserve">L'interface web d'OSEye doit être utilisable par des administrateurs système, des analystes SOC et des experts en réponse à incident sans formation préalable.</w:t>
      </w:r>
    </w:p>
    <w:p>
      <w:pPr>
        <w:pStyle w:val="Heading2"/>
        <w:spacing w:after="80" w:before="240"/>
      </w:pPr>
      <w:r>
        <w:t xml:space="preserve">17.1 Vues principales</w:t>
      </w:r>
    </w:p>
    <w:p>
      <w:pPr>
        <w:pStyle w:val="ListParagraph"/>
        <w:numPr>
          <w:ilvl w:val="0"/>
          <w:numId w:val="1"/>
        </w:numPr>
        <w:spacing w:after="40" w:before="40"/>
      </w:pPr>
      <w:r>
        <w:rPr>
          <w:color w:val="333333"/>
          <w:sz w:val="21"/>
          <w:szCs w:val="21"/>
        </w:rPr>
        <w:t xml:space="preserve">Tableau de bord temps réel : flux d'événements, compteurs, carte réseau, top processus, alertes actives</w:t>
      </w:r>
    </w:p>
    <w:p>
      <w:pPr>
        <w:pStyle w:val="ListParagraph"/>
        <w:numPr>
          <w:ilvl w:val="0"/>
          <w:numId w:val="1"/>
        </w:numPr>
        <w:spacing w:after="40" w:before="40"/>
      </w:pPr>
      <w:r>
        <w:rPr>
          <w:color w:val="333333"/>
          <w:sz w:val="21"/>
          <w:szCs w:val="21"/>
        </w:rPr>
        <w:t xml:space="preserve">Chronologie interactive : zoom, filtres, regroupement par catégorie, corrélation visuelle</w:t>
      </w:r>
    </w:p>
    <w:p>
      <w:pPr>
        <w:pStyle w:val="ListParagraph"/>
        <w:numPr>
          <w:ilvl w:val="0"/>
          <w:numId w:val="1"/>
        </w:numPr>
        <w:spacing w:after="40" w:before="40"/>
      </w:pPr>
      <w:r>
        <w:rPr>
          <w:color w:val="333333"/>
          <w:sz w:val="21"/>
          <w:szCs w:val="21"/>
        </w:rPr>
        <w:t xml:space="preserve">Vue par utilisateur : toute l'activité d'un compte</w:t>
      </w:r>
    </w:p>
    <w:p>
      <w:pPr>
        <w:pStyle w:val="ListParagraph"/>
        <w:numPr>
          <w:ilvl w:val="0"/>
          <w:numId w:val="1"/>
        </w:numPr>
        <w:spacing w:after="40" w:before="40"/>
      </w:pPr>
      <w:r>
        <w:rPr>
          <w:color w:val="333333"/>
          <w:sz w:val="21"/>
          <w:szCs w:val="21"/>
        </w:rPr>
        <w:t xml:space="preserve">Vue par processus : arbre de processus complet et interactif</w:t>
      </w:r>
    </w:p>
    <w:p>
      <w:pPr>
        <w:pStyle w:val="ListParagraph"/>
        <w:numPr>
          <w:ilvl w:val="0"/>
          <w:numId w:val="1"/>
        </w:numPr>
        <w:spacing w:after="40" w:before="40"/>
      </w:pPr>
      <w:r>
        <w:rPr>
          <w:color w:val="333333"/>
          <w:sz w:val="21"/>
          <w:szCs w:val="21"/>
        </w:rPr>
        <w:t xml:space="preserve">Vue par fichier : historique complet d'une ressource</w:t>
      </w:r>
    </w:p>
    <w:p>
      <w:pPr>
        <w:pStyle w:val="ListParagraph"/>
        <w:numPr>
          <w:ilvl w:val="0"/>
          <w:numId w:val="1"/>
        </w:numPr>
        <w:spacing w:after="40" w:before="40"/>
      </w:pPr>
      <w:r>
        <w:rPr>
          <w:color w:val="333333"/>
          <w:sz w:val="21"/>
          <w:szCs w:val="21"/>
        </w:rPr>
        <w:t xml:space="preserve">Vue réseau : graphe des connexions, géolocalisation des IPs</w:t>
      </w:r>
    </w:p>
    <w:p>
      <w:pPr>
        <w:pStyle w:val="ListParagraph"/>
        <w:numPr>
          <w:ilvl w:val="0"/>
          <w:numId w:val="1"/>
        </w:numPr>
        <w:spacing w:after="40" w:before="40"/>
      </w:pPr>
      <w:r>
        <w:rPr>
          <w:color w:val="333333"/>
          <w:sz w:val="21"/>
          <w:szCs w:val="21"/>
        </w:rPr>
        <w:t xml:space="preserve">Vue sécurité : alertes, scores de risque, IoC détectés</w:t>
      </w:r>
    </w:p>
    <w:p>
      <w:pPr>
        <w:pStyle w:val="ListParagraph"/>
        <w:numPr>
          <w:ilvl w:val="0"/>
          <w:numId w:val="1"/>
        </w:numPr>
        <w:spacing w:after="40" w:before="40"/>
      </w:pPr>
      <w:r>
        <w:rPr>
          <w:color w:val="333333"/>
          <w:sz w:val="21"/>
          <w:szCs w:val="21"/>
        </w:rPr>
        <w:t xml:space="preserve">Vue forensique : gestion des cas, snapshots, bundle export</w:t>
      </w:r>
    </w:p>
    <w:p>
      <w:pPr>
        <w:pStyle w:val="ListParagraph"/>
        <w:numPr>
          <w:ilvl w:val="0"/>
          <w:numId w:val="1"/>
        </w:numPr>
        <w:spacing w:after="40" w:before="40"/>
      </w:pPr>
      <w:r>
        <w:rPr>
          <w:color w:val="333333"/>
          <w:sz w:val="21"/>
          <w:szCs w:val="21"/>
        </w:rPr>
        <w:t xml:space="preserve">Vue Decision Engine : journal des décisions, validations en attente</w:t>
      </w:r>
    </w:p>
    <w:p>
      <w:pPr>
        <w:pStyle w:val="Heading2"/>
        <w:spacing w:after="80" w:before="240"/>
      </w:pPr>
      <w:r>
        <w:t xml:space="preserve">17.2 Recherche et filtres</w:t>
      </w:r>
    </w:p>
    <w:p>
      <w:pPr>
        <w:pStyle w:val="ListParagraph"/>
        <w:numPr>
          <w:ilvl w:val="0"/>
          <w:numId w:val="1"/>
        </w:numPr>
        <w:spacing w:after="40" w:before="40"/>
      </w:pPr>
      <w:r>
        <w:rPr>
          <w:color w:val="333333"/>
          <w:sz w:val="21"/>
          <w:szCs w:val="21"/>
        </w:rPr>
        <w:t xml:space="preserve">Recherche globale multicritère avec autocomplétion</w:t>
      </w:r>
    </w:p>
    <w:p>
      <w:pPr>
        <w:pStyle w:val="ListParagraph"/>
        <w:numPr>
          <w:ilvl w:val="0"/>
          <w:numId w:val="1"/>
        </w:numPr>
        <w:spacing w:after="40" w:before="40"/>
      </w:pPr>
      <w:r>
        <w:rPr>
          <w:color w:val="333333"/>
          <w:sz w:val="21"/>
          <w:szCs w:val="21"/>
        </w:rPr>
        <w:t xml:space="preserve">Filtres avancés combinables (utilisateur, processus, plage horaire, catégorie, gravité)</w:t>
      </w:r>
    </w:p>
    <w:p>
      <w:pPr>
        <w:pStyle w:val="ListParagraph"/>
        <w:numPr>
          <w:ilvl w:val="0"/>
          <w:numId w:val="1"/>
        </w:numPr>
        <w:spacing w:after="40" w:before="40"/>
      </w:pPr>
      <w:r>
        <w:rPr>
          <w:color w:val="333333"/>
          <w:sz w:val="21"/>
          <w:szCs w:val="21"/>
        </w:rPr>
        <w:t xml:space="preserve">Sauvegarde des recherches fréquentes</w:t>
      </w:r>
    </w:p>
    <w:p>
      <w:pPr>
        <w:pStyle w:val="ListParagraph"/>
        <w:numPr>
          <w:ilvl w:val="0"/>
          <w:numId w:val="1"/>
        </w:numPr>
        <w:spacing w:after="40" w:before="40"/>
      </w:pPr>
      <w:r>
        <w:rPr>
          <w:color w:val="333333"/>
          <w:sz w:val="21"/>
          <w:szCs w:val="21"/>
        </w:rPr>
        <w:t xml:space="preserve">Export des résultats en CSV, JSON, HTML, PDF</w:t>
      </w:r>
    </w:p>
    <w:p>
      <w:r>
        <w:br w:type="page"/>
      </w:r>
    </w:p>
    <w:p>
      <w:pPr>
        <w:pStyle w:val="Heading1"/>
        <w:spacing w:after="120" w:before="360"/>
      </w:pPr>
      <w:r>
        <w:t xml:space="preserve">18. API publique</w:t>
      </w:r>
    </w:p>
    <w:p>
      <w:pPr>
        <w:spacing w:after="60" w:before="60"/>
        <w:jc w:val="both"/>
      </w:pPr>
      <w:r>
        <w:rPr>
          <w:color w:val="333333"/>
          <w:sz w:val="22"/>
          <w:szCs w:val="22"/>
        </w:rPr>
        <w:t xml:space="preserve">OSEye expose une API REST versionnée, documentée (OpenAPI 3.0) et stable. Elle permet l'intégration avec des outils tiers (SIEM, SOAR, ticketing).</w:t>
      </w:r>
    </w:p>
    <w:p>
      <w:pPr>
        <w:pStyle w:val="Heading2"/>
        <w:spacing w:after="80" w:before="240"/>
      </w:pPr>
      <w:r>
        <w:t xml:space="preserve">18.1 Fonctionnalités</w:t>
      </w:r>
    </w:p>
    <w:p>
      <w:pPr>
        <w:pStyle w:val="ListParagraph"/>
        <w:numPr>
          <w:ilvl w:val="0"/>
          <w:numId w:val="1"/>
        </w:numPr>
        <w:spacing w:after="40" w:before="40"/>
      </w:pPr>
      <w:r>
        <w:rPr>
          <w:color w:val="333333"/>
          <w:sz w:val="21"/>
          <w:szCs w:val="21"/>
        </w:rPr>
        <w:t xml:space="preserve">Consultation et recherche des événements</w:t>
      </w:r>
    </w:p>
    <w:p>
      <w:pPr>
        <w:pStyle w:val="ListParagraph"/>
        <w:numPr>
          <w:ilvl w:val="0"/>
          <w:numId w:val="1"/>
        </w:numPr>
        <w:spacing w:after="40" w:before="40"/>
      </w:pPr>
      <w:r>
        <w:rPr>
          <w:color w:val="333333"/>
          <w:sz w:val="21"/>
          <w:szCs w:val="21"/>
        </w:rPr>
        <w:t xml:space="preserve">Gestion des profils de surveillance</w:t>
      </w:r>
    </w:p>
    <w:p>
      <w:pPr>
        <w:pStyle w:val="ListParagraph"/>
        <w:numPr>
          <w:ilvl w:val="0"/>
          <w:numId w:val="1"/>
        </w:numPr>
        <w:spacing w:after="40" w:before="40"/>
      </w:pPr>
      <w:r>
        <w:rPr>
          <w:color w:val="333333"/>
          <w:sz w:val="21"/>
          <w:szCs w:val="21"/>
        </w:rPr>
        <w:t xml:space="preserve">Récupération et acquittement des alertes</w:t>
      </w:r>
    </w:p>
    <w:p>
      <w:pPr>
        <w:pStyle w:val="ListParagraph"/>
        <w:numPr>
          <w:ilvl w:val="0"/>
          <w:numId w:val="1"/>
        </w:numPr>
        <w:spacing w:after="40" w:before="40"/>
      </w:pPr>
      <w:r>
        <w:rPr>
          <w:color w:val="333333"/>
          <w:sz w:val="21"/>
          <w:szCs w:val="21"/>
        </w:rPr>
        <w:t xml:space="preserve">Configuration des règles de détection</w:t>
      </w:r>
    </w:p>
    <w:p>
      <w:pPr>
        <w:pStyle w:val="ListParagraph"/>
        <w:numPr>
          <w:ilvl w:val="0"/>
          <w:numId w:val="1"/>
        </w:numPr>
        <w:spacing w:after="40" w:before="40"/>
      </w:pPr>
      <w:r>
        <w:rPr>
          <w:color w:val="333333"/>
          <w:sz w:val="21"/>
          <w:szCs w:val="21"/>
        </w:rPr>
        <w:t xml:space="preserve">Gestion des modules et de leur état</w:t>
      </w:r>
    </w:p>
    <w:p>
      <w:pPr>
        <w:pStyle w:val="ListParagraph"/>
        <w:numPr>
          <w:ilvl w:val="0"/>
          <w:numId w:val="1"/>
        </w:numPr>
        <w:spacing w:after="40" w:before="40"/>
      </w:pPr>
      <w:r>
        <w:rPr>
          <w:color w:val="333333"/>
          <w:sz w:val="21"/>
          <w:szCs w:val="21"/>
        </w:rPr>
        <w:t xml:space="preserve">Export des données et des rapports</w:t>
      </w:r>
    </w:p>
    <w:p>
      <w:pPr>
        <w:pStyle w:val="ListParagraph"/>
        <w:numPr>
          <w:ilvl w:val="0"/>
          <w:numId w:val="1"/>
        </w:numPr>
        <w:spacing w:after="40" w:before="40"/>
      </w:pPr>
      <w:r>
        <w:rPr>
          <w:color w:val="333333"/>
          <w:sz w:val="21"/>
          <w:szCs w:val="21"/>
        </w:rPr>
        <w:t xml:space="preserve">Gestion des cas forensiques</w:t>
      </w:r>
    </w:p>
    <w:p>
      <w:pPr>
        <w:pStyle w:val="ListParagraph"/>
        <w:numPr>
          <w:ilvl w:val="0"/>
          <w:numId w:val="1"/>
        </w:numPr>
        <w:spacing w:after="40" w:before="40"/>
      </w:pPr>
      <w:r>
        <w:rPr>
          <w:color w:val="333333"/>
          <w:sz w:val="21"/>
          <w:szCs w:val="21"/>
        </w:rPr>
        <w:t xml:space="preserve">Consultation du score de risque des entités</w:t>
      </w:r>
    </w:p>
    <w:p>
      <w:pPr>
        <w:pStyle w:val="ListParagraph"/>
        <w:numPr>
          <w:ilvl w:val="0"/>
          <w:numId w:val="1"/>
        </w:numPr>
        <w:spacing w:after="40" w:before="40"/>
      </w:pPr>
      <w:r>
        <w:rPr>
          <w:color w:val="333333"/>
          <w:sz w:val="21"/>
          <w:szCs w:val="21"/>
        </w:rPr>
        <w:t xml:space="preserve">Consultation et validation des décisions du Decision Engine</w:t>
      </w:r>
    </w:p>
    <w:p>
      <w:pPr>
        <w:pStyle w:val="Heading2"/>
        <w:spacing w:after="80" w:before="240"/>
      </w:pPr>
      <w:r>
        <w:t xml:space="preserve">18.2 Exigences</w:t>
      </w:r>
    </w:p>
    <w:p>
      <w:pPr>
        <w:pStyle w:val="ListParagraph"/>
        <w:numPr>
          <w:ilvl w:val="0"/>
          <w:numId w:val="1"/>
        </w:numPr>
        <w:spacing w:after="40" w:before="40"/>
      </w:pPr>
      <w:r>
        <w:rPr>
          <w:color w:val="333333"/>
          <w:sz w:val="21"/>
          <w:szCs w:val="21"/>
        </w:rPr>
        <w:t xml:space="preserve">Versionnage sémantique (/api/v1/, /api/v2/)</w:t>
      </w:r>
    </w:p>
    <w:p>
      <w:pPr>
        <w:pStyle w:val="ListParagraph"/>
        <w:numPr>
          <w:ilvl w:val="0"/>
          <w:numId w:val="1"/>
        </w:numPr>
        <w:spacing w:after="40" w:before="40"/>
      </w:pPr>
      <w:r>
        <w:rPr>
          <w:color w:val="333333"/>
          <w:sz w:val="21"/>
          <w:szCs w:val="21"/>
        </w:rPr>
        <w:t xml:space="preserve">Documentation OpenAPI 3.0 avec exemples</w:t>
      </w:r>
    </w:p>
    <w:p>
      <w:pPr>
        <w:pStyle w:val="ListParagraph"/>
        <w:numPr>
          <w:ilvl w:val="0"/>
          <w:numId w:val="1"/>
        </w:numPr>
        <w:spacing w:after="40" w:before="40"/>
      </w:pPr>
      <w:r>
        <w:rPr>
          <w:color w:val="333333"/>
          <w:sz w:val="21"/>
          <w:szCs w:val="21"/>
        </w:rPr>
        <w:t xml:space="preserve">Authentification JWT et API keys</w:t>
      </w:r>
    </w:p>
    <w:p>
      <w:pPr>
        <w:pStyle w:val="ListParagraph"/>
        <w:numPr>
          <w:ilvl w:val="0"/>
          <w:numId w:val="1"/>
        </w:numPr>
        <w:spacing w:after="40" w:before="40"/>
      </w:pPr>
      <w:r>
        <w:rPr>
          <w:color w:val="333333"/>
          <w:sz w:val="21"/>
          <w:szCs w:val="21"/>
        </w:rPr>
        <w:t xml:space="preserve">Rate limiting configurable par token</w:t>
      </w:r>
    </w:p>
    <w:p>
      <w:pPr>
        <w:pStyle w:val="ListParagraph"/>
        <w:numPr>
          <w:ilvl w:val="0"/>
          <w:numId w:val="1"/>
        </w:numPr>
        <w:spacing w:after="40" w:before="40"/>
      </w:pPr>
      <w:r>
        <w:rPr>
          <w:color w:val="333333"/>
          <w:sz w:val="21"/>
          <w:szCs w:val="21"/>
        </w:rPr>
        <w:t xml:space="preserve">Webhooks pour les alertes en temps réel</w:t>
      </w:r>
    </w:p>
    <w:p>
      <w:r>
        <w:br w:type="page"/>
      </w:r>
    </w:p>
    <w:p>
      <w:pPr>
        <w:pStyle w:val="Heading1"/>
        <w:spacing w:after="120" w:before="360"/>
      </w:pPr>
      <w:r>
        <w:t xml:space="preserve">19. Qualité et tests</w:t>
      </w:r>
    </w:p>
    <w:p>
      <w:pPr>
        <w:spacing w:after="60" w:before="60"/>
        <w:jc w:val="both"/>
      </w:pPr>
      <w:r>
        <w:rPr>
          <w:color w:val="333333"/>
          <w:sz w:val="22"/>
          <w:szCs w:val="22"/>
        </w:rPr>
        <w:t xml:space="preserve">La qualité est une exigence non négociable. OSEye est un outil de sécurité — un faux négatif peut laisser passer une attaque, un faux positif peut saturer les analystes.</w:t>
      </w:r>
    </w:p>
    <w:p>
      <w:pPr>
        <w:pStyle w:val="Heading2"/>
        <w:spacing w:after="80" w:before="240"/>
      </w:pPr>
      <w:r>
        <w:t xml:space="preserve">19.1 Types de tests</w:t>
      </w:r>
    </w:p>
    <w:p>
      <w:pPr>
        <w:pStyle w:val="ListParagraph"/>
        <w:numPr>
          <w:ilvl w:val="0"/>
          <w:numId w:val="1"/>
        </w:numPr>
        <w:spacing w:after="40" w:before="40"/>
      </w:pPr>
      <w:r>
        <w:rPr>
          <w:color w:val="333333"/>
          <w:sz w:val="21"/>
          <w:szCs w:val="21"/>
        </w:rPr>
        <w:t xml:space="preserve">Tests unitaires : chaque module dispose d'une suite de tests isolée (couverture &gt; 80 %)</w:t>
      </w:r>
    </w:p>
    <w:p>
      <w:pPr>
        <w:pStyle w:val="ListParagraph"/>
        <w:numPr>
          <w:ilvl w:val="0"/>
          <w:numId w:val="1"/>
        </w:numPr>
        <w:spacing w:after="40" w:before="40"/>
      </w:pPr>
      <w:r>
        <w:rPr>
          <w:color w:val="333333"/>
          <w:sz w:val="21"/>
          <w:szCs w:val="21"/>
        </w:rPr>
        <w:t xml:space="preserve">Tests d'intégration : scénarios end-to-end sur des attaques simulées (élévation de privilèges, exfiltration, ransomware)</w:t>
      </w:r>
    </w:p>
    <w:p>
      <w:pPr>
        <w:pStyle w:val="ListParagraph"/>
        <w:numPr>
          <w:ilvl w:val="0"/>
          <w:numId w:val="1"/>
        </w:numPr>
        <w:spacing w:after="40" w:before="40"/>
      </w:pPr>
      <w:r>
        <w:rPr>
          <w:color w:val="333333"/>
          <w:sz w:val="21"/>
          <w:szCs w:val="21"/>
        </w:rPr>
        <w:t xml:space="preserve">Tests de performance : benchmark d'ingestion en charge (objectif : &gt; 100 000 événements/s sans perte)</w:t>
      </w:r>
    </w:p>
    <w:p>
      <w:pPr>
        <w:pStyle w:val="ListParagraph"/>
        <w:numPr>
          <w:ilvl w:val="0"/>
          <w:numId w:val="1"/>
        </w:numPr>
        <w:spacing w:after="40" w:before="40"/>
      </w:pPr>
      <w:r>
        <w:rPr>
          <w:color w:val="333333"/>
          <w:sz w:val="21"/>
          <w:szCs w:val="21"/>
        </w:rPr>
        <w:t xml:space="preserve">Tests de régression : chaque nouvelle version est validée contre la suite complète</w:t>
      </w:r>
    </w:p>
    <w:p>
      <w:pPr>
        <w:pStyle w:val="ListParagraph"/>
        <w:numPr>
          <w:ilvl w:val="0"/>
          <w:numId w:val="1"/>
        </w:numPr>
        <w:spacing w:after="40" w:before="40"/>
      </w:pPr>
      <w:r>
        <w:rPr>
          <w:color w:val="333333"/>
          <w:sz w:val="21"/>
          <w:szCs w:val="21"/>
        </w:rPr>
        <w:t xml:space="preserve">Tests de sécurité : audit de la plateforme elle-même (injection, accès non autorisé, intégrité des logs)</w:t>
      </w:r>
    </w:p>
    <w:p>
      <w:pPr>
        <w:pStyle w:val="ListParagraph"/>
        <w:numPr>
          <w:ilvl w:val="0"/>
          <w:numId w:val="1"/>
        </w:numPr>
        <w:spacing w:after="40" w:before="40"/>
      </w:pPr>
      <w:r>
        <w:rPr>
          <w:color w:val="333333"/>
          <w:sz w:val="21"/>
          <w:szCs w:val="21"/>
        </w:rPr>
        <w:t xml:space="preserve">Tests du Decision Engine : validation des décisions sur des jeux de données d'attaques connues</w:t>
      </w:r>
    </w:p>
    <w:p>
      <w:pPr>
        <w:pStyle w:val="Heading2"/>
        <w:spacing w:after="80" w:before="240"/>
      </w:pPr>
      <w:r>
        <w:t xml:space="preserve">19.2 Métriques de qualité</w:t>
      </w:r>
    </w:p>
    <w:tbl>
      <w:tblPr>
        <w:tblW w:type="dxa" w:w="8000"/>
        <w:tblBorders>
          <w:top w:val="single" w:color="2e6da4" w:sz="2"/>
          <w:left w:val="single" w:color="2e6da4" w:sz="2"/>
          <w:bottom w:val="single" w:color="2e6da4" w:sz="2"/>
          <w:right w:val="single" w:color="2e6da4" w:sz="2"/>
          <w:insideH w:val="single" w:color="auto" w:sz="4"/>
          <w:insideV w:val="single" w:color="auto" w:sz="4"/>
        </w:tblBorders>
      </w:tblPr>
      <w:tblGrid>
        <w:gridCol w:w="100"/>
        <w:gridCol w:w="100"/>
      </w:tblGrid>
      <w:tr>
        <w:tc>
          <w:tcPr>
            <w:tcW w:type="dxa" w:w="2500"/>
            <w:shd w:fill="1a2b4a" w:color="auto" w:val="clear"/>
            <w:vAlign w:val="center"/>
          </w:tcPr>
          <w:p>
            <w:pPr>
              <w:spacing w:after="60" w:before="60"/>
              <w:ind w:left="120" w:right="60"/>
            </w:pPr>
            <w:r>
              <w:rPr>
                <w:b/>
                <w:bCs/>
                <w:color w:val="FFFFFF"/>
                <w:sz w:val="20"/>
                <w:szCs w:val="20"/>
              </w:rPr>
              <w:t xml:space="preserve">Métrique</w:t>
            </w:r>
          </w:p>
        </w:tc>
        <w:tc>
          <w:tcPr>
            <w:tcW w:type="dxa" w:w="5500"/>
            <w:shd w:fill="1a2b4a" w:color="auto" w:val="clear"/>
            <w:vAlign w:val="center"/>
          </w:tcPr>
          <w:p>
            <w:pPr>
              <w:spacing w:after="60" w:before="60"/>
              <w:ind w:left="120" w:right="120"/>
            </w:pPr>
            <w:r>
              <w:rPr>
                <w:b/>
                <w:bCs/>
                <w:color w:val="FFFFFF"/>
                <w:sz w:val="20"/>
                <w:szCs w:val="20"/>
              </w:rPr>
              <w:t xml:space="preserve">Objectif</w:t>
            </w:r>
          </w:p>
        </w:tc>
      </w:tr>
      <w:tr>
        <w:tc>
          <w:tcPr>
            <w:tcW w:type="dxa" w:w="2500"/>
            <w:shd w:fill="FFFFFF" w:color="auto" w:val="clear"/>
            <w:vAlign w:val="center"/>
          </w:tcPr>
          <w:p>
            <w:pPr>
              <w:spacing w:after="60" w:before="60"/>
              <w:ind w:left="120" w:right="60"/>
            </w:pPr>
            <w:r>
              <w:rPr>
                <w:b w:val="false"/>
                <w:bCs w:val="false"/>
                <w:color w:val="222222"/>
                <w:sz w:val="20"/>
                <w:szCs w:val="20"/>
              </w:rPr>
              <w:t xml:space="preserve">Taux de faux positifs</w:t>
            </w:r>
          </w:p>
        </w:tc>
        <w:tc>
          <w:tcPr>
            <w:tcW w:type="dxa" w:w="5500"/>
            <w:shd w:fill="FFFFFF" w:color="auto" w:val="clear"/>
            <w:vAlign w:val="center"/>
          </w:tcPr>
          <w:p>
            <w:pPr>
              <w:spacing w:after="60" w:before="60"/>
              <w:ind w:left="120" w:right="120"/>
            </w:pPr>
            <w:r>
              <w:rPr>
                <w:b w:val="false"/>
                <w:bCs w:val="false"/>
                <w:color w:val="333333"/>
                <w:sz w:val="20"/>
                <w:szCs w:val="20"/>
              </w:rPr>
              <w:t xml:space="preserve">&lt; 5 % en mode standard</w:t>
            </w:r>
          </w:p>
        </w:tc>
      </w:tr>
      <w:tr>
        <w:tc>
          <w:tcPr>
            <w:tcW w:type="dxa" w:w="2500"/>
            <w:shd w:fill="f5f7fa" w:color="auto" w:val="clear"/>
            <w:vAlign w:val="center"/>
          </w:tcPr>
          <w:p>
            <w:pPr>
              <w:spacing w:after="60" w:before="60"/>
              <w:ind w:left="120" w:right="60"/>
            </w:pPr>
            <w:r>
              <w:rPr>
                <w:b w:val="false"/>
                <w:bCs w:val="false"/>
                <w:color w:val="222222"/>
                <w:sz w:val="20"/>
                <w:szCs w:val="20"/>
              </w:rPr>
              <w:t xml:space="preserve">Taux de faux négatifs</w:t>
            </w:r>
          </w:p>
        </w:tc>
        <w:tc>
          <w:tcPr>
            <w:tcW w:type="dxa" w:w="5500"/>
            <w:shd w:fill="f5f7fa" w:color="auto" w:val="clear"/>
            <w:vAlign w:val="center"/>
          </w:tcPr>
          <w:p>
            <w:pPr>
              <w:spacing w:after="60" w:before="60"/>
              <w:ind w:left="120" w:right="120"/>
            </w:pPr>
            <w:r>
              <w:rPr>
                <w:b w:val="false"/>
                <w:bCs w:val="false"/>
                <w:color w:val="333333"/>
                <w:sz w:val="20"/>
                <w:szCs w:val="20"/>
              </w:rPr>
              <w:t xml:space="preserve">&lt; 1 % sur les scénarios d'attaque de référence</w:t>
            </w:r>
          </w:p>
        </w:tc>
      </w:tr>
      <w:tr>
        <w:tc>
          <w:tcPr>
            <w:tcW w:type="dxa" w:w="2500"/>
            <w:shd w:fill="FFFFFF" w:color="auto" w:val="clear"/>
            <w:vAlign w:val="center"/>
          </w:tcPr>
          <w:p>
            <w:pPr>
              <w:spacing w:after="60" w:before="60"/>
              <w:ind w:left="120" w:right="60"/>
            </w:pPr>
            <w:r>
              <w:rPr>
                <w:b w:val="false"/>
                <w:bCs w:val="false"/>
                <w:color w:val="222222"/>
                <w:sz w:val="20"/>
                <w:szCs w:val="20"/>
              </w:rPr>
              <w:t xml:space="preserve">Consommation CPU agent</w:t>
            </w:r>
          </w:p>
        </w:tc>
        <w:tc>
          <w:tcPr>
            <w:tcW w:type="dxa" w:w="5500"/>
            <w:shd w:fill="FFFFFF" w:color="auto" w:val="clear"/>
            <w:vAlign w:val="center"/>
          </w:tcPr>
          <w:p>
            <w:pPr>
              <w:spacing w:after="60" w:before="60"/>
              <w:ind w:left="120" w:right="120"/>
            </w:pPr>
            <w:r>
              <w:rPr>
                <w:b w:val="false"/>
                <w:bCs w:val="false"/>
                <w:color w:val="333333"/>
                <w:sz w:val="20"/>
                <w:szCs w:val="20"/>
              </w:rPr>
              <w:t xml:space="preserve">&lt; 2 % en charge normale, &lt; 5 % en pic</w:t>
            </w:r>
          </w:p>
        </w:tc>
      </w:tr>
      <w:tr>
        <w:tc>
          <w:tcPr>
            <w:tcW w:type="dxa" w:w="2500"/>
            <w:shd w:fill="f5f7fa" w:color="auto" w:val="clear"/>
            <w:vAlign w:val="center"/>
          </w:tcPr>
          <w:p>
            <w:pPr>
              <w:spacing w:after="60" w:before="60"/>
              <w:ind w:left="120" w:right="60"/>
            </w:pPr>
            <w:r>
              <w:rPr>
                <w:b w:val="false"/>
                <w:bCs w:val="false"/>
                <w:color w:val="222222"/>
                <w:sz w:val="20"/>
                <w:szCs w:val="20"/>
              </w:rPr>
              <w:t xml:space="preserve">Latence de détection</w:t>
            </w:r>
          </w:p>
        </w:tc>
        <w:tc>
          <w:tcPr>
            <w:tcW w:type="dxa" w:w="5500"/>
            <w:shd w:fill="f5f7fa" w:color="auto" w:val="clear"/>
            <w:vAlign w:val="center"/>
          </w:tcPr>
          <w:p>
            <w:pPr>
              <w:spacing w:after="60" w:before="60"/>
              <w:ind w:left="120" w:right="120"/>
            </w:pPr>
            <w:r>
              <w:rPr>
                <w:b w:val="false"/>
                <w:bCs w:val="false"/>
                <w:color w:val="333333"/>
                <w:sz w:val="20"/>
                <w:szCs w:val="20"/>
              </w:rPr>
              <w:t xml:space="preserve">&lt; 500 ms entre l'événement et l'alerte</w:t>
            </w:r>
          </w:p>
        </w:tc>
      </w:tr>
      <w:tr>
        <w:tc>
          <w:tcPr>
            <w:tcW w:type="dxa" w:w="2500"/>
            <w:shd w:fill="FFFFFF" w:color="auto" w:val="clear"/>
            <w:vAlign w:val="center"/>
          </w:tcPr>
          <w:p>
            <w:pPr>
              <w:spacing w:after="60" w:before="60"/>
              <w:ind w:left="120" w:right="60"/>
            </w:pPr>
            <w:r>
              <w:rPr>
                <w:b w:val="false"/>
                <w:bCs w:val="false"/>
                <w:color w:val="222222"/>
                <w:sz w:val="20"/>
                <w:szCs w:val="20"/>
              </w:rPr>
              <w:t xml:space="preserve">Disponibilité</w:t>
            </w:r>
          </w:p>
        </w:tc>
        <w:tc>
          <w:tcPr>
            <w:tcW w:type="dxa" w:w="5500"/>
            <w:shd w:fill="FFFFFF" w:color="auto" w:val="clear"/>
            <w:vAlign w:val="center"/>
          </w:tcPr>
          <w:p>
            <w:pPr>
              <w:spacing w:after="60" w:before="60"/>
              <w:ind w:left="120" w:right="120"/>
            </w:pPr>
            <w:r>
              <w:rPr>
                <w:b w:val="false"/>
                <w:bCs w:val="false"/>
                <w:color w:val="333333"/>
                <w:sz w:val="20"/>
                <w:szCs w:val="20"/>
              </w:rPr>
              <w:t xml:space="preserve">&gt; 99,9 % (agent), &gt; 99,5 % (serveur central)</w:t>
            </w:r>
          </w:p>
        </w:tc>
      </w:tr>
      <w:tr>
        <w:tc>
          <w:tcPr>
            <w:tcW w:type="dxa" w:w="2500"/>
            <w:shd w:fill="f5f7fa" w:color="auto" w:val="clear"/>
            <w:vAlign w:val="center"/>
          </w:tcPr>
          <w:p>
            <w:pPr>
              <w:spacing w:after="60" w:before="60"/>
              <w:ind w:left="120" w:right="60"/>
            </w:pPr>
            <w:r>
              <w:rPr>
                <w:b w:val="false"/>
                <w:bCs w:val="false"/>
                <w:color w:val="222222"/>
                <w:sz w:val="20"/>
                <w:szCs w:val="20"/>
              </w:rPr>
              <w:t xml:space="preserve">Couverture de tests</w:t>
            </w:r>
          </w:p>
        </w:tc>
        <w:tc>
          <w:tcPr>
            <w:tcW w:type="dxa" w:w="5500"/>
            <w:shd w:fill="f5f7fa" w:color="auto" w:val="clear"/>
            <w:vAlign w:val="center"/>
          </w:tcPr>
          <w:p>
            <w:pPr>
              <w:spacing w:after="60" w:before="60"/>
              <w:ind w:left="120" w:right="120"/>
            </w:pPr>
            <w:r>
              <w:rPr>
                <w:b w:val="false"/>
                <w:bCs w:val="false"/>
                <w:color w:val="333333"/>
                <w:sz w:val="20"/>
                <w:szCs w:val="20"/>
              </w:rPr>
              <w:t xml:space="preserve">&gt; 80 % de couverture de code</w:t>
            </w:r>
          </w:p>
        </w:tc>
      </w:tr>
      <w:tr>
        <w:tc>
          <w:tcPr>
            <w:tcW w:type="dxa" w:w="2500"/>
            <w:shd w:fill="FFFFFF" w:color="auto" w:val="clear"/>
            <w:vAlign w:val="center"/>
          </w:tcPr>
          <w:p>
            <w:pPr>
              <w:spacing w:after="60" w:before="60"/>
              <w:ind w:left="120" w:right="60"/>
            </w:pPr>
            <w:r>
              <w:rPr>
                <w:b w:val="false"/>
                <w:bCs w:val="false"/>
                <w:color w:val="222222"/>
                <w:sz w:val="20"/>
                <w:szCs w:val="20"/>
              </w:rPr>
              <w:t xml:space="preserve">Précision Decision Engine</w:t>
            </w:r>
          </w:p>
        </w:tc>
        <w:tc>
          <w:tcPr>
            <w:tcW w:type="dxa" w:w="5500"/>
            <w:shd w:fill="FFFFFF" w:color="auto" w:val="clear"/>
            <w:vAlign w:val="center"/>
          </w:tcPr>
          <w:p>
            <w:pPr>
              <w:spacing w:after="60" w:before="60"/>
              <w:ind w:left="120" w:right="120"/>
            </w:pPr>
            <w:r>
              <w:rPr>
                <w:b w:val="false"/>
                <w:bCs w:val="false"/>
                <w:color w:val="333333"/>
                <w:sz w:val="20"/>
                <w:szCs w:val="20"/>
              </w:rPr>
              <w:t xml:space="preserve">&gt; 95 % de décisions correctes sur scénarios de référence</w:t>
            </w:r>
          </w:p>
        </w:tc>
      </w:tr>
    </w:tbl>
    <w:p>
      <w:r>
        <w:br w:type="page"/>
      </w:r>
    </w:p>
    <w:p>
      <w:pPr>
        <w:pStyle w:val="Heading1"/>
        <w:spacing w:after="120" w:before="360"/>
      </w:pPr>
      <w:r>
        <w:t xml:space="preserve">20. Exigences non fonctionnelles</w:t>
      </w:r>
    </w:p>
    <w:p>
      <w:pPr>
        <w:pStyle w:val="ListParagraph"/>
        <w:numPr>
          <w:ilvl w:val="0"/>
          <w:numId w:val="1"/>
        </w:numPr>
        <w:spacing w:after="40" w:before="40"/>
      </w:pPr>
      <w:r>
        <w:rPr>
          <w:color w:val="333333"/>
          <w:sz w:val="21"/>
          <w:szCs w:val="21"/>
        </w:rPr>
        <w:t xml:space="preserve">Modulaire : chaque composant est remplaçable indépendamment</w:t>
      </w:r>
    </w:p>
    <w:p>
      <w:pPr>
        <w:pStyle w:val="ListParagraph"/>
        <w:numPr>
          <w:ilvl w:val="0"/>
          <w:numId w:val="1"/>
        </w:numPr>
        <w:spacing w:after="40" w:before="40"/>
      </w:pPr>
      <w:r>
        <w:rPr>
          <w:color w:val="333333"/>
          <w:sz w:val="21"/>
          <w:szCs w:val="21"/>
        </w:rPr>
        <w:t xml:space="preserve">Documenté : code, API et architecture documentés en continu</w:t>
      </w:r>
    </w:p>
    <w:p>
      <w:pPr>
        <w:pStyle w:val="ListParagraph"/>
        <w:numPr>
          <w:ilvl w:val="0"/>
          <w:numId w:val="1"/>
        </w:numPr>
        <w:spacing w:after="40" w:before="40"/>
      </w:pPr>
      <w:r>
        <w:rPr>
          <w:color w:val="333333"/>
          <w:sz w:val="21"/>
          <w:szCs w:val="21"/>
        </w:rPr>
        <w:t xml:space="preserve">Testé : couverture automatisée avec pipeline CI/CD</w:t>
      </w:r>
    </w:p>
    <w:p>
      <w:pPr>
        <w:pStyle w:val="ListParagraph"/>
        <w:numPr>
          <w:ilvl w:val="0"/>
          <w:numId w:val="1"/>
        </w:numPr>
        <w:spacing w:after="40" w:before="40"/>
      </w:pPr>
      <w:r>
        <w:rPr>
          <w:color w:val="333333"/>
          <w:sz w:val="21"/>
          <w:szCs w:val="21"/>
        </w:rPr>
        <w:t xml:space="preserve">Sécurisé : la plateforme elle-même résiste aux attaques</w:t>
      </w:r>
    </w:p>
    <w:p>
      <w:pPr>
        <w:pStyle w:val="ListParagraph"/>
        <w:numPr>
          <w:ilvl w:val="0"/>
          <w:numId w:val="1"/>
        </w:numPr>
        <w:spacing w:after="40" w:before="40"/>
      </w:pPr>
      <w:r>
        <w:rPr>
          <w:color w:val="333333"/>
          <w:sz w:val="21"/>
          <w:szCs w:val="21"/>
        </w:rPr>
        <w:t xml:space="preserve">Extensible : ajout de plugins sans modification du cœur</w:t>
      </w:r>
    </w:p>
    <w:p>
      <w:pPr>
        <w:pStyle w:val="ListParagraph"/>
        <w:numPr>
          <w:ilvl w:val="0"/>
          <w:numId w:val="1"/>
        </w:numPr>
        <w:spacing w:after="40" w:before="40"/>
      </w:pPr>
      <w:r>
        <w:rPr>
          <w:color w:val="333333"/>
          <w:sz w:val="21"/>
          <w:szCs w:val="21"/>
        </w:rPr>
        <w:t xml:space="preserve">Tolérant aux pannes : dégradation gracieuse, pas d'arrêt total</w:t>
      </w:r>
    </w:p>
    <w:p>
      <w:pPr>
        <w:pStyle w:val="ListParagraph"/>
        <w:numPr>
          <w:ilvl w:val="0"/>
          <w:numId w:val="1"/>
        </w:numPr>
        <w:spacing w:after="40" w:before="40"/>
      </w:pPr>
      <w:r>
        <w:rPr>
          <w:color w:val="333333"/>
          <w:sz w:val="21"/>
          <w:szCs w:val="21"/>
        </w:rPr>
        <w:t xml:space="preserve">Maintenable : dette technique maîtrisée, revues de code obligatoires</w:t>
      </w:r>
    </w:p>
    <w:p>
      <w:pPr>
        <w:pStyle w:val="ListParagraph"/>
        <w:numPr>
          <w:ilvl w:val="0"/>
          <w:numId w:val="1"/>
        </w:numPr>
        <w:spacing w:after="40" w:before="40"/>
      </w:pPr>
      <w:r>
        <w:rPr>
          <w:color w:val="333333"/>
          <w:sz w:val="21"/>
          <w:szCs w:val="21"/>
        </w:rPr>
        <w:t xml:space="preserve">Conforme RGPD : masquage, rétention, droit à l'oubli</w:t>
      </w:r>
    </w:p>
    <w:p>
      <w:r>
        <w:br w:type="page"/>
      </w:r>
    </w:p>
    <w:p>
      <w:pPr>
        <w:pStyle w:val="Heading1"/>
        <w:spacing w:after="120" w:before="360"/>
      </w:pPr>
      <w:r>
        <w:t xml:space="preserve">21. Feuille de route</w:t>
      </w:r>
    </w:p>
    <w:tbl>
      <w:tblPr>
        <w:tblW w:type="dxa" w:w="8000"/>
        <w:tblBorders>
          <w:top w:val="single" w:color="2e6da4" w:sz="2"/>
          <w:left w:val="single" w:color="2e6da4" w:sz="2"/>
          <w:bottom w:val="single" w:color="2e6da4" w:sz="2"/>
          <w:right w:val="single" w:color="2e6da4" w:sz="2"/>
          <w:insideH w:val="single" w:color="auto" w:sz="4"/>
          <w:insideV w:val="single" w:color="auto" w:sz="4"/>
        </w:tblBorders>
      </w:tblPr>
      <w:tblGrid>
        <w:gridCol w:w="100"/>
        <w:gridCol w:w="100"/>
      </w:tblGrid>
      <w:tr>
        <w:tc>
          <w:tcPr>
            <w:tcW w:type="dxa" w:w="2500"/>
            <w:shd w:fill="1a2b4a" w:color="auto" w:val="clear"/>
            <w:vAlign w:val="center"/>
          </w:tcPr>
          <w:p>
            <w:pPr>
              <w:spacing w:after="60" w:before="60"/>
              <w:ind w:left="120" w:right="60"/>
            </w:pPr>
            <w:r>
              <w:rPr>
                <w:b/>
                <w:bCs/>
                <w:color w:val="FFFFFF"/>
                <w:sz w:val="20"/>
                <w:szCs w:val="20"/>
              </w:rPr>
              <w:t xml:space="preserve">Étape</w:t>
            </w:r>
          </w:p>
        </w:tc>
        <w:tc>
          <w:tcPr>
            <w:tcW w:type="dxa" w:w="5500"/>
            <w:shd w:fill="1a2b4a" w:color="auto" w:val="clear"/>
            <w:vAlign w:val="center"/>
          </w:tcPr>
          <w:p>
            <w:pPr>
              <w:spacing w:after="60" w:before="60"/>
              <w:ind w:left="120" w:right="120"/>
            </w:pPr>
            <w:r>
              <w:rPr>
                <w:b/>
                <w:bCs/>
                <w:color w:val="FFFFFF"/>
                <w:sz w:val="20"/>
                <w:szCs w:val="20"/>
              </w:rPr>
              <w:t xml:space="preserve">Description</w:t>
            </w:r>
          </w:p>
        </w:tc>
      </w:tr>
      <w:tr>
        <w:tc>
          <w:tcPr>
            <w:tcW w:type="dxa" w:w="2500"/>
            <w:shd w:fill="FFFFFF" w:color="auto" w:val="clear"/>
            <w:vAlign w:val="center"/>
          </w:tcPr>
          <w:p>
            <w:pPr>
              <w:spacing w:after="60" w:before="60"/>
              <w:ind w:left="120" w:right="60"/>
            </w:pPr>
            <w:r>
              <w:rPr>
                <w:b w:val="false"/>
                <w:bCs w:val="false"/>
                <w:color w:val="222222"/>
                <w:sz w:val="20"/>
                <w:szCs w:val="20"/>
              </w:rPr>
              <w:t xml:space="preserve">1 — Architecture</w:t>
            </w:r>
          </w:p>
        </w:tc>
        <w:tc>
          <w:tcPr>
            <w:tcW w:type="dxa" w:w="5500"/>
            <w:shd w:fill="FFFFFF" w:color="auto" w:val="clear"/>
            <w:vAlign w:val="center"/>
          </w:tcPr>
          <w:p>
            <w:pPr>
              <w:spacing w:after="60" w:before="60"/>
              <w:ind w:left="120" w:right="120"/>
            </w:pPr>
            <w:r>
              <w:rPr>
                <w:b w:val="false"/>
                <w:bCs w:val="false"/>
                <w:color w:val="333333"/>
                <w:sz w:val="20"/>
                <w:szCs w:val="20"/>
              </w:rPr>
              <w:t xml:space="preserve">Mise en place de l'architecture modulaire, schéma d'événement universel, choix technologiques</w:t>
            </w:r>
          </w:p>
        </w:tc>
      </w:tr>
      <w:tr>
        <w:tc>
          <w:tcPr>
            <w:tcW w:type="dxa" w:w="2500"/>
            <w:shd w:fill="f5f7fa" w:color="auto" w:val="clear"/>
            <w:vAlign w:val="center"/>
          </w:tcPr>
          <w:p>
            <w:pPr>
              <w:spacing w:after="60" w:before="60"/>
              <w:ind w:left="120" w:right="60"/>
            </w:pPr>
            <w:r>
              <w:rPr>
                <w:b w:val="false"/>
                <w:bCs w:val="false"/>
                <w:color w:val="222222"/>
                <w:sz w:val="20"/>
                <w:szCs w:val="20"/>
              </w:rPr>
              <w:t xml:space="preserve">2 — Collecteurs</w:t>
            </w:r>
          </w:p>
        </w:tc>
        <w:tc>
          <w:tcPr>
            <w:tcW w:type="dxa" w:w="5500"/>
            <w:shd w:fill="f5f7fa" w:color="auto" w:val="clear"/>
            <w:vAlign w:val="center"/>
          </w:tcPr>
          <w:p>
            <w:pPr>
              <w:spacing w:after="60" w:before="60"/>
              <w:ind w:left="120" w:right="120"/>
            </w:pPr>
            <w:r>
              <w:rPr>
                <w:b w:val="false"/>
                <w:bCs w:val="false"/>
                <w:color w:val="333333"/>
                <w:sz w:val="20"/>
                <w:szCs w:val="20"/>
              </w:rPr>
              <w:t xml:space="preserve">Développement des 9 collecteurs (eBPF, auditd, fanotify, inotify, procfs, netlink, journald, udev, syslog)</w:t>
            </w:r>
          </w:p>
        </w:tc>
      </w:tr>
      <w:tr>
        <w:tc>
          <w:tcPr>
            <w:tcW w:type="dxa" w:w="2500"/>
            <w:shd w:fill="FFFFFF" w:color="auto" w:val="clear"/>
            <w:vAlign w:val="center"/>
          </w:tcPr>
          <w:p>
            <w:pPr>
              <w:spacing w:after="60" w:before="60"/>
              <w:ind w:left="120" w:right="60"/>
            </w:pPr>
            <w:r>
              <w:rPr>
                <w:b w:val="false"/>
                <w:bCs w:val="false"/>
                <w:color w:val="222222"/>
                <w:sz w:val="20"/>
                <w:szCs w:val="20"/>
              </w:rPr>
              <w:t xml:space="preserve">3 — Bus &amp; normalisation</w:t>
            </w:r>
          </w:p>
        </w:tc>
        <w:tc>
          <w:tcPr>
            <w:tcW w:type="dxa" w:w="5500"/>
            <w:shd w:fill="FFFFFF" w:color="auto" w:val="clear"/>
            <w:vAlign w:val="center"/>
          </w:tcPr>
          <w:p>
            <w:pPr>
              <w:spacing w:after="60" w:before="60"/>
              <w:ind w:left="120" w:right="120"/>
            </w:pPr>
            <w:r>
              <w:rPr>
                <w:b w:val="false"/>
                <w:bCs w:val="false"/>
                <w:color w:val="333333"/>
                <w:sz w:val="20"/>
                <w:szCs w:val="20"/>
              </w:rPr>
              <w:t xml:space="preserve">Bus d'événements, pipeline de normalisation, chaînage cryptographique</w:t>
            </w:r>
          </w:p>
        </w:tc>
      </w:tr>
      <w:tr>
        <w:tc>
          <w:tcPr>
            <w:tcW w:type="dxa" w:w="2500"/>
            <w:shd w:fill="f5f7fa" w:color="auto" w:val="clear"/>
            <w:vAlign w:val="center"/>
          </w:tcPr>
          <w:p>
            <w:pPr>
              <w:spacing w:after="60" w:before="60"/>
              <w:ind w:left="120" w:right="60"/>
            </w:pPr>
            <w:r>
              <w:rPr>
                <w:b w:val="false"/>
                <w:bCs w:val="false"/>
                <w:color w:val="222222"/>
                <w:sz w:val="20"/>
                <w:szCs w:val="20"/>
              </w:rPr>
              <w:t xml:space="preserve">4 — Stockage &amp; indexation</w:t>
            </w:r>
          </w:p>
        </w:tc>
        <w:tc>
          <w:tcPr>
            <w:tcW w:type="dxa" w:w="5500"/>
            <w:shd w:fill="f5f7fa" w:color="auto" w:val="clear"/>
            <w:vAlign w:val="center"/>
          </w:tcPr>
          <w:p>
            <w:pPr>
              <w:spacing w:after="60" w:before="60"/>
              <w:ind w:left="120" w:right="120"/>
            </w:pPr>
            <w:r>
              <w:rPr>
                <w:b w:val="false"/>
                <w:bCs w:val="false"/>
                <w:color w:val="333333"/>
                <w:sz w:val="20"/>
                <w:szCs w:val="20"/>
              </w:rPr>
              <w:t xml:space="preserve">Backends SQLite/PostgreSQL/ClickHouse, API de recherche multicritère</w:t>
            </w:r>
          </w:p>
        </w:tc>
      </w:tr>
      <w:tr>
        <w:tc>
          <w:tcPr>
            <w:tcW w:type="dxa" w:w="2500"/>
            <w:shd w:fill="FFFFFF" w:color="auto" w:val="clear"/>
            <w:vAlign w:val="center"/>
          </w:tcPr>
          <w:p>
            <w:pPr>
              <w:spacing w:after="60" w:before="60"/>
              <w:ind w:left="120" w:right="60"/>
            </w:pPr>
            <w:r>
              <w:rPr>
                <w:b w:val="false"/>
                <w:bCs w:val="false"/>
                <w:color w:val="222222"/>
                <w:sz w:val="20"/>
                <w:szCs w:val="20"/>
              </w:rPr>
              <w:t xml:space="preserve">5 — Interface de consultation</w:t>
            </w:r>
          </w:p>
        </w:tc>
        <w:tc>
          <w:tcPr>
            <w:tcW w:type="dxa" w:w="5500"/>
            <w:shd w:fill="FFFFFF" w:color="auto" w:val="clear"/>
            <w:vAlign w:val="center"/>
          </w:tcPr>
          <w:p>
            <w:pPr>
              <w:spacing w:after="60" w:before="60"/>
              <w:ind w:left="120" w:right="120"/>
            </w:pPr>
            <w:r>
              <w:rPr>
                <w:b w:val="false"/>
                <w:bCs w:val="false"/>
                <w:color w:val="333333"/>
                <w:sz w:val="20"/>
                <w:szCs w:val="20"/>
              </w:rPr>
              <w:t xml:space="preserve">Tableau de bord, chronologie, vues spécialisées, recherche globale</w:t>
            </w:r>
          </w:p>
        </w:tc>
      </w:tr>
      <w:tr>
        <w:tc>
          <w:tcPr>
            <w:tcW w:type="dxa" w:w="2500"/>
            <w:shd w:fill="f5f7fa" w:color="auto" w:val="clear"/>
            <w:vAlign w:val="center"/>
          </w:tcPr>
          <w:p>
            <w:pPr>
              <w:spacing w:after="60" w:before="60"/>
              <w:ind w:left="120" w:right="60"/>
            </w:pPr>
            <w:r>
              <w:rPr>
                <w:b w:val="false"/>
                <w:bCs w:val="false"/>
                <w:color w:val="222222"/>
                <w:sz w:val="20"/>
                <w:szCs w:val="20"/>
              </w:rPr>
              <w:t xml:space="preserve">6 — Moteur de règles</w:t>
            </w:r>
          </w:p>
        </w:tc>
        <w:tc>
          <w:tcPr>
            <w:tcW w:type="dxa" w:w="5500"/>
            <w:shd w:fill="f5f7fa" w:color="auto" w:val="clear"/>
            <w:vAlign w:val="center"/>
          </w:tcPr>
          <w:p>
            <w:pPr>
              <w:spacing w:after="60" w:before="60"/>
              <w:ind w:left="120" w:right="120"/>
            </w:pPr>
            <w:r>
              <w:rPr>
                <w:b w:val="false"/>
                <w:bCs w:val="false"/>
                <w:color w:val="333333"/>
                <w:sz w:val="20"/>
                <w:szCs w:val="20"/>
              </w:rPr>
              <w:t xml:space="preserve">Règles YAML/TOML, scoring de gravité, alertes temps réel</w:t>
            </w:r>
          </w:p>
        </w:tc>
      </w:tr>
      <w:tr>
        <w:tc>
          <w:tcPr>
            <w:tcW w:type="dxa" w:w="2500"/>
            <w:shd w:fill="FFFFFF" w:color="auto" w:val="clear"/>
            <w:vAlign w:val="center"/>
          </w:tcPr>
          <w:p>
            <w:pPr>
              <w:spacing w:after="60" w:before="60"/>
              <w:ind w:left="120" w:right="60"/>
            </w:pPr>
            <w:r>
              <w:rPr>
                <w:b w:val="false"/>
                <w:bCs w:val="false"/>
                <w:color w:val="222222"/>
                <w:sz w:val="20"/>
                <w:szCs w:val="20"/>
              </w:rPr>
              <w:t xml:space="preserve">7 — Corrélation</w:t>
            </w:r>
          </w:p>
        </w:tc>
        <w:tc>
          <w:tcPr>
            <w:tcW w:type="dxa" w:w="5500"/>
            <w:shd w:fill="FFFFFF" w:color="auto" w:val="clear"/>
            <w:vAlign w:val="center"/>
          </w:tcPr>
          <w:p>
            <w:pPr>
              <w:spacing w:after="60" w:before="60"/>
              <w:ind w:left="120" w:right="120"/>
            </w:pPr>
            <w:r>
              <w:rPr>
                <w:b w:val="false"/>
                <w:bCs w:val="false"/>
                <w:color w:val="333333"/>
                <w:sz w:val="20"/>
                <w:szCs w:val="20"/>
              </w:rPr>
              <w:t xml:space="preserve">Moteur de corrélation, reconstruction automatique de chronologies</w:t>
            </w:r>
          </w:p>
        </w:tc>
      </w:tr>
      <w:tr>
        <w:tc>
          <w:tcPr>
            <w:tcW w:type="dxa" w:w="2500"/>
            <w:shd w:fill="f5f7fa" w:color="auto" w:val="clear"/>
            <w:vAlign w:val="center"/>
          </w:tcPr>
          <w:p>
            <w:pPr>
              <w:spacing w:after="60" w:before="60"/>
              <w:ind w:left="120" w:right="60"/>
            </w:pPr>
            <w:r>
              <w:rPr>
                <w:b w:val="false"/>
                <w:bCs w:val="false"/>
                <w:color w:val="222222"/>
                <w:sz w:val="20"/>
                <w:szCs w:val="20"/>
              </w:rPr>
              <w:t xml:space="preserve">8 — Threat Intelligence</w:t>
            </w:r>
          </w:p>
        </w:tc>
        <w:tc>
          <w:tcPr>
            <w:tcW w:type="dxa" w:w="5500"/>
            <w:shd w:fill="f5f7fa" w:color="auto" w:val="clear"/>
            <w:vAlign w:val="center"/>
          </w:tcPr>
          <w:p>
            <w:pPr>
              <w:spacing w:after="60" w:before="60"/>
              <w:ind w:left="120" w:right="120"/>
            </w:pPr>
            <w:r>
              <w:rPr>
                <w:b w:val="false"/>
                <w:bCs w:val="false"/>
                <w:color w:val="333333"/>
                <w:sz w:val="20"/>
                <w:szCs w:val="20"/>
              </w:rPr>
              <w:t xml:space="preserve">Intégration AbuseIPDB, VirusTotal, flux STIX/TAXII, IoC</w:t>
            </w:r>
          </w:p>
        </w:tc>
      </w:tr>
      <w:tr>
        <w:tc>
          <w:tcPr>
            <w:tcW w:type="dxa" w:w="2500"/>
            <w:shd w:fill="FFFFFF" w:color="auto" w:val="clear"/>
            <w:vAlign w:val="center"/>
          </w:tcPr>
          <w:p>
            <w:pPr>
              <w:spacing w:after="60" w:before="60"/>
              <w:ind w:left="120" w:right="60"/>
            </w:pPr>
            <w:r>
              <w:rPr>
                <w:b w:val="false"/>
                <w:bCs w:val="false"/>
                <w:color w:val="222222"/>
                <w:sz w:val="20"/>
                <w:szCs w:val="20"/>
              </w:rPr>
              <w:t xml:space="preserve">9 — Mode forensique</w:t>
            </w:r>
          </w:p>
        </w:tc>
        <w:tc>
          <w:tcPr>
            <w:tcW w:type="dxa" w:w="5500"/>
            <w:shd w:fill="FFFFFF" w:color="auto" w:val="clear"/>
            <w:vAlign w:val="center"/>
          </w:tcPr>
          <w:p>
            <w:pPr>
              <w:spacing w:after="60" w:before="60"/>
              <w:ind w:left="120" w:right="120"/>
            </w:pPr>
            <w:r>
              <w:rPr>
                <w:b w:val="false"/>
                <w:bCs w:val="false"/>
                <w:color w:val="333333"/>
                <w:sz w:val="20"/>
                <w:szCs w:val="20"/>
              </w:rPr>
              <w:t xml:space="preserve">Snapshots, gestion de cas, export forensique, chaîne de custody</w:t>
            </w:r>
          </w:p>
        </w:tc>
      </w:tr>
      <w:tr>
        <w:tc>
          <w:tcPr>
            <w:tcW w:type="dxa" w:w="2500"/>
            <w:shd w:fill="f5f7fa" w:color="auto" w:val="clear"/>
            <w:vAlign w:val="center"/>
          </w:tcPr>
          <w:p>
            <w:pPr>
              <w:spacing w:after="60" w:before="60"/>
              <w:ind w:left="120" w:right="60"/>
            </w:pPr>
            <w:r>
              <w:rPr>
                <w:b w:val="false"/>
                <w:bCs w:val="false"/>
                <w:color w:val="222222"/>
                <w:sz w:val="20"/>
                <w:szCs w:val="20"/>
              </w:rPr>
              <w:t xml:space="preserve">10 — Gestion des ressources</w:t>
            </w:r>
          </w:p>
        </w:tc>
        <w:tc>
          <w:tcPr>
            <w:tcW w:type="dxa" w:w="5500"/>
            <w:shd w:fill="f5f7fa" w:color="auto" w:val="clear"/>
            <w:vAlign w:val="center"/>
          </w:tcPr>
          <w:p>
            <w:pPr>
              <w:spacing w:after="60" w:before="60"/>
              <w:ind w:left="120" w:right="120"/>
            </w:pPr>
            <w:r>
              <w:rPr>
                <w:b w:val="false"/>
                <w:bCs w:val="false"/>
                <w:color w:val="333333"/>
                <w:sz w:val="20"/>
                <w:szCs w:val="20"/>
              </w:rPr>
              <w:t xml:space="preserve">Surveillance adaptative, ajustements automatiques</w:t>
            </w:r>
          </w:p>
        </w:tc>
      </w:tr>
      <w:tr>
        <w:tc>
          <w:tcPr>
            <w:tcW w:type="dxa" w:w="2500"/>
            <w:shd w:fill="FFFFFF" w:color="auto" w:val="clear"/>
            <w:vAlign w:val="center"/>
          </w:tcPr>
          <w:p>
            <w:pPr>
              <w:spacing w:after="60" w:before="60"/>
              <w:ind w:left="120" w:right="60"/>
            </w:pPr>
            <w:r>
              <w:rPr>
                <w:b w:val="false"/>
                <w:bCs w:val="false"/>
                <w:color w:val="222222"/>
                <w:sz w:val="20"/>
                <w:szCs w:val="20"/>
              </w:rPr>
              <w:t xml:space="preserve">11 — Profils de surveillance</w:t>
            </w:r>
          </w:p>
        </w:tc>
        <w:tc>
          <w:tcPr>
            <w:tcW w:type="dxa" w:w="5500"/>
            <w:shd w:fill="FFFFFF" w:color="auto" w:val="clear"/>
            <w:vAlign w:val="center"/>
          </w:tcPr>
          <w:p>
            <w:pPr>
              <w:spacing w:after="60" w:before="60"/>
              <w:ind w:left="120" w:right="120"/>
            </w:pPr>
            <w:r>
              <w:rPr>
                <w:b w:val="false"/>
                <w:bCs w:val="false"/>
                <w:color w:val="333333"/>
                <w:sz w:val="20"/>
                <w:szCs w:val="20"/>
              </w:rPr>
              <w:t xml:space="preserve">Policy Engine, profils prédéfinis, changement à chaud</w:t>
            </w:r>
          </w:p>
        </w:tc>
      </w:tr>
      <w:tr>
        <w:tc>
          <w:tcPr>
            <w:tcW w:type="dxa" w:w="2500"/>
            <w:shd w:fill="f5f7fa" w:color="auto" w:val="clear"/>
            <w:vAlign w:val="center"/>
          </w:tcPr>
          <w:p>
            <w:pPr>
              <w:spacing w:after="60" w:before="60"/>
              <w:ind w:left="120" w:right="60"/>
            </w:pPr>
            <w:r>
              <w:rPr>
                <w:b w:val="false"/>
                <w:bCs w:val="false"/>
                <w:color w:val="222222"/>
                <w:sz w:val="20"/>
                <w:szCs w:val="20"/>
              </w:rPr>
              <w:t xml:space="preserve">12 — Decision Engine</w:t>
            </w:r>
          </w:p>
        </w:tc>
        <w:tc>
          <w:tcPr>
            <w:tcW w:type="dxa" w:w="5500"/>
            <w:shd w:fill="f5f7fa" w:color="auto" w:val="clear"/>
            <w:vAlign w:val="center"/>
          </w:tcPr>
          <w:p>
            <w:pPr>
              <w:spacing w:after="60" w:before="60"/>
              <w:ind w:left="120" w:right="120"/>
            </w:pPr>
            <w:r>
              <w:rPr>
                <w:b w:val="false"/>
                <w:bCs w:val="false"/>
                <w:color w:val="333333"/>
                <w:sz w:val="20"/>
                <w:szCs w:val="20"/>
              </w:rPr>
              <w:t xml:space="preserve">Logique décisionnelle, matrice risque, validation humaine, journal de décisions</w:t>
            </w:r>
          </w:p>
        </w:tc>
      </w:tr>
      <w:tr>
        <w:tc>
          <w:tcPr>
            <w:tcW w:type="dxa" w:w="2500"/>
            <w:shd w:fill="FFFFFF" w:color="auto" w:val="clear"/>
            <w:vAlign w:val="center"/>
          </w:tcPr>
          <w:p>
            <w:pPr>
              <w:spacing w:after="60" w:before="60"/>
              <w:ind w:left="120" w:right="60"/>
            </w:pPr>
            <w:r>
              <w:rPr>
                <w:b w:val="false"/>
                <w:bCs w:val="false"/>
                <w:color w:val="222222"/>
                <w:sz w:val="20"/>
                <w:szCs w:val="20"/>
              </w:rPr>
              <w:t xml:space="preserve">13 — Plugin SDK</w:t>
            </w:r>
          </w:p>
        </w:tc>
        <w:tc>
          <w:tcPr>
            <w:tcW w:type="dxa" w:w="5500"/>
            <w:shd w:fill="FFFFFF" w:color="auto" w:val="clear"/>
            <w:vAlign w:val="center"/>
          </w:tcPr>
          <w:p>
            <w:pPr>
              <w:spacing w:after="60" w:before="60"/>
              <w:ind w:left="120" w:right="120"/>
            </w:pPr>
            <w:r>
              <w:rPr>
                <w:b w:val="false"/>
                <w:bCs w:val="false"/>
                <w:color w:val="333333"/>
                <w:sz w:val="20"/>
                <w:szCs w:val="20"/>
              </w:rPr>
              <w:t xml:space="preserve">Interface plugin, isolation, répertoire officiel, CLI d'installation</w:t>
            </w:r>
          </w:p>
        </w:tc>
      </w:tr>
      <w:tr>
        <w:tc>
          <w:tcPr>
            <w:tcW w:type="dxa" w:w="2500"/>
            <w:shd w:fill="f5f7fa" w:color="auto" w:val="clear"/>
            <w:vAlign w:val="center"/>
          </w:tcPr>
          <w:p>
            <w:pPr>
              <w:spacing w:after="60" w:before="60"/>
              <w:ind w:left="120" w:right="60"/>
            </w:pPr>
            <w:r>
              <w:rPr>
                <w:b w:val="false"/>
                <w:bCs w:val="false"/>
                <w:color w:val="222222"/>
                <w:sz w:val="20"/>
                <w:szCs w:val="20"/>
              </w:rPr>
              <w:t xml:space="preserve">14 — Déploiement distribué</w:t>
            </w:r>
          </w:p>
        </w:tc>
        <w:tc>
          <w:tcPr>
            <w:tcW w:type="dxa" w:w="5500"/>
            <w:shd w:fill="f5f7fa" w:color="auto" w:val="clear"/>
            <w:vAlign w:val="center"/>
          </w:tcPr>
          <w:p>
            <w:pPr>
              <w:spacing w:after="60" w:before="60"/>
              <w:ind w:left="120" w:right="120"/>
            </w:pPr>
            <w:r>
              <w:rPr>
                <w:b w:val="false"/>
                <w:bCs w:val="false"/>
                <w:color w:val="333333"/>
                <w:sz w:val="20"/>
                <w:szCs w:val="20"/>
              </w:rPr>
              <w:t xml:space="preserve">Agent multi-nœuds, collecteur central, résilience hors ligne</w:t>
            </w:r>
          </w:p>
        </w:tc>
      </w:tr>
      <w:tr>
        <w:tc>
          <w:tcPr>
            <w:tcW w:type="dxa" w:w="2500"/>
            <w:shd w:fill="FFFFFF" w:color="auto" w:val="clear"/>
            <w:vAlign w:val="center"/>
          </w:tcPr>
          <w:p>
            <w:pPr>
              <w:spacing w:after="60" w:before="60"/>
              <w:ind w:left="120" w:right="60"/>
            </w:pPr>
            <w:r>
              <w:rPr>
                <w:b w:val="false"/>
                <w:bCs w:val="false"/>
                <w:color w:val="222222"/>
                <w:sz w:val="20"/>
                <w:szCs w:val="20"/>
              </w:rPr>
              <w:t xml:space="preserve">15 — API publique</w:t>
            </w:r>
          </w:p>
        </w:tc>
        <w:tc>
          <w:tcPr>
            <w:tcW w:type="dxa" w:w="5500"/>
            <w:shd w:fill="FFFFFF" w:color="auto" w:val="clear"/>
            <w:vAlign w:val="center"/>
          </w:tcPr>
          <w:p>
            <w:pPr>
              <w:spacing w:after="60" w:before="60"/>
              <w:ind w:left="120" w:right="120"/>
            </w:pPr>
            <w:r>
              <w:rPr>
                <w:b w:val="false"/>
                <w:bCs w:val="false"/>
                <w:color w:val="333333"/>
                <w:sz w:val="20"/>
                <w:szCs w:val="20"/>
              </w:rPr>
              <w:t xml:space="preserve">REST versionnée, OpenAPI 3.0, webhooks, intégrations SIEM/SOAR</w:t>
            </w:r>
          </w:p>
        </w:tc>
      </w:tr>
      <w:tr>
        <w:tc>
          <w:tcPr>
            <w:tcW w:type="dxa" w:w="2500"/>
            <w:shd w:fill="f5f7fa" w:color="auto" w:val="clear"/>
            <w:vAlign w:val="center"/>
          </w:tcPr>
          <w:p>
            <w:pPr>
              <w:spacing w:after="60" w:before="60"/>
              <w:ind w:left="120" w:right="60"/>
            </w:pPr>
            <w:r>
              <w:rPr>
                <w:b w:val="false"/>
                <w:bCs w:val="false"/>
                <w:color w:val="222222"/>
                <w:sz w:val="20"/>
                <w:szCs w:val="20"/>
              </w:rPr>
              <w:t xml:space="preserve">16 — Machine Learning</w:t>
            </w:r>
          </w:p>
        </w:tc>
        <w:tc>
          <w:tcPr>
            <w:tcW w:type="dxa" w:w="5500"/>
            <w:shd w:fill="f5f7fa" w:color="auto" w:val="clear"/>
            <w:vAlign w:val="center"/>
          </w:tcPr>
          <w:p>
            <w:pPr>
              <w:spacing w:after="60" w:before="60"/>
              <w:ind w:left="120" w:right="120"/>
            </w:pPr>
            <w:r>
              <w:rPr>
                <w:b w:val="false"/>
                <w:bCs w:val="false"/>
                <w:color w:val="333333"/>
                <w:sz w:val="20"/>
                <w:szCs w:val="20"/>
              </w:rPr>
              <w:t xml:space="preserve">Baseline comportementale, détection d'anomalies, scoring dynamique</w:t>
            </w:r>
          </w:p>
        </w:tc>
      </w:tr>
      <w:tr>
        <w:tc>
          <w:tcPr>
            <w:tcW w:type="dxa" w:w="2500"/>
            <w:shd w:fill="FFFFFF" w:color="auto" w:val="clear"/>
            <w:vAlign w:val="center"/>
          </w:tcPr>
          <w:p>
            <w:pPr>
              <w:spacing w:after="60" w:before="60"/>
              <w:ind w:left="120" w:right="60"/>
            </w:pPr>
            <w:r>
              <w:rPr>
                <w:b w:val="false"/>
                <w:bCs w:val="false"/>
                <w:color w:val="222222"/>
                <w:sz w:val="20"/>
                <w:szCs w:val="20"/>
              </w:rPr>
              <w:t xml:space="preserve">17 — Optimisation</w:t>
            </w:r>
          </w:p>
        </w:tc>
        <w:tc>
          <w:tcPr>
            <w:tcW w:type="dxa" w:w="5500"/>
            <w:shd w:fill="FFFFFF" w:color="auto" w:val="clear"/>
            <w:vAlign w:val="center"/>
          </w:tcPr>
          <w:p>
            <w:pPr>
              <w:spacing w:after="60" w:before="60"/>
              <w:ind w:left="120" w:right="120"/>
            </w:pPr>
            <w:r>
              <w:rPr>
                <w:b w:val="false"/>
                <w:bCs w:val="false"/>
                <w:color w:val="333333"/>
                <w:sz w:val="20"/>
                <w:szCs w:val="20"/>
              </w:rPr>
              <w:t xml:space="preserve">Benchmark, profiling, réduction de la consommation de l'agent</w:t>
            </w:r>
          </w:p>
        </w:tc>
      </w:tr>
      <w:tr>
        <w:tc>
          <w:tcPr>
            <w:tcW w:type="dxa" w:w="2500"/>
            <w:shd w:fill="f5f7fa" w:color="auto" w:val="clear"/>
            <w:vAlign w:val="center"/>
          </w:tcPr>
          <w:p>
            <w:pPr>
              <w:spacing w:after="60" w:before="60"/>
              <w:ind w:left="120" w:right="60"/>
            </w:pPr>
            <w:r>
              <w:rPr>
                <w:b w:val="false"/>
                <w:bCs w:val="false"/>
                <w:color w:val="222222"/>
                <w:sz w:val="20"/>
                <w:szCs w:val="20"/>
              </w:rPr>
              <w:t xml:space="preserve">18 — Documentation &amp; déploiement</w:t>
            </w:r>
          </w:p>
        </w:tc>
        <w:tc>
          <w:tcPr>
            <w:tcW w:type="dxa" w:w="5500"/>
            <w:shd w:fill="f5f7fa" w:color="auto" w:val="clear"/>
            <w:vAlign w:val="center"/>
          </w:tcPr>
          <w:p>
            <w:pPr>
              <w:spacing w:after="60" w:before="60"/>
              <w:ind w:left="120" w:right="120"/>
            </w:pPr>
            <w:r>
              <w:rPr>
                <w:b w:val="false"/>
                <w:bCs w:val="false"/>
                <w:color w:val="333333"/>
                <w:sz w:val="20"/>
                <w:szCs w:val="20"/>
              </w:rPr>
              <w:t xml:space="preserve">Docs complètes, packages .deb/.rpm, Docker, Helm, environnement de démo</w:t>
            </w:r>
          </w:p>
        </w:tc>
      </w:tr>
    </w:tbl>
    <w:p>
      <w:r>
        <w:br w:type="page"/>
      </w:r>
    </w:p>
    <w:p>
      <w:pPr>
        <w:pStyle w:val="Heading1"/>
        <w:spacing w:after="120" w:before="360"/>
      </w:pPr>
      <w:r>
        <w:t xml:space="preserve">22. Objectif final</w:t>
      </w:r>
    </w:p>
    <w:p>
      <w:pPr>
        <w:spacing w:after="60" w:before="60"/>
        <w:jc w:val="both"/>
      </w:pPr>
      <w:r>
        <w:rPr>
          <w:color w:val="333333"/>
          <w:sz w:val="22"/>
          <w:szCs w:val="22"/>
        </w:rPr>
        <w:t xml:space="preserve">OSEye doit devenir une plateforme d'observabilité et de cybersécurité de nouvelle génération, capable de collecter, corréler, enrichir et analyser des événements système à grande échelle tout en préservant les performances de la machine surveillée.</w:t>
      </w:r>
    </w:p>
    <w:p>
      <w:pPr>
        <w:spacing w:after="60" w:before="60"/>
        <w:jc w:val="both"/>
      </w:pPr>
      <w:r>
        <w:rPr>
          <w:color w:val="333333"/>
          <w:sz w:val="22"/>
          <w:szCs w:val="22"/>
        </w:rPr>
        <w:t xml:space="preserve">Grâce à son architecture modulaire, son moteur de règles, son intégration de la Threat Intelligence, son mode forensique structuré, sa surveillance adaptative, son système de profils, son module de Machine Learning et son Decision Engine, OSEye fournit une visibilité complète sur l'activité du système, facilite les investigations et détecte de manière proactive les comportements anormaux ou malveillants.</w:t>
      </w:r>
    </w:p>
    <w:p>
      <w:pPr>
        <w:spacing w:after="60" w:before="60"/>
        <w:jc w:val="both"/>
      </w:pPr>
      <w:r>
        <w:rPr>
          <w:color w:val="333333"/>
          <w:sz w:val="22"/>
          <w:szCs w:val="22"/>
        </w:rPr>
        <w:t xml:space="preserve">L'intégrité cryptographique des événements et la traçabilité des accès permettent à OSEye de produire des preuves recevables dans un contexte légal ou d'audit réglementaire.</w:t>
      </w:r>
    </w:p>
    <w:p>
      <w:pPr>
        <w:spacing w:after="60" w:before="60"/>
        <w:jc w:val="both"/>
      </w:pPr>
      <w:r>
        <w:rPr>
          <w:color w:val="333333"/>
          <w:sz w:val="22"/>
          <w:szCs w:val="22"/>
        </w:rPr>
        <w:t xml:space="preserve">Le Plugin SDK ouvre OSEye à l'écosystème communautaire, permettant d'étendre ses capacités en toute sécurité sans compromettre la stabilité du cœur du système.</w:t>
      </w:r>
    </w:p>
    <w:p>
      <w:pPr>
        <w:spacing w:after="60" w:before="60"/>
        <w:jc w:val="both"/>
      </w:pPr>
      <w:r>
        <w:rPr>
          <w:color w:val="333333"/>
          <w:sz w:val="22"/>
          <w:szCs w:val="22"/>
        </w:rPr>
        <w:t xml:space="preserve">L'ensemble du projet est conçu pour être extensible, maintenable et évolutif, afin d'accompagner les futurs besoins — y compris le support d'autres systèmes d'exploitation — sans remettre en cause son architecture fondamentale.</w:t>
      </w:r>
    </w:p>
    <w:p/>
    <w:p>
      <w:pPr>
        <w:spacing w:before="480"/>
        <w:jc w:val="center"/>
      </w:pPr>
      <w:r>
        <w:rPr>
          <w:i/>
          <w:iCs/>
          <w:color w:val="4a6080"/>
          <w:sz w:val="20"/>
          <w:szCs w:val="20"/>
        </w:rPr>
        <w:t xml:space="preserve">OSEye — Cahier des charges v4.0  •  28/07/2026</w:t>
      </w:r>
    </w:p>
    <w:p>
      <w:pPr>
        <w:jc w:val="center"/>
      </w:pPr>
      <w:r>
        <w:rPr>
          <w:color w:val="4a6080"/>
          <w:sz w:val="18"/>
          <w:szCs w:val="18"/>
        </w:rPr>
        <w:t xml:space="preserve">Confidentiel — OSEye Project</w:t>
      </w:r>
    </w:p>
    <w:sectPr>
      <w:headerReference w:type="default" r:id="rId7"/>
      <w:headerReference w:type="first" r:id="rId8"/>
      <w:footerReference w:type="default" r:id="rId9"/>
      <w:pgSz w:w="12240" w:h="15840" w:orient="portrait"/>
      <w:pgMar w:top="1440" w:right="1080" w:bottom="144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cfe0" w:sz="1"/>
      </w:pBdr>
      <w:spacing w:before="0"/>
      <w:jc w:val="center"/>
    </w:pPr>
    <w:r>
      <w:rPr>
        <w:color w:val="4a6080"/>
        <w:sz w:val="18"/>
        <w:szCs w:val="18"/>
      </w:rPr>
      <w:t xml:space="preserve">OSEye Project  |  </w:t>
    </w:r>
    <w:r>
      <w:rPr>
        <w:color w:val="4a6080"/>
        <w:sz w:val="18"/>
        <w:szCs w:val="18"/>
      </w:rPr>
      <w:t xml:space="preserve">Page </w:t>
    </w:r>
    <w:r>
      <w:rPr>
        <w:color w:val="4a6080"/>
        <w:sz w:val="18"/>
        <w:szCs w:val="18"/>
      </w:rPr>
      <w:fldChar w:fldCharType="begin"/>
      <w:instrText xml:space="preserve">PAGE</w:instrText>
      <w:fldChar w:fldCharType="separate"/>
      <w:fldChar w:fldCharType="end"/>
    </w:r>
    <w:r>
      <w:rPr>
        <w:color w:val="4a6080"/>
        <w:sz w:val="18"/>
        <w:szCs w:val="18"/>
      </w:rPr>
      <w:t xml:space="preserve"> / </w:t>
    </w:r>
    <w:r>
      <w:rPr>
        <w:color w:val="4a6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cfe0" w:sz="1"/>
      </w:pBdr>
      <w:spacing w:after="0"/>
    </w:pPr>
    <w:r>
      <w:rPr>
        <w:color w:val="4a6080"/>
        <w:sz w:val="18"/>
        <w:szCs w:val="18"/>
      </w:rPr>
      <w:t xml:space="preserve">OSEye  —  Cahier des charges v4.0</w:t>
    </w:r>
    <w:r>
      <w:rPr>
        <w:i/>
        <w:iCs/>
        <w:color w:val="4a6080"/>
        <w:sz w:val="18"/>
        <w:szCs w:val="18"/>
      </w:rPr>
      <w:t xml:space="preserve">        Confidentiel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6da4" w:sz="2"/>
      </w:pBdr>
      <w:spacing w:after="160" w:before="480"/>
    </w:pPr>
    <w:rPr>
      <w:rFonts w:ascii="Calibri" w:cs="Calibri" w:eastAsia="Calibri" w:hAnsi="Calibri"/>
      <w:b/>
      <w:bCs/>
      <w:color w:val="1a2b4a"/>
      <w:sz w:val="36"/>
      <w:szCs w:val="36"/>
    </w:rPr>
  </w:style>
  <w:style w:type="paragraph" w:styleId="Heading2">
    <w:name w:val="Heading 2"/>
    <w:basedOn w:val="Normal"/>
    <w:next w:val="Normal"/>
    <w:qFormat/>
    <w:pPr>
      <w:spacing w:after="120" w:before="320"/>
    </w:pPr>
    <w:rPr>
      <w:rFonts w:ascii="Calibri" w:cs="Calibri" w:eastAsia="Calibri" w:hAnsi="Calibri"/>
      <w:b/>
      <w:bCs/>
      <w:color w:val="2e6da4"/>
      <w:sz w:val="28"/>
      <w:szCs w:val="28"/>
    </w:rPr>
  </w:style>
  <w:style w:type="paragraph" w:styleId="Heading3">
    <w:name w:val="Heading 3"/>
    <w:basedOn w:val="Normal"/>
    <w:next w:val="Normal"/>
    <w:qFormat/>
    <w:pPr>
      <w:spacing w:after="80" w:before="240"/>
    </w:pPr>
    <w:rPr>
      <w:rFonts w:ascii="Calibri" w:cs="Calibri" w:eastAsia="Calibri" w:hAnsi="Calibri"/>
      <w:b/>
      <w:bCs/>
      <w:color w:val="4a60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2026-07-28T09:12:56.801Z</dcterms:created>
  <dcterms:modified xsi:type="dcterms:W3CDTF">2026-07-28T09:12:56.830Z</dcterms:modified>
</cp:coreProperties>
</file>

<file path=docProps/custom.xml><?xml version="1.0" encoding="utf-8"?>
<Properties xmlns="http://schemas.openxmlformats.org/officeDocument/2006/custom-properties" xmlns:vt="http://schemas.openxmlformats.org/officeDocument/2006/docPropsVTypes"/>
</file>