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2C" w:rsidRDefault="0001482C" w:rsidP="0001482C">
      <w:pPr>
        <w:spacing w:after="0" w:line="312" w:lineRule="auto"/>
        <w:ind w:firstLine="53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Актуальность диссертационного исследования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определяется необходимостью развития методологического обеспечения деятельности органов государственного управления по стратегическому планированию, стимулированию и поддержке процессов формирования и развития КПС, что обусловлено рассмотрением кластерной стратегии в качестве элемента стратегии социально-экономического развития, направленной на решение актуальных проблем и достижения приоритетных целей социально-экономического развития страны. </w:t>
      </w:r>
    </w:p>
    <w:p w:rsidR="0001482C" w:rsidRDefault="0001482C" w:rsidP="0001482C">
      <w:pPr>
        <w:spacing w:after="0" w:line="312" w:lineRule="auto"/>
        <w:ind w:firstLine="54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Степень разработанности проблемы. </w:t>
      </w:r>
    </w:p>
    <w:p w:rsidR="0001482C" w:rsidRDefault="0001482C" w:rsidP="0001482C">
      <w:pPr>
        <w:spacing w:after="0" w:line="312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Методам и принципам разработки и реализации кластерной стратегии посвящено значительное количество работ, как в нашей стране, так и за рубежом.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01482C" w:rsidRDefault="0001482C" w:rsidP="0001482C">
      <w:pPr>
        <w:spacing w:after="0" w:line="312" w:lineRule="auto"/>
        <w:ind w:right="75" w:firstLine="540"/>
        <w:jc w:val="both"/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3.5. Исходя из анализа проблем формирования и развития КПС и факторов их существования, можно сформулировать важнейшие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стратегические направления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деятельности органов исполнительной власти, направленные на стимулирование процессов формирования  и развития КПС: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создание коммуникационных площадок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условий для организации процессов согласования и координации интересов участников КПС;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формирование институциональной среды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обеспечивающий свободный обмен информацией, людьми, капиталами и услугами между участниками КПС;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разработка и реализация программ развития малого и среднего бизнеса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формирующего экономическую среду обеспечивающих услуг для основных предприятий КПС;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содействие формированию человеческого потенциала,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адекватного требованиям, предъявляемым к качеству персонала со стороны предприятий КПС, (подготовка и переподготовка персонала, привлечение кадров высшей квалификации, развитие  системы образования); </w:t>
      </w:r>
      <w:r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поддержание и развитие инфраструктуры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необходимой для развития КПС: социальной, инновационной, производственной, транспортной, информационной;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создание нормативно-правовой среды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обеспечивающей: прозрачность конкурентной среды, стабильность и прозрачность рыночных, в том числе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имущественных отношений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снижение барьеров входа на рынок, снижение коррупционных издержек,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соблюдения прав собственности; </w:t>
      </w:r>
      <w:r>
        <w:rPr>
          <w:rFonts w:ascii="Times New Roman CYR" w:eastAsia="Times New Roman" w:hAnsi="Times New Roman CYR" w:cs="Times New Roman CYR"/>
          <w:i/>
          <w:sz w:val="24"/>
          <w:szCs w:val="24"/>
          <w:lang w:eastAsia="ru-RU"/>
        </w:rPr>
        <w:t>развитие инновационной среды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поддержка создания венчурных фондов, центров трансферта технологий, бизнес-инкубаторов, инновационно-технологических центров,  технопарков и </w:t>
      </w:r>
    </w:p>
    <w:p w:rsidR="0001482C" w:rsidRDefault="0001482C" w:rsidP="0001482C">
      <w:pPr>
        <w:spacing w:after="0" w:line="312" w:lineRule="auto"/>
        <w:rPr>
          <w:rFonts w:ascii="Times New Roman" w:eastAsia="Times New Roman" w:hAnsi="Times New Roman"/>
          <w:sz w:val="24"/>
          <w:szCs w:val="24"/>
          <w:lang w:eastAsia="ru-RU"/>
        </w:rPr>
        <w:sectPr w:rsidR="0001482C">
          <w:pgSz w:w="11906" w:h="16838"/>
          <w:pgMar w:top="1134" w:right="851" w:bottom="1134" w:left="1440" w:header="709" w:footer="709" w:gutter="0"/>
          <w:cols w:space="720"/>
        </w:sectPr>
      </w:pPr>
    </w:p>
    <w:p w:rsidR="0001482C" w:rsidRDefault="0001482C" w:rsidP="0001482C">
      <w:pPr>
        <w:spacing w:after="0" w:line="312" w:lineRule="auto"/>
        <w:ind w:right="75"/>
        <w:jc w:val="both"/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т.п., стимулирование развития малых высокотехнологичных фирм,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улучшение их инфраструктурного обеспечения;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оддержка инновационного потенциала фундаментальных и прикладных НИР на базе государственных организаций; общее содействие в коммерциализации НИОКР и пр.;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финансовая поддержка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(создание государственных инвестиционных компаний, принимающих долевое участие в реконверсии кризисных и создании новых предприятий; предоставление преференций и льгот и пр.; содействие доступу к кредитным ресурсам,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предоставление льгот по использованию государственного имущества и т.п.)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презентация КПС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международном и внутрироссийском рынках; 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содействие  интеграции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предприятий КПС в общестрановые хозяйственные процессы;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введение института кураторства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значимым проектам в составе кластера;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>
        <w:rPr>
          <w:rFonts w:ascii="Times New Roman CYR" w:eastAsia="Times New Roman" w:hAnsi="Times New Roman CYR" w:cs="Times New Roman CYR"/>
          <w:i/>
          <w:sz w:val="24"/>
          <w:szCs w:val="24"/>
          <w:lang w:eastAsia="ru-RU"/>
        </w:rPr>
        <w:t>стимулирование процессов интеграции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предприятий КПС в общехозяйственные процессы. </w:t>
      </w:r>
      <w:r>
        <w:rPr>
          <w:rFonts w:ascii="Times New Roman CYR" w:eastAsia="Times New Roman" w:hAnsi="Times New Roman CYR" w:cs="Times New Roman CYR"/>
          <w:i/>
          <w:sz w:val="24"/>
          <w:szCs w:val="24"/>
          <w:lang w:eastAsia="ru-RU"/>
        </w:rPr>
        <w:t xml:space="preserve">помощь в осуществлении  </w:t>
      </w:r>
      <w:r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комплексного технического перевооружения производств</w:t>
      </w:r>
      <w:r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 xml:space="preserve"> потенциальной КПС.  </w:t>
      </w:r>
    </w:p>
    <w:p w:rsidR="0001482C" w:rsidRDefault="0001482C" w:rsidP="0001482C">
      <w:pPr>
        <w:spacing w:after="0" w:line="312" w:lineRule="auto"/>
        <w:ind w:right="75" w:firstLine="54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01482C" w:rsidRDefault="0001482C" w:rsidP="0001482C">
      <w:pPr>
        <w:spacing w:after="0" w:line="312" w:lineRule="auto"/>
        <w:ind w:right="75" w:firstLine="540"/>
        <w:jc w:val="both"/>
        <w:rPr>
          <w:rFonts w:ascii="Times New Roman CYR" w:eastAsia="Times New Roman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 качестве инструмента, позволяющего обосновать</w:t>
      </w:r>
      <w:r>
        <w:rPr>
          <w:rFonts w:ascii="Times New Roman" w:hAnsi="Times New Roman"/>
          <w:b/>
          <w:sz w:val="24"/>
          <w:szCs w:val="24"/>
        </w:rPr>
        <w:t xml:space="preserve"> стратегические направления развития КПС целесообразно использовать матричные модели, которые основаны на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системном анализе взаимосвязей между п</w:t>
      </w:r>
      <w:r>
        <w:rPr>
          <w:rFonts w:ascii="Times New Roman" w:hAnsi="Times New Roman"/>
          <w:b/>
          <w:sz w:val="24"/>
          <w:szCs w:val="24"/>
        </w:rPr>
        <w:t>араметрами стратегического потенциала КПС, с одной стороны, проблемами и факторами развития КПС, с другой, и стратегическими направлениями развития КПС, с третьей.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01482C" w:rsidRDefault="0001482C" w:rsidP="0001482C">
      <w:pPr>
        <w:spacing w:after="0" w:line="312" w:lineRule="auto"/>
        <w:ind w:right="75"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4.1. Следует отметить, что 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атричные модели довольно широко используются в анализе стратегий на корпоративном уровне. В качестве наиболее известных  можно привести: модели оценки стратегического положения и привлекательности зоны хозяйствования с помощью матриц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BCG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«Дженерал Электрик – МакКинзи»; модель АДЛ/ЛС, разработанная компанией Артур Д. Литтл, совмещающую  стадий жизненного цикла производства и относительное положение на рынке, модель стратегического анализа Шелл/ДПМ («матрица направленной политики»), которая была разработана британско-голландской компанией Шелл; матрица  Ансоффа; трехмерная модель бизнеса Абеля. </w:t>
      </w:r>
    </w:p>
    <w:p w:rsidR="0001482C" w:rsidRDefault="0001482C" w:rsidP="0001482C">
      <w:pPr>
        <w:spacing w:after="0" w:line="312" w:lineRule="auto"/>
        <w:ind w:right="75" w:firstLine="53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4.2. Основные этапы анализа стратегии развития КПС с помощью разработанных матричных моделей следующие. Этап 1 – проведение анализа влияния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«Предпосылки развития - стратегические параметры КПС».  Этап 2 - построение матриц «Стратегические параметры – проблемы препятствующие их улучшению»;   «Взаимовлияние проблем»;  «Факторы – проблемы»; «Действия – факторы». Этап 3 - формирование результирующей матрицы «Действия – улучшение стратегических параметров КПС», 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в  которой объединяются вклады каждого действия в устранение зависящих от него  факторов возникновения проблем, а затем  полученной совокупности изменений факторов ставятся в соответствие достигаемые значения стратегических параметров КПС. Предметом анализа являются содержащиеся в матрицах экспертные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lastRenderedPageBreak/>
        <w:t xml:space="preserve">оценки влияния  рассматриваемых факторов и действий по их компенсации на  улучшение значений  стратегических параметров. </w:t>
      </w:r>
    </w:p>
    <w:p w:rsidR="0001482C" w:rsidRDefault="0001482C" w:rsidP="0001482C">
      <w:pPr>
        <w:spacing w:after="0" w:line="300" w:lineRule="auto"/>
        <w:ind w:right="74" w:firstLine="54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5. Для обоснования желательной динамики развития КПС крайне желательно использовать разработанные экономико-математические модели:</w:t>
      </w:r>
      <w:r>
        <w:rPr>
          <w:rFonts w:ascii="Times New Roman" w:hAnsi="Times New Roman"/>
          <w:b/>
          <w:sz w:val="24"/>
          <w:szCs w:val="24"/>
        </w:rPr>
        <w:t xml:space="preserve"> имитационная модель анализа ожидаемых результатов совместного функционирования производственных субъектов в составе планируемой КПС, позволяющая в ходе вариантных расчетов находить стратегические параметры КПС, удовлетворяющие критерию баланса интересов основных ее участников (администрация региона, бизнес, население); модель  устранения «узких мест» во взаимосвязях экономических субъектов для пар «производитель – потребитель», включающая экспертные процедуры ее численной реализации.</w:t>
      </w:r>
    </w:p>
    <w:p w:rsidR="0001482C" w:rsidRDefault="0001482C" w:rsidP="0001482C">
      <w:pPr>
        <w:widowControl w:val="0"/>
        <w:tabs>
          <w:tab w:val="left" w:pos="8640"/>
        </w:tabs>
        <w:overflowPunct w:val="0"/>
        <w:autoSpaceDE w:val="0"/>
        <w:autoSpaceDN w:val="0"/>
        <w:adjustRightInd w:val="0"/>
        <w:spacing w:after="0" w:line="300" w:lineRule="auto"/>
        <w:ind w:right="74" w:firstLine="540"/>
        <w:jc w:val="both"/>
        <w:textAlignment w:val="baseline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5.1. Задачей моделирования является обоснование, на основе вариантных расчетов,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желательных значений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основных стратегических параметров развития различных производств в составе КПС.  Баланс интересов достигается  в ходе согласования  вариантов приростных значений таких стратегических параметров, как ВРП, валовой выпуск продукции и услуг, численность занятых (количество создаваемых рабочих мест), доходы населения, налоги, поступающие в бюджеты всех уровней, динамика инвестиций, производительность труда, объем прибыли. </w:t>
      </w:r>
    </w:p>
    <w:p w:rsidR="0001482C" w:rsidRDefault="0001482C" w:rsidP="0001482C">
      <w:pPr>
        <w:widowControl w:val="0"/>
        <w:tabs>
          <w:tab w:val="left" w:pos="8640"/>
        </w:tabs>
        <w:overflowPunct w:val="0"/>
        <w:autoSpaceDE w:val="0"/>
        <w:autoSpaceDN w:val="0"/>
        <w:adjustRightInd w:val="0"/>
        <w:spacing w:after="0" w:line="300" w:lineRule="auto"/>
        <w:ind w:right="74" w:firstLine="54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Важное значение имеют параметры специфических соотношений модели, которые отражают индивидуальный характер взаимосвязей между основными производствами в составе КПС, и также влияния КПС на общеэкономические параметры развития региона локализации и зависящих от них показателей развития социальной сферы, образования, и других секторов. </w:t>
      </w:r>
    </w:p>
    <w:p w:rsidR="0001482C" w:rsidRDefault="0001482C" w:rsidP="0001482C">
      <w:pPr>
        <w:widowControl w:val="0"/>
        <w:tabs>
          <w:tab w:val="left" w:pos="8640"/>
        </w:tabs>
        <w:overflowPunct w:val="0"/>
        <w:autoSpaceDE w:val="0"/>
        <w:autoSpaceDN w:val="0"/>
        <w:adjustRightInd w:val="0"/>
        <w:spacing w:after="0" w:line="300" w:lineRule="auto"/>
        <w:ind w:right="74" w:firstLine="54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модели рассматривается несколько групп взаимосвязанных производств: ядро КПС, объем выпуска которого зависит от объема инвестиций в создание ОПФ; производства, обеспечивающие ядро ресурсами, объем выпуска которых линейно связывается с объемом производства ядра; сфера подготовки трудовых ресурсов, прирост объема деятельности которой зависит от прироста суммарной численности занятых в результате развития КПС; организации инновационной сферы, объем деятельности которых зависит об объема инвестиций в НИОКР, рассчитываемые на основе ее средней доли в общем объеме инвестиций; отрасли социальной инфраструктуры, объемы выпуска которых зависит от суммы налогов, поступающих в региональный бюджет в результате развития КПС; отрасли конечного потребления, объем выпуска которых зависит от объема ВРП, произведенного на всех предприятиях, как  КПС, так и прямо или косвенно связанных с ней; отрасли инфраструктуры, объем выпуска которых зависит от суммарного выпуска всех производств на территории региона в результате развития КПС.  Остальные соотношения  одинаковы для всех моделируемых видов производств и описывают процесс формирования собственных средств в каждом из производств, а также налогов, отчисляемых в бюджеты всех уровней. Основные допущения модели следующие.</w:t>
      </w:r>
    </w:p>
    <w:p w:rsidR="0001482C" w:rsidRDefault="0001482C" w:rsidP="0001482C">
      <w:pPr>
        <w:tabs>
          <w:tab w:val="left" w:pos="8820"/>
          <w:tab w:val="left" w:pos="9360"/>
        </w:tabs>
        <w:spacing w:after="0" w:line="300" w:lineRule="auto"/>
        <w:ind w:right="74" w:firstLine="36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1.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Часть собственных средств, остающихся в распоряжении различных производств КПС реинвестируется. Объем реинвестирования определяется на основе варьируемого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lastRenderedPageBreak/>
        <w:t>экзогенного параметра доли собственных средств, которые могут быть использования для этих целей.</w:t>
      </w:r>
    </w:p>
    <w:p w:rsidR="0001482C" w:rsidRDefault="0001482C" w:rsidP="0001482C">
      <w:pPr>
        <w:tabs>
          <w:tab w:val="left" w:pos="8820"/>
          <w:tab w:val="left" w:pos="9360"/>
        </w:tabs>
        <w:spacing w:after="0" w:line="300" w:lineRule="auto"/>
        <w:ind w:right="74"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2.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Фактором, определяющим эффективность планируемого производства, является экзогенно задаваемые параметры: структура издержек на производство продукции и услуг на вновь созданных производственных мощностях, (заработная плата, сырье и материалы, энергоресурсы, прочие затраты,  транспортные издержки),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уровень рентабельности, предоставляемые льготы по налогообложению, динамики внешних инвестиций с учетом государственной  поддержки. </w:t>
      </w:r>
    </w:p>
    <w:p w:rsidR="0001482C" w:rsidRDefault="0001482C" w:rsidP="0001482C">
      <w:pPr>
        <w:tabs>
          <w:tab w:val="left" w:pos="8820"/>
          <w:tab w:val="left" w:pos="9360"/>
        </w:tabs>
        <w:spacing w:after="0" w:line="300" w:lineRule="auto"/>
        <w:ind w:right="74"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3. Численность занятых на каждом из производств рассчитывается исходя из задаваемой производительности труда.</w:t>
      </w:r>
    </w:p>
    <w:p w:rsidR="0001482C" w:rsidRDefault="0001482C" w:rsidP="0001482C">
      <w:pPr>
        <w:tabs>
          <w:tab w:val="left" w:pos="8820"/>
          <w:tab w:val="left" w:pos="9360"/>
        </w:tabs>
        <w:spacing w:after="0" w:line="300" w:lineRule="auto"/>
        <w:ind w:right="74" w:firstLine="36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4.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Эффективность производственных инвестиций характеризуется показателем фондоотдачи вновь вводимых ОПФ. Значение данного коэффициента определяется из данных  по аналогичным инвестиционным проектам и отраслевой статистики. Формирование ОПФ описывается стандартными соотношениями с распределенным лагом.</w:t>
      </w:r>
    </w:p>
    <w:p w:rsidR="0001482C" w:rsidRDefault="0001482C" w:rsidP="0001482C">
      <w:pPr>
        <w:spacing w:after="0" w:line="300" w:lineRule="auto"/>
        <w:ind w:right="74" w:firstLine="36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5.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Значения приростных показателей: валового выпуска, ВРП, суммарных инвестиций, численности занятых, ФОТ, налоговых поступлении и т.п. определяются путем суммирования по всем производствам в составе КПС и связанных с ней производств. </w:t>
      </w:r>
    </w:p>
    <w:p w:rsidR="0001482C" w:rsidRDefault="0001482C" w:rsidP="0001482C">
      <w:pPr>
        <w:spacing w:after="0" w:line="300" w:lineRule="auto"/>
        <w:ind w:right="74" w:firstLine="36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Процедура анализа организуется таким образом, чтобы в ходе последовательных  вариантных расчетов найти баланс между увеличением показателей, отражающих интересы одного из участников (например, бизнеса) и снижением показателей отражающих интересы другого (населения). </w:t>
      </w:r>
    </w:p>
    <w:p w:rsidR="0001482C" w:rsidRDefault="0001482C" w:rsidP="0001482C">
      <w:pPr>
        <w:spacing w:after="0" w:line="300" w:lineRule="auto"/>
        <w:ind w:right="74"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5.2. Важное значение имеет использование модели частной функциональной стратегии, связанной с устранением несбалансированности производственно-экономических связей между парами участников потенциальной КПС.  Одна из систем,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 обеспечивает производственную систему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необходимыми факторами производства; система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 свою очередь поставляет продукцию и услуги конечному потребителю, (системе С); 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 w:eastAsia="ru-RU"/>
        </w:rPr>
        <w:t>M</w:t>
      </w:r>
      <w:r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системы распределения продуктов и услуг. Общая схема взаимосвязей в рассматриваемой системе представлена на рис. 3. Проблемная ситуация заключаются в дефиците продуктов и услуг, потребляемых системой С и выпускаемых производством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 </w:t>
      </w:r>
    </w:p>
    <w:p w:rsidR="0001482C" w:rsidRDefault="0001482C" w:rsidP="0001482C">
      <w:pPr>
        <w:spacing w:after="0" w:line="300" w:lineRule="auto"/>
        <w:ind w:right="74"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Возможны следующие направления или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элементарные стратегии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обеспечивающие частичное или полное устранение данной проблемной ситуации.</w:t>
      </w:r>
    </w:p>
    <w:p w:rsidR="0001482C" w:rsidRDefault="0001482C" w:rsidP="0001482C">
      <w:pPr>
        <w:numPr>
          <w:ilvl w:val="0"/>
          <w:numId w:val="17"/>
        </w:numPr>
        <w:tabs>
          <w:tab w:val="num" w:pos="540"/>
        </w:tabs>
        <w:spacing w:after="0" w:line="312" w:lineRule="auto"/>
        <w:ind w:left="0" w:right="75" w:firstLine="1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Совершенствования технологии производства в системе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ориентированное на повышение эффективности использования ресурсов производства и повышение качества </w:t>
      </w:r>
    </w:p>
    <w:p w:rsidR="0001482C" w:rsidRDefault="0001482C" w:rsidP="0001482C">
      <w:pPr>
        <w:spacing w:after="0" w:line="312" w:lineRule="auto"/>
        <w:ind w:right="7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выпускаемых продуктов и услуг, обеспечивающее относительное снижение ресурсных требований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1482C" w:rsidRDefault="0001482C" w:rsidP="0001482C">
      <w:pPr>
        <w:numPr>
          <w:ilvl w:val="0"/>
          <w:numId w:val="17"/>
        </w:numPr>
        <w:tabs>
          <w:tab w:val="num" w:pos="540"/>
        </w:tabs>
        <w:spacing w:after="0" w:line="312" w:lineRule="auto"/>
        <w:ind w:left="0" w:right="75" w:firstLine="1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Использование в 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продуктов-заменителей, поступающих от системы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(с соответствующей модернизацией технологии в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); </w:t>
      </w:r>
    </w:p>
    <w:p w:rsidR="0001482C" w:rsidRDefault="0001482C" w:rsidP="0001482C">
      <w:pPr>
        <w:numPr>
          <w:ilvl w:val="0"/>
          <w:numId w:val="17"/>
        </w:numPr>
        <w:tabs>
          <w:tab w:val="num" w:pos="540"/>
        </w:tabs>
        <w:spacing w:after="0" w:line="312" w:lineRule="auto"/>
        <w:ind w:left="0" w:right="75" w:firstLine="1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Перераспределение  продуктов и услуг, выпускаемых 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между различными потребителями в пользу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компенсацией снижения поставок другим, внешним, потребителям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за счет модернизации технологии и продуктов-заменителей;</w:t>
      </w:r>
    </w:p>
    <w:p w:rsidR="0001482C" w:rsidRDefault="0001482C" w:rsidP="0001482C">
      <w:pPr>
        <w:numPr>
          <w:ilvl w:val="0"/>
          <w:numId w:val="17"/>
        </w:numPr>
        <w:tabs>
          <w:tab w:val="num" w:pos="0"/>
        </w:tabs>
        <w:spacing w:after="0" w:line="312" w:lineRule="auto"/>
        <w:ind w:left="0" w:right="75" w:firstLine="1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Совершенствование технологии производства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ориентированное на увеличение выпуска, на основе более эффективного использования ресурсов;</w:t>
      </w:r>
    </w:p>
    <w:p w:rsidR="0001482C" w:rsidRDefault="0001482C" w:rsidP="0001482C">
      <w:pPr>
        <w:numPr>
          <w:ilvl w:val="0"/>
          <w:numId w:val="17"/>
        </w:numPr>
        <w:tabs>
          <w:tab w:val="num" w:pos="0"/>
        </w:tabs>
        <w:spacing w:after="0" w:line="312" w:lineRule="auto"/>
        <w:ind w:left="0" w:right="75" w:firstLine="1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Перераспределение продуктов и услуг, производимых системой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пользу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за счет снижения потребления этих продуктов и услуг другими системами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 продуктов-заменителей данного вида ресурсов для системы 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реализация мероприятий по экономии данных ресурсов в других сферах потребления. Это возможно, если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стать для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более предпочтительным потребителем за счет, например, более высоких цен за потребляемые ресурсы. Это, в свою очередь потребует компенсации увеличения издержек, в части увеличения цен на продукцию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за счет совершенствования технологии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01482C" w:rsidRDefault="0001482C" w:rsidP="0001482C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</w:pPr>
    </w:p>
    <w:p w:rsidR="0001482C" w:rsidRDefault="0001482C" w:rsidP="0001482C">
      <w:pPr>
        <w:spacing w:after="0" w:line="240" w:lineRule="auto"/>
        <w:ind w:firstLine="425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Москва 2011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:rsidR="0001482C" w:rsidRPr="0001482C" w:rsidRDefault="0001482C" w:rsidP="0001482C">
      <w:pPr>
        <w:spacing w:after="0" w:line="240" w:lineRule="auto"/>
        <w:ind w:firstLine="425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bookmarkStart w:id="0" w:name="_GoBack"/>
      <w:bookmarkEnd w:id="0"/>
    </w:p>
    <w:p w:rsidR="0001482C" w:rsidRDefault="0001482C" w:rsidP="0001482C">
      <w:pPr>
        <w:spacing w:after="0" w:line="240" w:lineRule="auto"/>
        <w:ind w:firstLine="425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1482C" w:rsidRDefault="0001482C" w:rsidP="0001482C">
      <w:pPr>
        <w:spacing w:after="120" w:line="324" w:lineRule="auto"/>
        <w:ind w:right="-1" w:firstLine="708"/>
        <w:rPr>
          <w:rFonts w:ascii="Times New Roman" w:hAnsi="Times New Roman"/>
          <w:sz w:val="26"/>
          <w:szCs w:val="26"/>
        </w:rPr>
      </w:pPr>
    </w:p>
    <w:p w:rsidR="0001482C" w:rsidRDefault="0001482C" w:rsidP="0001482C">
      <w:pPr>
        <w:spacing w:after="120" w:line="324" w:lineRule="auto"/>
        <w:ind w:right="-1" w:firstLine="708"/>
        <w:rPr>
          <w:rFonts w:ascii="Times New Roman" w:hAnsi="Times New Roman"/>
          <w:sz w:val="26"/>
          <w:szCs w:val="26"/>
        </w:rPr>
      </w:pPr>
    </w:p>
    <w:p w:rsidR="0001482C" w:rsidRDefault="0001482C" w:rsidP="0001482C">
      <w:pPr>
        <w:spacing w:after="120" w:line="324" w:lineRule="auto"/>
        <w:ind w:right="-1" w:firstLine="708"/>
        <w:rPr>
          <w:rFonts w:ascii="Times New Roman" w:hAnsi="Times New Roman"/>
          <w:sz w:val="26"/>
          <w:szCs w:val="26"/>
        </w:rPr>
      </w:pPr>
    </w:p>
    <w:p w:rsidR="0001482C" w:rsidRDefault="0001482C" w:rsidP="0001482C">
      <w:pPr>
        <w:spacing w:after="120" w:line="324" w:lineRule="auto"/>
        <w:ind w:right="-1" w:firstLine="708"/>
        <w:rPr>
          <w:rFonts w:ascii="Times New Roman" w:hAnsi="Times New Roman"/>
          <w:sz w:val="26"/>
          <w:szCs w:val="26"/>
        </w:rPr>
      </w:pPr>
    </w:p>
    <w:p w:rsidR="0001482C" w:rsidRDefault="0001482C" w:rsidP="0001482C">
      <w:pPr>
        <w:spacing w:after="120" w:line="324" w:lineRule="auto"/>
        <w:ind w:right="-1" w:firstLine="708"/>
        <w:rPr>
          <w:rFonts w:ascii="Times New Roman" w:hAnsi="Times New Roman"/>
          <w:sz w:val="26"/>
          <w:szCs w:val="26"/>
        </w:rPr>
      </w:pPr>
    </w:p>
    <w:p w:rsidR="0001482C" w:rsidRDefault="0001482C" w:rsidP="0001482C">
      <w:pPr>
        <w:widowControl w:val="0"/>
        <w:tabs>
          <w:tab w:val="num" w:pos="720"/>
        </w:tabs>
        <w:autoSpaceDE w:val="0"/>
        <w:autoSpaceDN w:val="0"/>
        <w:adjustRightInd w:val="0"/>
        <w:spacing w:after="0" w:line="240" w:lineRule="auto"/>
        <w:ind w:right="75"/>
        <w:jc w:val="both"/>
      </w:pPr>
    </w:p>
    <w:p w:rsidR="0001482C" w:rsidRDefault="0001482C" w:rsidP="0001482C"/>
    <w:p w:rsidR="0001482C" w:rsidRDefault="0001482C" w:rsidP="0001482C"/>
    <w:p w:rsidR="00AD1B92" w:rsidRPr="0001482C" w:rsidRDefault="00AD1B92" w:rsidP="0001482C"/>
    <w:sectPr w:rsidR="00AD1B92" w:rsidRPr="00014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074"/>
    <w:multiLevelType w:val="hybridMultilevel"/>
    <w:tmpl w:val="1180D45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3FE308C"/>
    <w:multiLevelType w:val="hybridMultilevel"/>
    <w:tmpl w:val="86561DCE"/>
    <w:lvl w:ilvl="0" w:tplc="B4385F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230C479D"/>
    <w:multiLevelType w:val="hybridMultilevel"/>
    <w:tmpl w:val="23D4F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5A5CC0"/>
    <w:multiLevelType w:val="hybridMultilevel"/>
    <w:tmpl w:val="F9F6EE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78395D"/>
    <w:multiLevelType w:val="hybridMultilevel"/>
    <w:tmpl w:val="CEFA0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2B1CEB"/>
    <w:multiLevelType w:val="hybridMultilevel"/>
    <w:tmpl w:val="DE8088AE"/>
    <w:lvl w:ilvl="0" w:tplc="0F743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F17514"/>
    <w:multiLevelType w:val="hybridMultilevel"/>
    <w:tmpl w:val="A8D0C6F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7B8738E"/>
    <w:multiLevelType w:val="hybridMultilevel"/>
    <w:tmpl w:val="D19C04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0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DF"/>
    <w:rsid w:val="0001482C"/>
    <w:rsid w:val="0008467C"/>
    <w:rsid w:val="00097DA8"/>
    <w:rsid w:val="003454C5"/>
    <w:rsid w:val="003823A7"/>
    <w:rsid w:val="00411A9A"/>
    <w:rsid w:val="004B17AB"/>
    <w:rsid w:val="004E66CE"/>
    <w:rsid w:val="006838D2"/>
    <w:rsid w:val="006D2D36"/>
    <w:rsid w:val="008322FD"/>
    <w:rsid w:val="009B1106"/>
    <w:rsid w:val="00AA32E1"/>
    <w:rsid w:val="00AD1B92"/>
    <w:rsid w:val="00AF0381"/>
    <w:rsid w:val="00CA44DF"/>
    <w:rsid w:val="00D57F14"/>
    <w:rsid w:val="00F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A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849A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2FD"/>
  </w:style>
  <w:style w:type="paragraph" w:styleId="a3">
    <w:name w:val="Normal (Web)"/>
    <w:basedOn w:val="a"/>
    <w:uiPriority w:val="99"/>
    <w:semiHidden/>
    <w:unhideWhenUsed/>
    <w:rsid w:val="00683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6838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038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849A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unhideWhenUsed/>
    <w:rsid w:val="00F849A1"/>
    <w:pPr>
      <w:ind w:left="220"/>
    </w:pPr>
  </w:style>
  <w:style w:type="paragraph" w:styleId="a6">
    <w:name w:val="footer"/>
    <w:basedOn w:val="a"/>
    <w:link w:val="a7"/>
    <w:uiPriority w:val="99"/>
    <w:semiHidden/>
    <w:unhideWhenUsed/>
    <w:rsid w:val="00F84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9A1"/>
    <w:rPr>
      <w:rFonts w:ascii="Calibri" w:eastAsia="Calibri" w:hAnsi="Calibri" w:cs="Times New Roman"/>
    </w:rPr>
  </w:style>
  <w:style w:type="paragraph" w:styleId="a8">
    <w:name w:val="Title"/>
    <w:basedOn w:val="a"/>
    <w:link w:val="a9"/>
    <w:uiPriority w:val="99"/>
    <w:qFormat/>
    <w:rsid w:val="00F849A1"/>
    <w:pPr>
      <w:spacing w:after="120" w:line="240" w:lineRule="auto"/>
      <w:ind w:firstLine="709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F849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F849A1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84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Continue"/>
    <w:basedOn w:val="a"/>
    <w:uiPriority w:val="99"/>
    <w:semiHidden/>
    <w:unhideWhenUsed/>
    <w:rsid w:val="00F849A1"/>
    <w:pPr>
      <w:spacing w:after="120"/>
      <w:ind w:left="283"/>
    </w:pPr>
  </w:style>
  <w:style w:type="paragraph" w:styleId="ad">
    <w:name w:val="Balloon Text"/>
    <w:basedOn w:val="a"/>
    <w:link w:val="ae"/>
    <w:uiPriority w:val="99"/>
    <w:semiHidden/>
    <w:unhideWhenUsed/>
    <w:rsid w:val="00F849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849A1"/>
    <w:rPr>
      <w:rFonts w:ascii="Tahoma" w:eastAsia="Calibri" w:hAnsi="Tahoma" w:cs="Tahoma"/>
      <w:sz w:val="16"/>
      <w:szCs w:val="16"/>
    </w:rPr>
  </w:style>
  <w:style w:type="paragraph" w:customStyle="1" w:styleId="CharCharCharCharCharChar1Char">
    <w:name w:val="Знак Знак Char Знак Знак Char Char Char Char Знак Знак Char Знак Знак1 Char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0">
    <w:name w:val="2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">
    <w:name w:val="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Char1Char1Char1">
    <w:name w:val="2 Знак Char Знак Знак1 Char Знак Знак1 Char Знак Знак1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CharCharChar">
    <w:name w:val="Знак Знак Char Знак Знак Char Знак Знак Char Знак Знак Char 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CharCharCharCharChar">
    <w:name w:val="Знак Знак Char Знак Знак Char Char Char Char Знак Знак Char 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Char2CharCharCharCharChar">
    <w:name w:val="2 Знак Char Знак Знак2 Char Знак Знак Char Знак Знак Char Знак Знак Char Знак Знак Char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ormal1">
    <w:name w:val="Normal1"/>
    <w:uiPriority w:val="99"/>
    <w:semiHidden/>
    <w:rsid w:val="00F849A1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A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849A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2FD"/>
  </w:style>
  <w:style w:type="paragraph" w:styleId="a3">
    <w:name w:val="Normal (Web)"/>
    <w:basedOn w:val="a"/>
    <w:uiPriority w:val="99"/>
    <w:semiHidden/>
    <w:unhideWhenUsed/>
    <w:rsid w:val="00683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6838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038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849A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unhideWhenUsed/>
    <w:rsid w:val="00F849A1"/>
    <w:pPr>
      <w:ind w:left="220"/>
    </w:pPr>
  </w:style>
  <w:style w:type="paragraph" w:styleId="a6">
    <w:name w:val="footer"/>
    <w:basedOn w:val="a"/>
    <w:link w:val="a7"/>
    <w:uiPriority w:val="99"/>
    <w:semiHidden/>
    <w:unhideWhenUsed/>
    <w:rsid w:val="00F84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9A1"/>
    <w:rPr>
      <w:rFonts w:ascii="Calibri" w:eastAsia="Calibri" w:hAnsi="Calibri" w:cs="Times New Roman"/>
    </w:rPr>
  </w:style>
  <w:style w:type="paragraph" w:styleId="a8">
    <w:name w:val="Title"/>
    <w:basedOn w:val="a"/>
    <w:link w:val="a9"/>
    <w:uiPriority w:val="99"/>
    <w:qFormat/>
    <w:rsid w:val="00F849A1"/>
    <w:pPr>
      <w:spacing w:after="120" w:line="240" w:lineRule="auto"/>
      <w:ind w:firstLine="709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F849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F849A1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84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Continue"/>
    <w:basedOn w:val="a"/>
    <w:uiPriority w:val="99"/>
    <w:semiHidden/>
    <w:unhideWhenUsed/>
    <w:rsid w:val="00F849A1"/>
    <w:pPr>
      <w:spacing w:after="120"/>
      <w:ind w:left="283"/>
    </w:pPr>
  </w:style>
  <w:style w:type="paragraph" w:styleId="ad">
    <w:name w:val="Balloon Text"/>
    <w:basedOn w:val="a"/>
    <w:link w:val="ae"/>
    <w:uiPriority w:val="99"/>
    <w:semiHidden/>
    <w:unhideWhenUsed/>
    <w:rsid w:val="00F849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849A1"/>
    <w:rPr>
      <w:rFonts w:ascii="Tahoma" w:eastAsia="Calibri" w:hAnsi="Tahoma" w:cs="Tahoma"/>
      <w:sz w:val="16"/>
      <w:szCs w:val="16"/>
    </w:rPr>
  </w:style>
  <w:style w:type="paragraph" w:customStyle="1" w:styleId="CharCharCharCharCharChar1Char">
    <w:name w:val="Знак Знак Char Знак Знак Char Char Char Char Знак Знак Char Знак Знак1 Char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0">
    <w:name w:val="2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">
    <w:name w:val="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Char1Char1Char1">
    <w:name w:val="2 Знак Char Знак Знак1 Char Знак Знак1 Char Знак Знак1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CharCharChar">
    <w:name w:val="Знак Знак Char Знак Знак Char Знак Знак Char Знак Знак Char 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CharCharCharCharChar">
    <w:name w:val="Знак Знак Char Знак Знак Char Char Char Char Знак Знак Char Знак Знак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Char2CharCharCharCharChar">
    <w:name w:val="2 Знак Char Знак Знак2 Char Знак Знак Char Знак Знак Char Знак Знак Char Знак Знак Char"/>
    <w:basedOn w:val="a"/>
    <w:uiPriority w:val="99"/>
    <w:semiHidden/>
    <w:rsid w:val="00F849A1"/>
    <w:pPr>
      <w:spacing w:after="16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ormal1">
    <w:name w:val="Normal1"/>
    <w:uiPriority w:val="99"/>
    <w:semiHidden/>
    <w:rsid w:val="00F849A1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9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2015-02-17T12:09:00Z</dcterms:created>
  <dcterms:modified xsi:type="dcterms:W3CDTF">2015-11-11T19:35:00Z</dcterms:modified>
</cp:coreProperties>
</file>