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Calibri" w:cs="Calibri" w:eastAsia="Calibri" w:hAnsi="Calibri"/>
          <w:b/>
          <w:bCs/>
          <w:color w:val="0F6C73"/>
          <w:sz w:val="18"/>
          <w:szCs w:val="18"/>
        </w:rPr>
        <w:t xml:space="preserve">ODCA SOLUTIONS  ·  EVOLUÇÃO OPERACIONAL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3A4B"/>
          <w:sz w:val="40"/>
          <w:szCs w:val="40"/>
        </w:rPr>
        <w:t xml:space="preserve">Análise, próximo prompt e código</w:t>
      </w:r>
    </w:p>
    <w:p>
      <w:pPr>
        <w:spacing w:after="140" w:before="0" w:line="276"/>
      </w:pPr>
      <w:r>
        <w:rPr>
          <w:rFonts w:ascii="Calibri" w:cs="Calibri" w:eastAsia="Calibri" w:hAnsi="Calibri"/>
          <w:color w:val="5C6570"/>
          <w:sz w:val="22"/>
          <w:szCs w:val="22"/>
        </w:rPr>
        <w:t xml:space="preserve">Funcionalidades, regras de negócio, contexto de tenant e templates oficiais. Pacote evolucao-operacional-templates.zip. 17/09/2026.</w:t>
      </w:r>
    </w:p>
    <w:p>
      <w:pPr>
        <w:pStyle w:val="Heading1"/>
        <w:pBdr>
          <w:bottom w:val="single" w:color="0F6C73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A4B"/>
          <w:sz w:val="32"/>
          <w:szCs w:val="32"/>
        </w:rPr>
        <w:t xml:space="preserve">1. O que já foi feito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46"/>
      </w:tblGrid>
      <w:tr>
        <w:tc>
          <w:tcPr>
            <w:tcW w:type="dxa" w:w="3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6146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</w:tr>
      <w:tr>
        <w:tc>
          <w:tcPr>
            <w:tcW w:type="dxa" w:w="3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CA1848 LoggerMessage</w:t>
            </w:r>
          </w:p>
        </w:tc>
        <w:tc>
          <w:tcPr>
            <w:tcW w:type="dxa" w:w="6146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 #61 mergeado</w:t>
            </w:r>
          </w:p>
        </w:tc>
      </w:tr>
      <w:tr>
        <w:tc>
          <w:tcPr>
            <w:tcW w:type="dxa" w:w="3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E8F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Biblioteca oficial do Estúdio (4 minutas + filtros)</w:t>
            </w:r>
          </w:p>
        </w:tc>
        <w:tc>
          <w:tcPr>
            <w:tcW w:type="dxa" w:w="6146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E8F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 #62 aberto</w:t>
            </w:r>
          </w:p>
        </w:tc>
      </w:tr>
      <w:tr>
        <w:tc>
          <w:tcPr>
            <w:tcW w:type="dxa" w:w="3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Superadmin por script; hash só no banco</w:t>
            </w:r>
          </w:p>
        </w:tc>
        <w:tc>
          <w:tcPr>
            <w:tcW w:type="dxa" w:w="6146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 #63 aberto</w:t>
            </w:r>
          </w:p>
        </w:tc>
      </w:tr>
      <w:tr>
        <w:tc>
          <w:tcPr>
            <w:tcW w:type="dxa" w:w="3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E8F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Inbox e janela mensal no domínio</w:t>
            </w:r>
          </w:p>
        </w:tc>
        <w:tc>
          <w:tcPr>
            <w:tcW w:type="dxa" w:w="6146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E8F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 #63 — sem HTTP</w:t>
            </w:r>
          </w:p>
        </w:tc>
      </w:tr>
      <w:tr>
        <w:tc>
          <w:tcPr>
            <w:tcW w:type="dxa" w:w="3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Lockout 5/15 e ValidateProposal(today)</w:t>
            </w:r>
          </w:p>
        </w:tc>
        <w:tc>
          <w:tcPr>
            <w:tcW w:type="dxa" w:w="6146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domínio</w:t>
            </w:r>
          </w:p>
        </w:tc>
      </w:tr>
      <w:tr>
        <w:tc>
          <w:tcPr>
            <w:tcW w:type="dxa" w:w="3600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E8F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Allowlist nda/services/amendment/supply/lease</w:t>
            </w:r>
          </w:p>
        </w:tc>
        <w:tc>
          <w:tcPr>
            <w:tcW w:type="dxa" w:w="6146"/>
            <w:tcBorders>
              <w:top w:val="single" w:color="D0D5DA" w:sz="4"/>
              <w:left w:val="single" w:color="D0D5DA" w:sz="4"/>
              <w:bottom w:val="single" w:color="D0D5DA" w:sz="4"/>
              <w:right w:val="single" w:color="D0D5DA" w:sz="4"/>
            </w:tcBorders>
            <w:shd w:fill="E8F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OfficialContractTemplates</w:t>
            </w:r>
          </w:p>
        </w:tc>
      </w:tr>
    </w:tbl>
    <w:p>
      <w:pPr>
        <w:spacing w:after="140" w:before="16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Login continua consultando odca.users.password_hash. Development: admin@odca.local / OdcaAdmin#2026Local via script.</w:t>
      </w:r>
    </w:p>
    <w:p>
      <w:pPr>
        <w:pStyle w:val="Heading1"/>
        <w:pBdr>
          <w:bottom w:val="single" w:color="0F6C73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A4B"/>
          <w:sz w:val="32"/>
          <w:szCs w:val="32"/>
        </w:rPr>
        <w:t xml:space="preserve">2. Próxima evolução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Não é editor visual, PDF, OCR ou cobrança. É a jornada autenticada em quatro eixos: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Funcionalidades — caixa, agenda do mês e ficha HTTP/BFF.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Regras — próprio vs tenant; aditivo na janela de 3 meses ou término alterado; revisão aberta bloqueia minuta primária.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Contexto — tenant na URL, SET LOCAL na mesma transação, fuso da organização, bearer no BFF, antiforgery.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Template — ContractWorkspacePolicy recomenda a minuta; POST idempotente da biblioteca oficial.</w:t>
      </w:r>
    </w:p>
    <w:p>
      <w:pPr>
        <w:pStyle w:val="Heading1"/>
        <w:pBdr>
          <w:bottom w:val="single" w:color="0F6C73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A4B"/>
          <w:sz w:val="32"/>
          <w:szCs w:val="32"/>
        </w:rPr>
        <w:t xml:space="preserve">3. Prompt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Base codex/s00-foundation após #62/#63. Branch feat/contract-sheet-agenda-inbox. Copiar este pacote. Manter OperationalInbox, MonthlyAgendaWindow e OfficialContractTemplates. Sem tabela odca.tasks.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GET .../inbox com Rank. GET .../agenda só ForMonth. GET .../contracts/{id}/sheet com minutas sugeridas.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BFF /caixa /agenda /contratos/{id}. POST biblioteca-oficial com antiforgery.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Testes OperationalInboxServiceTests e ContractWorkspacePolicyTests.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F6C73"/>
          <w:sz w:val="26"/>
          <w:szCs w:val="26"/>
        </w:rPr>
        <w:t xml:space="preserve">Não quebrar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Login no banco; falha genérica.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Senha 12+ com maiúscula, minúscula, dígito e símbolo.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Produção: must_change_password + MFA de superadmin se configurado.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--allow-immediate-login só em Development.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RLS + SET LOCAL. Sem BYPASSRLS. Bearer fora do JavaScript.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Intenção de renovação ≠ extensão de vigência.</w:t>
      </w:r>
    </w:p>
    <w:p>
      <w:pPr>
        <w:pStyle w:val="Heading1"/>
        <w:pBdr>
          <w:bottom w:val="single" w:color="0F6C73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A4B"/>
          <w:sz w:val="32"/>
          <w:szCs w:val="32"/>
        </w:rPr>
        <w:t xml:space="preserve">4. Código no zip</w:t>
      </w:r>
    </w:p>
    <w:p>
      <w:pPr>
        <w:spacing w:after="140" w:before="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Contratos, serviços, repositórios Dapper, controller API, BFF, views e testes. DI: AddOdcaOperationalInbox(). Cliente: métodos em OdcaApiClient.Operations.fragment.cs.</w:t>
      </w:r>
    </w:p>
    <w:p>
      <w:pPr>
        <w:spacing w:after="140" w:before="80" w:line="276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Classe nova central: ContractWorkspacePolicy + OfficialTemplateRecommendation. A ficha lista as minutas e oferece instalar a biblioteca oficial se a permissão existir.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C6570"/>
        <w:sz w:val="16"/>
        <w:szCs w:val="16"/>
      </w:rPr>
      <w:t xml:space="preserve">p. </w:t>
    </w:r>
    <w:r>
      <w:rPr>
        <w:rFonts w:ascii="Calibri" w:cs="Calibri" w:eastAsia="Calibri" w:hAnsi="Calibri"/>
        <w:color w:val="5C65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b/>
        <w:bCs/>
        <w:color w:val="1B3A4B"/>
        <w:sz w:val="16"/>
        <w:szCs w:val="16"/>
      </w:rPr>
      <w:t xml:space="preserve">ODCA Solutions</w:t>
    </w:r>
    <w:r>
      <w:rPr>
        <w:rFonts w:ascii="Calibri" w:cs="Calibri" w:eastAsia="Calibri" w:hAnsi="Calibri"/>
        <w:color w:val="5C6570"/>
        <w:sz w:val="16"/>
        <w:szCs w:val="16"/>
      </w:rPr>
      <w:t xml:space="preserve">  ·  Análise e próximo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2026-09-17T21:58:04.431Z</dcterms:created>
  <dcterms:modified xsi:type="dcterms:W3CDTF">2026-09-17T21:58:04.431Z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