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115.0" w:type="dxa"/>
        <w:tblLayout w:type="fixed"/>
        <w:tblLook w:val="0400"/>
      </w:tblPr>
      <w:tblGrid>
        <w:gridCol w:w="1035"/>
        <w:gridCol w:w="2775"/>
        <w:gridCol w:w="1665"/>
        <w:gridCol w:w="2025"/>
        <w:gridCol w:w="1320"/>
        <w:gridCol w:w="1695"/>
        <w:tblGridChange w:id="0">
          <w:tblGrid>
            <w:gridCol w:w="1035"/>
            <w:gridCol w:w="2775"/>
            <w:gridCol w:w="1665"/>
            <w:gridCol w:w="2025"/>
            <w:gridCol w:w="1320"/>
            <w:gridCol w:w="1695"/>
          </w:tblGrid>
        </w:tblGridChange>
      </w:tblGrid>
      <w:tr>
        <w:trPr>
          <w:cantSplit w:val="1"/>
          <w:trHeight w:val="200" w:hRule="atLeast"/>
          <w:tblHeader w:val="0"/>
        </w:trPr>
        <w:tc>
          <w:tcPr>
            <w:gridSpan w:val="6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1.0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Lopez / Luis Salazar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Chumacero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Product Owner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Sponsor </w:t>
            </w:r>
            <w:r>
              <w:rPr>
                <w:highlight w:val="yellow"/>
                <w:b w:val="0"/>
                <w:bCs w:val="0"/>
                <w:sz w:val="20"/>
                <w:szCs w:val="20"/>
                <w:rtl w:val="0"/>
              </w:rPr>
              <w:t>propuesto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12/10/2026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Emisión inicial de NewBit</w:t>
            </w:r>
          </w:p>
        </w:tc>
      </w:tr>
    </w:tbl>
    <w:p w:rsidR="00000000" w:rsidDel="00000000" w:rsidP="00000000" w:rsidRDefault="00000000" w:rsidRPr="00000000" w14:paraId="00000014">
      <w:pPr>
        <w:pStyle w:val="Title"/>
        <w:spacing w:after="16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PY-NB-001 – NewBit: plataforma de Computer Vision que convierte cámaras existentes en sensores inteligentes configurables para operaciones industriales</w:t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NewBit es una plataforma de Computer Vision que convierte cámaras existentes en sensores inteligentes configurables para operaciones industriales. Las inspecciones de seguridad no cubren todo el turno y las cámaras de vigilancia graban, pero no avisan cuando ocurre una conducta insegura.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Como primera capacidad, NewBit detectará conductas inseguras en video. Para ello replica, a pequeña escala y de forma trazable, la investigación Unsafe-Net (Önal y Dandıl, 2024): YOLOv4 detecta personas y objetos y descarta los frames sin interés, y un modelo ConvLSTM analiza la secuencia restante para clasificar la conducta.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El resultado se muestra en una interfaz con registro y alerta para que un supervisor de Seguridad y Salud en el Trabajo (SST) valide y decida. Es un prototipo académico de apoyo: no reemplaza la supervisión humana ni el sistema de gestión de SST.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DE REQUISITOS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>Requisitos funcionales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RF-01: cargar clips de video en formato MP4.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RF-02: detectar personas y objetos de interés frame a frame con YOLOv4.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RF-03: conservar solo los frames relevantes según una regla explícita y configurable.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RF-04: agrupar los frames conservados en secuencias.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RF-05: clasificar cada secuencia con ConvLSTM como conducta segura o insegura.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RF-06: registrar por clip el archivo, la clase, la confianza, el tiempo de proceso, los frames originales y los conservados.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RF-07: mostrar una alerta visual (y sonora simulada) cuando se detecte una conducta insegura.</w:t>
            </w:r>
          </w:p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>Requisitos no funcionales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Reproducibilidad: configuración versionada, semillas fijas cuando sea posible y checkpoints del modelo.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Separación estricta entre entrenamiento y prueba con el split oficial del dataset; el conjunto de prueba no se modifica.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Métricas por clase y registro de tiempos de procesamiento.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Uso del dataset con atribución, según su licencia CC BY 4.0.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Sin reconocimiento facial ni identificación de personas.</w:t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GENERAL DEL PROYECTO LÍMITES Y ENTREGABLES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El proyecto comprende el análisis de la investigación base (Unsafe-Net) y de su dataset, la construcción del primer módulo de NewBit como réplica pequeña y fiel de esa investigación, y su evaluación comparativa.</w:t>
            </w:r>
          </w:p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>Alcance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 xml:space="preserve">- Conductas: Safe Walkway Violation (caminar fuera de la vía peatonal) y Opened Panel Cover (panel abierto), con sus clases seguras de contraste; ampliable a las cuatro conductas inseguras si el tiempo lo permite. </w:t>
            </w:r>
            <w:r>
              <w:rPr>
                <w:highlight w:val="yellow"/>
                <w:rtl w:val="0"/>
              </w:rPr>
              <w:t>POR CONFIRMAR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Datos: Video Dataset for Safe and Unsafe Behaviours (Mendeley Data, DOI 10.17632/xjmtb22pff.1, CC BY 4.0), con su división oficial de entrenamiento y prueba.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Comparación: ConvLSTM aplicado directamente a los clips (línea base) frente a YOLOv4 + ConvLSTM (Unsafe-Net reducido).</w:t>
            </w:r>
          </w:p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>Límites (fuera del alcance)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Instalación en una planta real, cámaras en vivo y hardware de alerta físico.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Reconocimiento facial o identificación de trabajadores.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Certificación o validación oficial de SST; no se afirmará reducción de accidentes.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Alcanzar el 95.81 % del artículo: es una referencia, no una meta.</w:t>
            </w:r>
          </w:p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>Entregables clave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Documentos de gestión: Acta, Registro de Stakeholders, Roles y Prototipos, Épicas, Backlog priorizado, Criterios de Terminado y Cierre.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Subconjunto de frames anotados y modelo YOLOv4 entrenado.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Modelo ConvLSTM (línea base y con filtrado) con métricas por clase.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Prototipo con interfaz, registro de detecciones y alerta simulada.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Informe técnico con resultados, diferencias con el artículo y decisiones no documentadas por los autores.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RIESGOS GENERALES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- Parámetros incompletos en el artículo (ConvLSTM, selección de frames): cada valor propio se documentará como decisión de la réplica.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No hay código oficial: se implementará con bibliotecas abiertas y se registrarán las diferencias.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GPU y tiempo de entrenamiento limitados: trabajar con un subconjunto de clases y usar Colab o GPU local, con una bolsa de cómputo en la nube.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Etiquetado de frames más lento de lo previsto: limitar la muestra y priorizar las clases elegidas.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Espacio en disco (30–50 GB entre videos, frames y checkpoints): usar almacenamiento externo o en la nube.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Cambio de dominio: el dataset proviene de una sola fábrica y dos cámaras; los resultados no se generalizan a otras plantas.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Equipo de tres integrantes frente al modelo de 1 PO + 1 SM + 3 Developers: el Scrum Master también es Developer; se controla con time-boxing y revisión por pares entre los dos Developers.</w:t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15.0" w:type="dxa"/>
        <w:tblLayout w:type="fixed"/>
        <w:tblLook w:val="0400"/>
      </w:tblPr>
      <w:tblGrid>
        <w:gridCol w:w="7488"/>
        <w:gridCol w:w="1512"/>
        <w:gridCol w:w="1512"/>
        <w:tblGridChange w:id="0">
          <w:tblGrid>
            <w:gridCol w:w="7488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CRONOGRAMA DE HITOS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Hitos y resultado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Pivote, acta y formatos de gestión iniciales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05/10/2026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16/10/2026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1: dataset, subconjunto de clases, entorno de trabajo y anotación de frames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19/10/2026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30/10/2026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2: entrenamiento de YOLOv4, filtrado de frames y segmentación de clips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02/11/2026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13/11/2026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3: línea base ConvLSTM, Unsafe-Net reducido (YOLOv4 + ConvLSTM) y comparación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16/11/2026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27/11/2026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Sprint 4: interfaz, registro, alerta simulada, pruebas e informe técnico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30/11/2026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11/12/2026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Entrega, revisión final y cierre del 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14/12/2026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18/12/2026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 xml:space="preserve">Duración: 11 semanas calendario (05/10/2026 – 18/12/2026), con 4 sprints de dos semanas. </w:t>
      </w:r>
      <w:r>
        <w:rPr>
          <w:highlight w:val="yellow"/>
          <w:b w:val="0"/>
          <w:bCs w:val="0"/>
          <w:rtl w:val="0"/>
        </w:rPr>
        <w:t>POR CONFIRMAR: fechas según el calendario del semestre 2026-II.</w:t>
      </w:r>
    </w:p>
    <w:tbl>
      <w:tblPr>
        <w:tblStyle w:val="Table8"/>
        <w:tblW w:w="10512.0" w:type="dxa"/>
        <w:jc w:val="left"/>
        <w:tblInd w:w="-115.0" w:type="dxa"/>
        <w:tblLayout w:type="fixed"/>
        <w:tblLook w:val="0400"/>
      </w:tblPr>
      <w:tblGrid>
        <w:gridCol w:w="5256"/>
        <w:gridCol w:w="3384"/>
        <w:gridCol w:w="1872"/>
        <w:tblGridChange w:id="0">
          <w:tblGrid>
            <w:gridCol w:w="5256"/>
            <w:gridCol w:w="3384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 FINANCIEROS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Monto 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Chumacero (Product Owner): priorización, criterios de aceptación y revisión de incrementos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100 h × S/ 35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3,500.00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Lopez (Scrum Master y Developer): coordinación, interfaz, integración y pruebas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200 h × S/ 35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7,000.00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Luis Salazar (Developer): datos, YOLOv4 y ConvLSTM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200 h × S/ 35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7,000.00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Cómputo GPU en la nube (Colab Pro u otro)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2 meses × S/ 40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80.00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Almacenamiento para videos, frames y checkpoints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 lote estimado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150.00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Impresión y anillado de entregables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 lote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50.00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Dataset (Mendeley Data, CC BY 4.0)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Licencia abierta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Portátiles y software abierto (Python, PyTorch, Darknet, LabelImg)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Recursos existentes / sin compra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Subtotal base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17,780.00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Reserva de contingencia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10 % del subtotal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1,778.00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TOTAL ESTIMADO DEL 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19,558.00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 xml:space="preserve">Presupuesto estimado del proyecto: S/ 19,558. Incluye S/ 17,500 de dedicación valorizada de los tres integrantes; el gasto en efectivo previsto es de S/ 280 más la contingencia. </w:t>
      </w:r>
      <w:r>
        <w:rPr>
          <w:highlight w:val="yellow"/>
          <w:b w:val="0"/>
          <w:bCs w:val="0"/>
          <w:rtl w:val="0"/>
        </w:rPr>
        <w:t>POR CONFIRMAR: tarifas y precios referenciales.</w:t>
      </w:r>
    </w:p>
    <w:p>
      <w:pPr>
        <w:rPr/>
      </w:pPr>
      <w:r>
        <w:rPr>
          <w:b w:val="0"/>
          <w:bCs w:val="0"/>
          <w:rtl w:val="0"/>
        </w:rPr>
        <w:t>Bases: 20 horas por semana por Developer y 10 horas por semana del Product Owner durante 10 semanas; 500 horas totales. Importes referenciales al 12/10/2026, sin cotización formal.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-115.0" w:type="dxa"/>
        <w:tblLayout w:type="fixed"/>
        <w:tblLook w:val="0400"/>
      </w:tblPr>
      <w:tblGrid>
        <w:gridCol w:w="3672"/>
        <w:gridCol w:w="6840"/>
        <w:tblGridChange w:id="0">
          <w:tblGrid>
            <w:gridCol w:w="3672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LISTA DE INTERESADOS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 y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Sebastian Chumacero Chávarry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Product Owner. Prioriza el backlog, define los criterios de aceptación y acepta o rechaza los incrementos.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Gabriel Lopez Yrribarren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Scrum Master y Developer. Facilita los eventos Scrum, elimina impedimentos e implementa la interfaz, el registro, la integración del pipeline y las pruebas.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Luis Fernando Salazar Diaz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Developer. Prepara los datos y entrena y evalúa YOLOv4 y ConvLSTM.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Sponsor propuesto; gerente de operaciones de la organización del caso. Autoriza el proyecto y resuelve recursos.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Mariana Torres Cárdenas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Representante propuesta de SST. Define qué conductas importan y valida la utilidad de las alertas.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Jorge Ponce Aguilar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Representante propuesto de TI. Revisa infraestructura, almacenamiento y seguridad de la información.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Dr. Alfredo Daza Vergaray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Docente del curso. Revisa los entregables y su coherencia con Scrum.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Supervisores y trabajadores de planta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Usuarios y personas observadas. Aportan contexto operativo y validan que las alertas sean útiles.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 xml:space="preserve">El equipo Scrum está formado por tres estudiantes del curso. Los representantes institucionales (Sponsor, SST, TI) y sus cargos son ficticios para este caso académico. Organización del caso: SIDERPERU (propuesta). </w:t>
      </w:r>
      <w:r>
        <w:rPr>
          <w:highlight w:val="yellow"/>
          <w:b w:val="0"/>
          <w:bCs w:val="0"/>
          <w:rtl w:val="0"/>
        </w:rPr>
        <w:t>POR CONFIRMAR: organización del caso.</w:t>
      </w:r>
      <w:r>
        <w:rPr>
          <w:b w:val="0"/>
          <w:bCs w:val="0"/>
          <w:rtl w:val="0"/>
        </w:rPr>
        <w:t xml:space="preserve"> El prototipo se entrena con un dataset público de otra planta; no se usará video de la organización.</w:t>
      </w:r>
    </w:p>
    <w:tbl>
      <w:tblPr>
        <w:tblStyle w:val="Table10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DE APROBACIÓN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El éxito se acreditará con una demostración del prototipo y el informe técnico, revisados por el Product Owner y el docente. Criterios: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Implementa el pipeline completo: video → YOLOv4 → selección de frames → ConvLSTM → registro y alerta.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Separa la etapa espacial (detección) de la temporal (clasificación).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Demuestra con datos la reducción de frames por secuencia.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Compara la línea base (ConvLSTM directo) con YOLOv4 + ConvLSTM mediante métricas por clase y tiempos.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Explica las diferencias con el artículo y documenta las decisiones que los autores no especificaron.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Los resultados se pueden reproducir con la configuración versionada del repositorio.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No es requisito alcanzar el 95.81 % reportado por los autores. Aprueban el Product Owner y el Sponsor propuesto, con revisión académica del docente.</w:t>
            </w:r>
          </w:p>
        </w:tc>
      </w:tr>
    </w:tbl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CULMINACIÓN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>- Cierre normal: entregables aceptados, métricas e informe documentados, y repositorio con código, configuración y resultados.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Cierre con alcance reducido: si el cómputo o el tiempo resultan insuficientes, se cierra con una sola conducta y la línea base, con el análisis documentado.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>- Cancelación: por decisión del Sponsor o del docente; se entrega lo avanzado con su documentación.</w:t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Ind w:w="-115.0" w:type="dxa"/>
        <w:tblLayout w:type="fixed"/>
        <w:tblLook w:val="0400"/>
      </w:tblPr>
      <w:tblGrid>
        <w:gridCol w:w="2592"/>
        <w:gridCol w:w="2880"/>
        <w:gridCol w:w="5040"/>
        <w:tblGridChange w:id="0">
          <w:tblGrid>
            <w:gridCol w:w="2592"/>
            <w:gridCol w:w="288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DESIGNACIÓN DEL PRODUCT OWNER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Niveles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Sebastian Chumacero Chávarry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Sponsor propuesto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Prioriza el backlog, define los criterios de aceptación y acepta o rechaza incrementos. No cambia el alcance (conductas, dataset) sin acuerdo del Sponsor y del equipo.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El equipo comunica avances semanalmente y revisa incrementos al final de cada uno de los 4 sprints de dos semanas. Los cambios de conductas, dataset o alcance se registran en el control de versiones del acta.</w:t>
      </w:r>
    </w:p>
    <w:tbl>
      <w:tblPr>
        <w:tblStyle w:val="Table13"/>
        <w:tblW w:w="10512.0" w:type="dxa"/>
        <w:jc w:val="left"/>
        <w:tblInd w:w="-115.0" w:type="dxa"/>
        <w:tblLayout w:type="fixed"/>
        <w:tblLook w:val="0400"/>
      </w:tblPr>
      <w:tblGrid>
        <w:gridCol w:w="2880"/>
        <w:gridCol w:w="2160"/>
        <w:gridCol w:w="3600"/>
        <w:gridCol w:w="1872"/>
        <w:tblGridChange w:id="0">
          <w:tblGrid>
            <w:gridCol w:w="2880"/>
            <w:gridCol w:w="2160"/>
            <w:gridCol w:w="3600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SPONSOR QUE AUTORIZA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del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 Paredes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SIDERPERU (caso propuesto)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Gerente de operaciones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12/10/2026</w:t>
            </w:r>
          </w:p>
        </w:tc>
      </w:tr>
    </w:tbl>
    <w:p>
      <w:pPr>
        <w:rPr/>
      </w:pPr>
      <w:r>
        <w:rPr>
          <w:b w:val="0"/>
          <w:bCs w:val="0"/>
          <w:rtl w:val="0"/>
        </w:rPr>
        <w:t>Estado de autorización: propuesta académica para revisión del equipo y del docente. Los nombres institucionales son ficticios y no expresan un vínculo real con la organización.</w:t>
      </w:r>
    </w:p>
    <w:sectPr>
      <w:headerReference r:id="rId7" w:type="default"/>
      <w:footerReference r:id="rId8" w:type="default"/>
      <w:pgSz w:h="15840" w:w="12240" w:orient="portrait"/>
      <w:pgMar w:bottom="864" w:top="936" w:left="864" w:right="864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Proyecto NewBit | Plataforma de Computer Vision para operaciones industriales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EGAP010 - Acta de Constitución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bpzyzGniJfhSIshsK/qOH5U+Q==">CgMxLjAaHQoBMBIYChYIB0ISEhBBcmlhbCBVbmljb2RlIE1TOAByITFpWDJlb3FoRWs4VDkyeXlCblI4bGRFdnFEVWM4ZUNWeg==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