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515.0" w:type="dxa"/>
        <w:jc w:val="left"/>
        <w:tblInd w:w="-115.0" w:type="dxa"/>
        <w:tblLayout w:type="fixed"/>
        <w:tblLook w:val="0400"/>
      </w:tblPr>
      <w:tblGrid>
        <w:gridCol w:w="1035"/>
        <w:gridCol w:w="2475"/>
        <w:gridCol w:w="1665"/>
        <w:gridCol w:w="2025"/>
        <w:gridCol w:w="1620"/>
        <w:gridCol w:w="1695"/>
        <w:tblGridChange w:id="0">
          <w:tblGrid>
            <w:gridCol w:w="1035"/>
            <w:gridCol w:w="2475"/>
            <w:gridCol w:w="1665"/>
            <w:gridCol w:w="2025"/>
            <w:gridCol w:w="1620"/>
            <w:gridCol w:w="1695"/>
          </w:tblGrid>
        </w:tblGridChange>
      </w:tblGrid>
      <w:tr>
        <w:trPr>
          <w:cantSplit w:val="1"/>
          <w:trHeight w:val="200" w:hRule="atLeast"/>
          <w:tblHeader w:val="0"/>
        </w:trPr>
        <w:tc>
          <w:tcPr>
            <w:gridSpan w:val="6"/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8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9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Hecho 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A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Revisado 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B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Aprobado 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C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D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Motivo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1.0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Anthony Lopez / Luis Salazar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Albert Chumacero</w:t>
            </w:r>
          </w:p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Product Owner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Ricardo Salcedo</w:t>
            </w:r>
          </w:p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Sponsor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12/10/2026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Emisión inicial de NewBit</w:t>
            </w:r>
          </w:p>
        </w:tc>
      </w:tr>
    </w:tbl>
    <w:p w:rsidR="00000000" w:rsidDel="00000000" w:rsidP="00000000" w:rsidRDefault="00000000" w:rsidRPr="00000000" w14:paraId="00000014">
      <w:pPr>
        <w:pStyle w:val="Title"/>
        <w:spacing w:after="160" w:lineRule="auto"/>
        <w:jc w:val="center"/>
        <w:rPr/>
      </w:pPr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ACTA DE CONSTITUCIÓN DEL PROYECTO</w:t>
      </w:r>
      <w:r w:rsidDel="00000000" w:rsidR="00000000" w:rsidRPr="00000000">
        <w:rPr>
          <w:rtl w:val="0"/>
        </w:rPr>
      </w:r>
    </w:p>
    <w:tbl>
      <w:tblPr>
        <w:tblStyle w:val="Table2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15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CÓDIGO Y NOMBRE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>PY-NB-001 – NewBit: plataforma de Computer Vision que convierte cámaras existentes en sensores inteligentes configurables para operaciones industriales</w:t>
            </w:r>
          </w:p>
        </w:tc>
      </w:tr>
    </w:tbl>
    <w:p w:rsidR="00000000" w:rsidDel="00000000" w:rsidP="00000000" w:rsidRDefault="00000000" w:rsidRPr="00000000" w14:paraId="00000017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18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VISIÓN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>NewBit es una plataforma de Computer Vision que convierte las cámaras que una planta ya tiene en sensores inteligentes configurables. En lugar de grabar video que nadie revisa a tiempo, NewBit entiende lo que ocurre frente a la cámara y lo convierte en eventos operativos claros, oportunos y accionables.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Su primera capacidad es la detección automática de conductas inseguras. La mayoría de los accidentes laborales nace de una acción, no de un objeto: alguien que sale de la vía peatonal o un panel eléctrico que queda abierto. Por eso NewBit no analiza fotos aisladas: combina detección de objetos (YOLOv4) con un modelo espacio-temporal (ConvLSTM) que observa la secuencia completa, reconoce la conducta y emite una alerta visual y sonora en segundos.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Así, el supervisor de Seguridad y Salud en el Trabajo (SST) deja de depender de inspecciones esporádicas y pasa a contar con una vigilancia continua que le avisa en el momento en que puede intervenir. NewBit apoya la decisión humana, no la reemplaza, y respeta la privacidad: no identifica personas ni usa reconocimiento facial.</w:t>
            </w:r>
          </w:p>
        </w:tc>
      </w:tr>
    </w:tbl>
    <w:p w:rsidR="00000000" w:rsidDel="00000000" w:rsidP="00000000" w:rsidRDefault="00000000" w:rsidRPr="00000000" w14:paraId="0000001B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1C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DEFINICIÓN DE REQUISITOS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>Requisitos funcionales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RF-01: cargar clips de video en formato MP4.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RF-02: detectar personas y objetos de interés frame a frame con YOLOv4.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RF-03: conservar solo los frames relevantes según una regla explícita y configurable.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RF-04: agrupar los frames conservados en secuencias.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RF-05: clasificar cada secuencia con ConvLSTM como conducta segura o insegura.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RF-06: registrar por clip el archivo, la clase, la confianza, el tiempo de proceso, los frames originales y los conservados.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RF-07: mostrar una alerta visual y sonora cuando se detecte una conducta insegura.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>Requisitos no funcionales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Reproducibilidad: configuración versionada, semillas fijas cuando sea posible y checkpoints del modelo.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Separación estricta entre entrenamiento y prueba con el split oficial del dataset; el conjunto de prueba no se modifica.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Métricas por clase y registro de tiempos de procesamiento.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Uso del dataset con atribución, según su licencia CC BY 4.0.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Privacidad por diseño: sin reconocimiento facial ni identificación de personas.</w:t>
            </w:r>
          </w:p>
        </w:tc>
      </w:tr>
    </w:tbl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5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2A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 GENERAL DEL PROYECTO LÍMITES Y ENTREGABLES CLAVE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>El proyecto comprende el diseño, la construcción y la evaluación de la primera versión de NewBit: un pipeline completo que recibe video industrial, filtra los frames relevantes, reconoce la conducta y la comunica en una interfaz con registro y alerta.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>Alcance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Conductas de la primera versión: tránsito fuera de la vía peatonal (Safe Walkway Violation) y panel eléctrico abierto (Opened Panel Cover), con sus casos seguros de contraste. La arquitectura queda preparada para incorporar nuevas conductas.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Datos: Video Dataset for Safe and Unsafe Behaviours (Önal y Dandıl, 2024; Mendeley Data, DOI 10.17632/xjmtb22pff.1, licencia CC BY 4.0), grabado en una planta industrial real, con su división oficial de entrenamiento y prueba.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Evaluación: comparación entre la clasificación temporal directa y el pipeline completo de NewBit (YOLOv4 + ConvLSTM), en precisión y tiempo de procesamiento.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>Límites (fuera del alcance de esta versión)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Instalación en la planta, conexión a cámaras en vivo y dispositivos de alerta físicos.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Reconocimiento facial o identificación de trabajadores.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Certificación oficial de SST; no se afirmará reducción de accidentes sin evidencia.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>Entregables clave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Documentos de gestión: Acta, Registro de Stakeholders, Roles y Prototipos, Épicas, Backlog priorizado, Criterios de Terminado y Cierre.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Conjunto de frames anotados y modelo YOLOv4 entrenado.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Modelo ConvLSTM entrenado y evaluado, con métricas por clase.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Plataforma NewBit con interfaz, registro de detecciones y alerta.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Informe técnico con resultados, métricas y decisiones de diseño.</w:t>
            </w:r>
          </w:p>
        </w:tc>
      </w:tr>
    </w:tbl>
    <w:p w:rsidR="00000000" w:rsidDel="00000000" w:rsidP="00000000" w:rsidRDefault="00000000" w:rsidRPr="00000000" w14:paraId="0000003B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3C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RIESGOS GENERALES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>- Ajuste del modelo temporal (longitud de secuencia, capas, hiperparámetros): experimentación controlada y registro de cada configuración.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Implementación propia del pipeline completo: uso de bibliotecas abiertas y probadas, y revisión por pares del código.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GPU y tiempo de entrenamiento limitados: priorizar las conductas de la primera versión y usar Colab o GPU local, con una bolsa de cómputo en la nube.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Etiquetado de frames más lento de lo previsto: muestreo representativo y priorización de las clases elegidas.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Espacio en disco (30–50 GB entre videos, frames y checkpoints): almacenamiento externo o en la nube.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Cambio de entorno: los datos provienen de una planta y dos cámaras; la adaptación a otras plantas se planifica como evolución.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Equipo de tres integrantes frente al modelo de 1 PO + 1 SM + 3 Developers: el Scrum Master también es Developer; se controla con time-boxing y revisión por pares entre los dos Developers.</w:t>
            </w:r>
          </w:p>
        </w:tc>
      </w:tr>
    </w:tbl>
    <w:p w:rsidR="00000000" w:rsidDel="00000000" w:rsidP="00000000" w:rsidRDefault="00000000" w:rsidRPr="00000000" w14:paraId="0000004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7"/>
        <w:tblW w:w="10512.0" w:type="dxa"/>
        <w:jc w:val="left"/>
        <w:tblInd w:w="-115.0" w:type="dxa"/>
        <w:tblLayout w:type="fixed"/>
        <w:tblLook w:val="0400"/>
      </w:tblPr>
      <w:tblGrid>
        <w:gridCol w:w="7488"/>
        <w:gridCol w:w="1512"/>
        <w:gridCol w:w="1512"/>
        <w:tblGridChange w:id="0">
          <w:tblGrid>
            <w:gridCol w:w="7488"/>
            <w:gridCol w:w="1512"/>
            <w:gridCol w:w="1512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45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CRONOGRAMA DE HITOS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46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Hitos y resultado verificable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47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48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Inicio del proyecto, acta y formatos de gestión iniciales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05/10/2026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16/10/2026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Sprint 1: dataset, conductas de la primera versión, entorno de trabajo y anotación de frames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19/10/2026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30/10/2026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Sprint 2: entrenamiento de YOLOv4, filtrado de frames y segmentación de clips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02/11/2026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13/11/2026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Sprint 3: modelo ConvLSTM, pipeline completo YOLOv4 + ConvLSTM y evaluación comparativa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16/11/2026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27/11/2026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Sprint 4: interfaz, registro, alerta, pruebas integradas e informe técnico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30/11/2026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11/12/2026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Entrega, revisión final y cierre del proyecto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14/12/2026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18/12/2026</w:t>
            </w:r>
          </w:p>
        </w:tc>
      </w:tr>
    </w:tbl>
    <w:p>
      <w:pPr>
        <w:rPr/>
      </w:pPr>
      <w:r>
        <w:rPr>
          <w:b w:val="0"/>
          <w:bCs w:val="0"/>
          <w:rtl w:val="0"/>
        </w:rPr>
        <w:t>Duración: 11 semanas calendario (05/10/2026 – 18/12/2026), con 4 sprints de dos semanas.</w:t>
      </w:r>
    </w:p>
    <w:tbl>
      <w:tblPr>
        <w:tblStyle w:val="Table8"/>
        <w:tblW w:w="10512.0" w:type="dxa"/>
        <w:jc w:val="left"/>
        <w:tblInd w:w="-115.0" w:type="dxa"/>
        <w:tblLayout w:type="fixed"/>
        <w:tblLook w:val="0400"/>
      </w:tblPr>
      <w:tblGrid>
        <w:gridCol w:w="5256"/>
        <w:gridCol w:w="3384"/>
        <w:gridCol w:w="1872"/>
        <w:tblGridChange w:id="0">
          <w:tblGrid>
            <w:gridCol w:w="5256"/>
            <w:gridCol w:w="3384"/>
            <w:gridCol w:w="1872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65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RECURSOS FINANCIEROS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66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Concepto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67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Base de cálculo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68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Monto S/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Albert Chumacero (Product Owner): priorización, criterios de aceptación y revisión de incrementos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100 h × S/ 40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4,000.00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Anthony Lopez (Scrum Master y Developer): coordinación, interfaz, integración y pruebas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200 h × S/ 38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7,600.00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Luis Salazar (Developer): datos, YOLOv4 y ConvLSTM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200 h × S/ 35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7,000.00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Cómputo GPU en la nube (Colab Pro u otro)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2 meses × S/ 40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80.00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Almacenamiento para videos, frames y checkpoints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 lote estimado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150.00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Impresión y anillado de entregables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 lote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50.00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Dataset (Mendeley Data, CC BY 4.0)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Licencia abierta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Portátiles y software abierto (Python, PyTorch, Darknet, LabelImg)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Recursos existentes / sin compra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Subtotal base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18,880.00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Reserva de contingencia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10 % del subtotal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1,888.00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TOTAL ESTIMADO DEL PROYECTO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20,768.00</w:t>
            </w:r>
          </w:p>
        </w:tc>
      </w:tr>
    </w:tbl>
    <w:p>
      <w:pPr>
        <w:rPr/>
      </w:pPr>
      <w:r>
        <w:rPr>
          <w:b w:val="0"/>
          <w:bCs w:val="0"/>
          <w:rtl w:val="0"/>
        </w:rPr>
        <w:t>Presupuesto estimado del proyecto: S/ 20,768. Incluye S/ 18,600 de dedicación valorizada de los tres integrantes; el gasto en efectivo previsto es de S/ 280 más la contingencia.</w:t>
      </w:r>
    </w:p>
    <w:p>
      <w:pPr>
        <w:rPr/>
      </w:pPr>
      <w:r>
        <w:rPr>
          <w:b w:val="0"/>
          <w:bCs w:val="0"/>
          <w:rtl w:val="0"/>
        </w:rPr>
        <w:t>Bases: 20 horas por semana por Developer y 10 horas por semana del Product Owner durante 10 semanas; 500 horas totales. Importes referenciales al 12/10/2026, sin cotización formal.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9"/>
        <w:tblW w:w="10512.0" w:type="dxa"/>
        <w:jc w:val="left"/>
        <w:tblInd w:w="-115.0" w:type="dxa"/>
        <w:tblLayout w:type="fixed"/>
        <w:tblLook w:val="0400"/>
      </w:tblPr>
      <w:tblGrid>
        <w:gridCol w:w="3672"/>
        <w:gridCol w:w="6840"/>
        <w:tblGridChange w:id="0">
          <w:tblGrid>
            <w:gridCol w:w="3672"/>
            <w:gridCol w:w="684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93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LISTA DE INTERESADOS CLAVE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94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Interesado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95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Rol y responsabilidad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Albert Sebastian Chumacero Chávarry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Product Owner. Prioriza el backlog, define los criterios de aceptación y acepta o rechaza los incrementos.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Anthony Gabriel Lopez Yrribarren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Scrum Master y Developer. Facilita los eventos Scrum, elimina impedimentos e implementa la interfaz, el registro, la integración del pipeline y las pruebas.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Luis Fernando Salazar Diaz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Developer. Prepara los datos y entrena y evalúa los modelos YOLOv4 y ConvLSTM.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Ricardo Salcedo Paredes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Sponsor; gerente de operaciones de SIDERPERU. Autoriza el proyecto y resuelve recursos.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Mariana Torres Cárdenas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Representante de SST. Define qué conductas importan y valida la utilidad de las alertas.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Jorge Ponce Aguilar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Representante de TI. Revisa infraestructura, almacenamiento y seguridad de la información.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Dr. Alfredo Daza Vergaray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Docente del curso. Revisa los entregables y su coherencia con Scrum.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Supervisores y trabajadores de planta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Usuarios y personas observadas. Aportan contexto operativo y validan que las alertas sean útiles.</w:t>
            </w:r>
          </w:p>
        </w:tc>
      </w:tr>
    </w:tbl>
    <w:p>
      <w:pPr>
        <w:rPr/>
      </w:pPr>
      <w:r>
        <w:rPr>
          <w:b w:val="0"/>
          <w:bCs w:val="0"/>
          <w:rtl w:val="0"/>
        </w:rPr>
        <w:t>El equipo Scrum está formado por tres estudiantes del curso. Organización del caso: SIDERPERU (caso académico propuesto). Los representantes institucionales (Sponsor, SST, TI) y sus cargos son ficticios; no expresan un vínculo real con la empresa ni se usará video de sus instalaciones.</w:t>
      </w:r>
    </w:p>
    <w:tbl>
      <w:tblPr>
        <w:tblStyle w:val="Table10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A5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REQUISITOS DE APROBACIÓN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>El éxito se acreditará con una demostración de NewBit y el informe técnico, revisados por el Product Owner y el docente. Criterios: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Funciona el pipeline completo: video → YOLOv4 → selección de frames → ConvLSTM → registro y alerta.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Las etapas espacial (detección) y temporal (clasificación) están separadas y se pueden evaluar por separado.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Se demuestra con datos la reducción de frames por secuencia y su efecto en el tiempo de procesamiento.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La evaluación compara la clasificación temporal directa con el pipeline completo mediante métricas por clase y tiempos.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Las decisiones técnicas y sus resultados quedan documentados.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Los resultados se pueden reproducir con la configuración versionada del repositorio.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Las metas de desempeño se fijarán con la línea base obtenida en el Sprint 3. Aprueban el Product Owner y el Sponsor, con revisión académica del docente.</w:t>
            </w:r>
          </w:p>
        </w:tc>
      </w:tr>
    </w:tbl>
    <w:p w:rsidR="00000000" w:rsidDel="00000000" w:rsidP="00000000" w:rsidRDefault="00000000" w:rsidRPr="00000000" w14:paraId="000000AE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AF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CRITERIOS DE CULMINACIÓN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>- Cierre normal: entregables aceptados, métricas e informe documentados, y repositorio con código, configuración y resultados.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Cierre con alcance reducido: si el cómputo o el tiempo resultan insuficientes, se cierra con una conducta y su evaluación documentada.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>- Cancelación: por decisión del Sponsor o del docente; se entrega lo avanzado con su documentación.</w:t>
            </w:r>
          </w:p>
        </w:tc>
      </w:tr>
    </w:tbl>
    <w:p w:rsidR="00000000" w:rsidDel="00000000" w:rsidP="00000000" w:rsidRDefault="00000000" w:rsidRPr="00000000" w14:paraId="000000B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2"/>
        <w:tblW w:w="10512.0" w:type="dxa"/>
        <w:jc w:val="left"/>
        <w:tblInd w:w="-115.0" w:type="dxa"/>
        <w:tblLayout w:type="fixed"/>
        <w:tblLook w:val="0400"/>
      </w:tblPr>
      <w:tblGrid>
        <w:gridCol w:w="2592"/>
        <w:gridCol w:w="2880"/>
        <w:gridCol w:w="5040"/>
        <w:tblGridChange w:id="0">
          <w:tblGrid>
            <w:gridCol w:w="2592"/>
            <w:gridCol w:w="2880"/>
            <w:gridCol w:w="504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B4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DESIGNACIÓN DEL PRODUCT OWNER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B5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B6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Reporta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B7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Niveles de autoridad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Albert Sebastian Chumacero Chávarry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Ricardo Salcedo Paredes</w:t>
            </w:r>
          </w:p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Sponsor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Prioriza el backlog, define los criterios de aceptación y acepta o rechaza incrementos. No cambia el alcance (conductas, dataset) sin acuerdo del Sponsor y del equipo.</w:t>
            </w:r>
          </w:p>
        </w:tc>
      </w:tr>
    </w:tbl>
    <w:p>
      <w:pPr>
        <w:rPr/>
      </w:pPr>
      <w:r>
        <w:rPr>
          <w:b w:val="0"/>
          <w:bCs w:val="0"/>
          <w:rtl w:val="0"/>
        </w:rPr>
        <w:t>El equipo comunica avances semanalmente y revisa incrementos al final de cada uno de los 4 sprints de dos semanas. Los cambios de conductas, dataset o alcance se registran en el control de versiones del acta.</w:t>
      </w:r>
    </w:p>
    <w:tbl>
      <w:tblPr>
        <w:tblStyle w:val="Table13"/>
        <w:tblW w:w="10512.0" w:type="dxa"/>
        <w:jc w:val="left"/>
        <w:tblInd w:w="-115.0" w:type="dxa"/>
        <w:tblLayout w:type="fixed"/>
        <w:tblLook w:val="0400"/>
      </w:tblPr>
      <w:tblGrid>
        <w:gridCol w:w="2880"/>
        <w:gridCol w:w="2160"/>
        <w:gridCol w:w="3600"/>
        <w:gridCol w:w="1872"/>
        <w:tblGridChange w:id="0">
          <w:tblGrid>
            <w:gridCol w:w="2880"/>
            <w:gridCol w:w="2160"/>
            <w:gridCol w:w="3600"/>
            <w:gridCol w:w="1872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BC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SPONSOR QUE AUTORIZA 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BD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BE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BF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Cargo propuesto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C0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Fecha del acta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Ricardo Salcedo Paredes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SIDERPERU (caso académico)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Gerente de operaciones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12/10/2026</w:t>
            </w:r>
          </w:p>
        </w:tc>
      </w:tr>
    </w:tbl>
    <w:p>
      <w:pPr>
        <w:rPr/>
      </w:pPr>
      <w:r>
        <w:rPr>
          <w:b w:val="0"/>
          <w:bCs w:val="0"/>
          <w:rtl w:val="0"/>
        </w:rPr>
        <w:t>Estado de autorización: propuesta académica para revisión del docente. Los nombres institucionales son ficticios y no expresan un vínculo real con la organización.</w:t>
      </w:r>
    </w:p>
    <w:sectPr>
      <w:headerReference r:id="rId7" w:type="default"/>
      <w:footerReference r:id="rId8" w:type="default"/>
      <w:pgSz w:h="15840" w:w="12240" w:orient="portrait"/>
      <w:pgMar w:bottom="864" w:top="936" w:left="864" w:right="864" w:header="403" w:footer="40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Proyecto NewBit | Plataforma de Computer Vision para operaciones industriales      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EGAP010 - Acta de Constitución del Proyecto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60" w:line="245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00000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000000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BbpzyzGniJfhSIshsK/qOH5U+Q==">CgMxLjAaHQoBMBIYChYIB0ISEhBBcmlhbCBVbmljb2RlIE1TOAByITFpWDJlb3FoRWs4VDkyeXlCblI4bGRFdnFEVWM4ZUNWeg==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Luis Fernando Elias Salazar Diaz y Anthony Lopez Yrribarren</dc:creator>
</cp:coreProperties>
</file>