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맑은 고딕" w:hAnsi="맑은 고딕" w:eastAsia="맑은 고딕"/>
          <w:b w:val="0"/>
          <w:sz w:val="20"/>
        </w:rPr>
        <w:t>보고서를 작성하기 위해서는 다음과 같은 단계를 거쳐야 합니다: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1. </w:t>
      </w:r>
      <w:r>
        <w:rPr>
          <w:rFonts w:ascii="맑은 고딕" w:hAnsi="맑은 고딕" w:eastAsia="맑은 고딕"/>
          <w:b/>
          <w:sz w:val="20"/>
        </w:rPr>
        <w:t>데이터 수집 및 정제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>- CSV 파일 및 API를 통해 데이터를 수집합니다.</w:t>
      </w:r>
    </w:p>
    <w:p>
      <w:r>
        <w:rPr>
          <w:rFonts w:ascii="맑은 고딕" w:hAnsi="맑은 고딕" w:eastAsia="맑은 고딕"/>
          <w:b w:val="0"/>
          <w:sz w:val="20"/>
        </w:rPr>
        <w:t>- Airflow DAG를 사용하여 데이터를 1시간마다 적재합니다.</w:t>
      </w:r>
    </w:p>
    <w:p>
      <w:r>
        <w:rPr>
          <w:rFonts w:ascii="맑은 고딕" w:hAnsi="맑은 고딕" w:eastAsia="맑은 고딕"/>
          <w:b w:val="0"/>
          <w:sz w:val="20"/>
        </w:rPr>
        <w:t>- 결측치와 이상치를 처리합니다.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2. </w:t>
      </w:r>
      <w:r>
        <w:rPr>
          <w:rFonts w:ascii="맑은 고딕" w:hAnsi="맑은 고딕" w:eastAsia="맑은 고딕"/>
          <w:b/>
          <w:sz w:val="20"/>
        </w:rPr>
        <w:t>데이터 탐색 및 분석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>- 데이터를 탐색적 분석(EDA)하여 인사이트 그래프와 피처 리스트를 생성합니다.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3. </w:t>
      </w:r>
      <w:r>
        <w:rPr>
          <w:rFonts w:ascii="맑은 고딕" w:hAnsi="맑은 고딕" w:eastAsia="맑은 고딕"/>
          <w:b/>
          <w:sz w:val="20"/>
        </w:rPr>
        <w:t>모델링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M1 모델</w:t>
      </w:r>
      <w:r>
        <w:rPr>
          <w:rFonts w:ascii="맑은 고딕" w:hAnsi="맑은 고딕" w:eastAsia="맑은 고딕"/>
          <w:b w:val="0"/>
          <w:sz w:val="20"/>
        </w:rPr>
        <w:t>: LightGBM과 LSTM을 사용하여 7일 lag, 3년 학습, k-fold(5) 튜닝을 수행합니다.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M2 모델</w:t>
      </w:r>
      <w:r>
        <w:rPr>
          <w:rFonts w:ascii="맑은 고딕" w:hAnsi="맑은 고딕" w:eastAsia="맑은 고딕"/>
          <w:b w:val="0"/>
          <w:sz w:val="20"/>
        </w:rPr>
        <w:t>: Temporal Fusion Transformer를 사용하여 1일 솔라이징, 유동인구와 날씨 정보를 활용합니다.</w:t>
      </w:r>
    </w:p>
    <w:p>
      <w:r>
        <w:rPr>
          <w:rFonts w:ascii="맑은 고딕" w:hAnsi="맑은 고딕" w:eastAsia="맑은 고딕"/>
          <w:b w:val="0"/>
          <w:sz w:val="20"/>
        </w:rPr>
        <w:t xml:space="preserve">- </w:t>
      </w:r>
      <w:r>
        <w:rPr>
          <w:rFonts w:ascii="맑은 고딕" w:hAnsi="맑은 고딕" w:eastAsia="맑은 고딕"/>
          <w:b/>
          <w:sz w:val="20"/>
        </w:rPr>
        <w:t>M3 모델</w:t>
      </w:r>
      <w:r>
        <w:rPr>
          <w:rFonts w:ascii="맑은 고딕" w:hAnsi="맑은 고딕" w:eastAsia="맑은 고딕"/>
          <w:b w:val="0"/>
          <w:sz w:val="20"/>
        </w:rPr>
        <w:t>: M1과 M2의 예측 결과를 재배치 알고리즘을 사용하여 통합하고, CatBoost를 사용하여 최종 예측을 수행합니다.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4. </w:t>
      </w:r>
      <w:r>
        <w:rPr>
          <w:rFonts w:ascii="맑은 고딕" w:hAnsi="맑은 고딕" w:eastAsia="맑은 고딕"/>
          <w:b/>
          <w:sz w:val="20"/>
        </w:rPr>
        <w:t>모델 테스트 및 시나리오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>- M3 모델의 결과를 테스트 케이스를 통해 검증합니다.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5. </w:t>
      </w:r>
      <w:r>
        <w:rPr>
          <w:rFonts w:ascii="맑은 고딕" w:hAnsi="맑은 고딕" w:eastAsia="맑은 고딕"/>
          <w:b/>
          <w:sz w:val="20"/>
        </w:rPr>
        <w:t>웹 대시보드 구축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>- Streamlit을 사용하여 웹 대시보드를 배포합니다.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6. </w:t>
      </w:r>
      <w:r>
        <w:rPr>
          <w:rFonts w:ascii="맑은 고딕" w:hAnsi="맑은 고딕" w:eastAsia="맑은 고딕"/>
          <w:b/>
          <w:sz w:val="20"/>
        </w:rPr>
        <w:t>문서 및 발표 준비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>- 기획서 PDF와 PPT를 완성하여 문서와 발표 준비를 합니다.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7. </w:t>
      </w:r>
      <w:r>
        <w:rPr>
          <w:rFonts w:ascii="맑은 고딕" w:hAnsi="맑은 고딕" w:eastAsia="맑은 고딕"/>
          <w:b/>
          <w:sz w:val="20"/>
        </w:rPr>
        <w:t>리스크 관리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>- 실증 데이터 부족, 법적 제약, 도로 정보 불균형 등의 리스크를 대응하기 위한 방안을 마련합니다.</w:t>
      </w:r>
    </w:p>
    <w:p/>
    <w:p>
      <w:r>
        <w:rPr>
          <w:rFonts w:ascii="맑은 고딕" w:hAnsi="맑은 고딕" w:eastAsia="맑은 고딕"/>
          <w:b w:val="0"/>
          <w:sz w:val="20"/>
        </w:rPr>
        <w:t xml:space="preserve">8. </w:t>
      </w:r>
      <w:r>
        <w:rPr>
          <w:rFonts w:ascii="맑은 고딕" w:hAnsi="맑은 고딕" w:eastAsia="맑은 고딕"/>
          <w:b/>
          <w:sz w:val="20"/>
        </w:rPr>
        <w:t>기대 효과 및 활용 방안</w:t>
      </w:r>
      <w:r>
        <w:rPr>
          <w:rFonts w:ascii="맑은 고딕" w:hAnsi="맑은 고딕" w:eastAsia="맑은 고딕"/>
          <w:b w:val="0"/>
          <w:sz w:val="20"/>
        </w:rPr>
      </w:r>
    </w:p>
    <w:p>
      <w:r>
        <w:rPr>
          <w:rFonts w:ascii="맑은 고딕" w:hAnsi="맑은 고딕" w:eastAsia="맑은 고딕"/>
          <w:b w:val="0"/>
          <w:sz w:val="20"/>
        </w:rPr>
        <w:t>- 행정 효율 향상, 정책 자료화, 데이터 기반 행정 등의 기대 효과를 통해 스마트 시티 구현을 지원합니다.</w:t>
      </w:r>
    </w:p>
    <w:p/>
    <w:p>
      <w:r>
        <w:rPr>
          <w:rFonts w:ascii="맑은 고딕" w:hAnsi="맑은 고딕" w:eastAsia="맑은 고딕"/>
          <w:b w:val="0"/>
          <w:sz w:val="20"/>
        </w:rPr>
        <w:t>이러한 단계를 통해 보고서를 작성할 수 있습니다. 각 단계별로 필요한 자세한 내용과 결과를 정리하여 보고서를 작성하면 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