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6FB0" w14:textId="77777777" w:rsidR="00D8033F" w:rsidRDefault="00000000">
      <w:pPr>
        <w:spacing w:after="240"/>
        <w:jc w:val="center"/>
      </w:pPr>
      <w:r>
        <w:rPr>
          <w:b/>
          <w:sz w:val="44"/>
        </w:rPr>
        <w:t>SmartGov AI: A Comprehensive Comparative Analysis and Technical Taxonomy of LLM-Based Legal Simplification and Retrieval Systems</w:t>
      </w:r>
    </w:p>
    <w:tbl>
      <w:tblPr>
        <w:tblW w:w="0" w:type="auto"/>
        <w:jc w:val="center"/>
        <w:tblLayout w:type="fixed"/>
        <w:tblLook w:val="04A0" w:firstRow="1" w:lastRow="0" w:firstColumn="1" w:lastColumn="0" w:noHBand="0" w:noVBand="1"/>
      </w:tblPr>
      <w:tblGrid>
        <w:gridCol w:w="3480"/>
        <w:gridCol w:w="3480"/>
        <w:gridCol w:w="3480"/>
      </w:tblGrid>
      <w:tr w:rsidR="00D8033F" w14:paraId="1350A4CB" w14:textId="77777777">
        <w:trPr>
          <w:jc w:val="center"/>
        </w:trPr>
        <w:tc>
          <w:tcPr>
            <w:tcW w:w="3480" w:type="dxa"/>
            <w:tcMar>
              <w:top w:w="40" w:type="dxa"/>
              <w:left w:w="40" w:type="dxa"/>
              <w:bottom w:w="60" w:type="dxa"/>
              <w:right w:w="40" w:type="dxa"/>
            </w:tcMar>
          </w:tcPr>
          <w:p w14:paraId="3A2AB2FE" w14:textId="7F425D16" w:rsidR="00D8033F" w:rsidRDefault="004D47E3">
            <w:pPr>
              <w:spacing w:after="40" w:line="240" w:lineRule="auto"/>
              <w:jc w:val="center"/>
            </w:pPr>
            <w:r>
              <w:rPr>
                <w:b/>
              </w:rPr>
              <w:t>Vansh Mankani</w:t>
            </w:r>
            <w:r w:rsidR="00000000">
              <w:rPr>
                <w:b/>
              </w:rPr>
              <w:br/>
            </w:r>
            <w:r w:rsidR="00000000">
              <w:rPr>
                <w:i/>
                <w:sz w:val="18"/>
              </w:rPr>
              <w:t xml:space="preserve">Dept. of </w:t>
            </w:r>
            <w:r>
              <w:rPr>
                <w:i/>
                <w:sz w:val="18"/>
              </w:rPr>
              <w:t>Information technology</w:t>
            </w:r>
            <w:r w:rsidR="00000000">
              <w:rPr>
                <w:i/>
                <w:sz w:val="18"/>
              </w:rPr>
              <w:br/>
              <w:t>Final Year Research Project</w:t>
            </w:r>
            <w:r w:rsidR="00000000">
              <w:rPr>
                <w:i/>
                <w:sz w:val="18"/>
              </w:rPr>
              <w:br/>
            </w:r>
            <w:r>
              <w:rPr>
                <w:i/>
                <w:sz w:val="18"/>
              </w:rPr>
              <w:t xml:space="preserve">Faculty </w:t>
            </w:r>
            <w:r w:rsidR="00000000">
              <w:rPr>
                <w:i/>
                <w:sz w:val="18"/>
              </w:rPr>
              <w:t>of Technology</w:t>
            </w:r>
            <w:r w:rsidR="00000000">
              <w:rPr>
                <w:i/>
                <w:sz w:val="18"/>
              </w:rPr>
              <w:br/>
            </w:r>
            <w:r>
              <w:rPr>
                <w:i/>
                <w:sz w:val="18"/>
              </w:rPr>
              <w:t>Nadiad, Gujarat</w:t>
            </w:r>
            <w:r w:rsidR="00000000">
              <w:rPr>
                <w:i/>
                <w:sz w:val="18"/>
              </w:rPr>
              <w:t xml:space="preserve">, </w:t>
            </w:r>
            <w:r>
              <w:rPr>
                <w:i/>
                <w:sz w:val="18"/>
              </w:rPr>
              <w:t>India</w:t>
            </w:r>
            <w:r w:rsidR="00000000">
              <w:rPr>
                <w:i/>
                <w:sz w:val="18"/>
              </w:rPr>
              <w:br/>
            </w:r>
            <w:r>
              <w:t>23ituos071@ddu.ac.in</w:t>
            </w:r>
          </w:p>
        </w:tc>
        <w:tc>
          <w:tcPr>
            <w:tcW w:w="3480" w:type="dxa"/>
            <w:tcMar>
              <w:top w:w="40" w:type="dxa"/>
              <w:left w:w="40" w:type="dxa"/>
              <w:bottom w:w="60" w:type="dxa"/>
              <w:right w:w="40" w:type="dxa"/>
            </w:tcMar>
          </w:tcPr>
          <w:p w14:paraId="13217E16" w14:textId="06B4F14F" w:rsidR="00D8033F" w:rsidRDefault="004D47E3">
            <w:pPr>
              <w:spacing w:after="40" w:line="240" w:lineRule="auto"/>
              <w:jc w:val="center"/>
            </w:pPr>
            <w:r>
              <w:rPr>
                <w:b/>
              </w:rPr>
              <w:t>Dev Naik</w:t>
            </w:r>
            <w:r w:rsidR="00000000">
              <w:rPr>
                <w:b/>
              </w:rPr>
              <w:br/>
            </w:r>
            <w:r>
              <w:rPr>
                <w:i/>
                <w:sz w:val="18"/>
              </w:rPr>
              <w:t>Dept. of Information technology</w:t>
            </w:r>
            <w:r>
              <w:rPr>
                <w:i/>
                <w:sz w:val="18"/>
              </w:rPr>
              <w:br/>
              <w:t>Final Year Research Project</w:t>
            </w:r>
            <w:r>
              <w:rPr>
                <w:i/>
                <w:sz w:val="18"/>
              </w:rPr>
              <w:br/>
              <w:t>Faculty of Technology</w:t>
            </w:r>
            <w:r>
              <w:rPr>
                <w:i/>
                <w:sz w:val="18"/>
              </w:rPr>
              <w:br/>
              <w:t>Nadiad, Gujarat, India</w:t>
            </w:r>
            <w:r>
              <w:rPr>
                <w:i/>
                <w:sz w:val="18"/>
              </w:rPr>
              <w:br/>
            </w:r>
            <w:r>
              <w:t>23ituos0</w:t>
            </w:r>
            <w:r>
              <w:t>8</w:t>
            </w:r>
            <w:r>
              <w:t>1@ddu.ac.in</w:t>
            </w:r>
          </w:p>
        </w:tc>
        <w:tc>
          <w:tcPr>
            <w:tcW w:w="3480" w:type="dxa"/>
            <w:tcMar>
              <w:top w:w="40" w:type="dxa"/>
              <w:left w:w="40" w:type="dxa"/>
              <w:bottom w:w="60" w:type="dxa"/>
              <w:right w:w="40" w:type="dxa"/>
            </w:tcMar>
          </w:tcPr>
          <w:p w14:paraId="06EED43C" w14:textId="77777777" w:rsidR="00D8033F" w:rsidRDefault="00000000">
            <w:pPr>
              <w:spacing w:after="40" w:line="240" w:lineRule="auto"/>
              <w:jc w:val="center"/>
            </w:pPr>
            <w:r>
              <w:rPr>
                <w:b/>
              </w:rPr>
              <w:t>Faculty Project Advisor</w:t>
            </w:r>
            <w:r>
              <w:rPr>
                <w:b/>
              </w:rPr>
              <w:br/>
            </w:r>
            <w:r>
              <w:rPr>
                <w:i/>
                <w:sz w:val="18"/>
              </w:rPr>
              <w:t>Dept. of Computer Science &amp; Eng.</w:t>
            </w:r>
            <w:r>
              <w:rPr>
                <w:i/>
                <w:sz w:val="18"/>
              </w:rPr>
              <w:br/>
              <w:t>Centre for Legal AI &amp; NLP</w:t>
            </w:r>
            <w:r>
              <w:rPr>
                <w:i/>
                <w:sz w:val="18"/>
              </w:rPr>
              <w:br/>
              <w:t>Institute of Technology</w:t>
            </w:r>
            <w:r>
              <w:rPr>
                <w:i/>
                <w:sz w:val="18"/>
              </w:rPr>
              <w:br/>
              <w:t>City, Country</w:t>
            </w:r>
            <w:r>
              <w:rPr>
                <w:i/>
                <w:sz w:val="18"/>
              </w:rPr>
              <w:br/>
            </w:r>
            <w:r>
              <w:rPr>
                <w:sz w:val="17"/>
              </w:rPr>
              <w:t>advisor@institution.edu</w:t>
            </w:r>
          </w:p>
        </w:tc>
      </w:tr>
    </w:tbl>
    <w:p w14:paraId="17CEAC8E" w14:textId="77777777" w:rsidR="00D8033F" w:rsidRDefault="00D8033F">
      <w:pPr>
        <w:spacing w:before="120" w:after="120"/>
      </w:pPr>
    </w:p>
    <w:p w14:paraId="6EBE8EE3" w14:textId="77777777" w:rsidR="00D8033F" w:rsidRDefault="00D8033F">
      <w:pPr>
        <w:sectPr w:rsidR="00D8033F">
          <w:pgSz w:w="12240" w:h="15840"/>
          <w:pgMar w:top="1080" w:right="900" w:bottom="1440" w:left="900" w:header="720" w:footer="720" w:gutter="0"/>
          <w:cols w:space="720"/>
          <w:docGrid w:linePitch="360"/>
        </w:sectPr>
      </w:pPr>
    </w:p>
    <w:p w14:paraId="1F7C895C" w14:textId="77777777" w:rsidR="00D8033F" w:rsidRDefault="00000000">
      <w:r>
        <w:rPr>
          <w:b/>
          <w:i/>
          <w:sz w:val="18"/>
        </w:rPr>
        <w:t>Abstract—</w:t>
      </w:r>
      <w:r>
        <w:rPr>
          <w:b/>
          <w:sz w:val="18"/>
        </w:rPr>
        <w:t>Modern legal and administrative frameworks present steep cognitive barriers to citizens due to archaic statutory phrasing, jurisdictional fragmentation, and dense syntactic structures. This paper presents an exhaustive comparative analysis and technical taxonomy of fifteen state-of-the-art Natural Language Processing (NLP) and Retrieval-Augmented Generation (RAG) architectures targeting legal accessibility, document simplification, and automated judgment prediction. We critically evaluate empirical factuality baselines, domain-adapted fine-tuning protocols, and adaptive parameter routing mechanisms. Our findings reveal that commercial legal RAG pipelines exhibit a baseline hallucination rate of 17%–33%, while generic prompt-based simplification achieves a negligible 3.5% comprehension gain in legal discourse. Based on empirical rigor and domain grounding, we formulate a tiered recommendation framework establishing NyayaRAG, HyPA-RAG, and VidhikDastaavej as Tier 1 foundational anchors. Finally, we formulate the primary open research gap and propose SmartGov AI—a novel, verifiable, multi-stage architecture that integrates dynamic query-complexity routing with model-agnostic structural decomposition to deliver legally faithful, simplified administrative outputs across constitutionally recognized Indic languages.</w:t>
      </w:r>
    </w:p>
    <w:p w14:paraId="07AE61AC" w14:textId="77777777" w:rsidR="00D8033F" w:rsidRDefault="00000000">
      <w:pPr>
        <w:spacing w:after="200"/>
      </w:pPr>
      <w:r>
        <w:rPr>
          <w:b/>
          <w:i/>
          <w:sz w:val="18"/>
        </w:rPr>
        <w:t>Keywords—</w:t>
      </w:r>
      <w:r>
        <w:rPr>
          <w:sz w:val="18"/>
        </w:rPr>
        <w:t>Legal AI, Retrieval-Augmented Generation, Indic Languages, Document Simplification, SmartGov, Legal NLP, Statutory Grounding, Model-Agnostic Wrapper.</w:t>
      </w:r>
    </w:p>
    <w:p w14:paraId="47E5AF64" w14:textId="77777777" w:rsidR="00D8033F" w:rsidRDefault="00000000">
      <w:pPr>
        <w:keepNext/>
        <w:spacing w:before="200"/>
        <w:jc w:val="center"/>
      </w:pPr>
      <w:r>
        <w:rPr>
          <w:b/>
        </w:rPr>
        <w:t>I. INTRODUCTION</w:t>
      </w:r>
    </w:p>
    <w:p w14:paraId="51867A1A" w14:textId="77777777" w:rsidR="00D8033F" w:rsidRDefault="00000000">
      <w:r>
        <w:t xml:space="preserve">Public governance in democratic nations relies fundamentally on citizens understanding their statutory rights, administrative entitlements, and civic obligations. However, official gazettes, court judgments, and administrative notifications are notoriously dense, characterized by archaic legalese, intricate jurisdictional dependencies, and convoluted syntactic structures. In India, this accessibility deficit is further amplified by the monumental transition from legacy colonial codes (e.g., the Indian Penal Code) to modernized statutory frameworks, such as the Bharatiya Nyaya Sanhita (BNS), alongside profound linguistic diversity comprising 22 constitutionally </w:t>
      </w:r>
      <w:r>
        <w:t>recognized languages. Consequently, lay citizens face severe cognitive hurdles when navigating routine governmental processes, such as Right to Information (RTI) petitions, welfare applications, and land tenure registrations.</w:t>
      </w:r>
    </w:p>
    <w:p w14:paraId="2F070B11" w14:textId="77777777" w:rsidR="00D8033F" w:rsidRDefault="00000000">
      <w:r>
        <w:t>Recent advances in Large Language Models (LLMs) and dense semantic retrieval offer unprecedented opportunities for automated document simplification and domain-specific legal reasoning. Nevertheless, deploying generative foundation models in the legal domain introduces acute engineering risks. General-purpose models frequently suffer from catastrophic factual hallucinations, misattribute judicial precedents, and exhibit semantic drift when attempting to simplify rigid legal terminology. While commercial LegalTech providers claim their closed-source pipelines are robust, independent empirical evaluations reveal substantial error rates.</w:t>
      </w:r>
    </w:p>
    <w:p w14:paraId="3C4059ED" w14:textId="77777777" w:rsidR="00D8033F" w:rsidRDefault="00000000">
      <w:r>
        <w:t>To establish a rigorous technical foundation for the SmartGov AI initiative, this paper conducts a systematic meta-analysis of fifteen seminal research papers spanning document simplification, factual auditing, Indian legal modeling, adaptive retrieval mechanisms, and enterprise deployment blueprints. We synthesize their core architectural components, critically examine their computational and empirical limitations, and present a structured taxonomy that directly informs the design of a legally grounded, multilingual administrative simplification platform.</w:t>
      </w:r>
    </w:p>
    <w:p w14:paraId="0BC6AF45" w14:textId="77777777" w:rsidR="00D8033F" w:rsidRDefault="00000000">
      <w:pPr>
        <w:keepNext/>
        <w:spacing w:before="200"/>
        <w:jc w:val="center"/>
      </w:pPr>
      <w:r>
        <w:rPr>
          <w:b/>
        </w:rPr>
        <w:t>II. RELATED WORK &amp; TAXONOMY OF EXISTING LITERATURE</w:t>
      </w:r>
    </w:p>
    <w:p w14:paraId="603E9932" w14:textId="77777777" w:rsidR="00D8033F" w:rsidRDefault="00000000">
      <w:r>
        <w:t>To provide a cohesive understanding of the legal AI ecosystem, we categorize the fifteen reviewed publications into thematic sub-domains, examining how their technical methodologies address—or fail to address—the multifaceted challenges of legal NLP.</w:t>
      </w:r>
    </w:p>
    <w:p w14:paraId="5C87F6AB" w14:textId="77777777" w:rsidR="00D8033F" w:rsidRDefault="00000000">
      <w:pPr>
        <w:keepNext/>
        <w:spacing w:before="120" w:after="40"/>
        <w:jc w:val="left"/>
      </w:pPr>
      <w:r>
        <w:rPr>
          <w:b/>
          <w:i/>
        </w:rPr>
        <w:t>A. Readability Simplification and Comprehension Limits</w:t>
      </w:r>
    </w:p>
    <w:p w14:paraId="670EE05A" w14:textId="77777777" w:rsidR="00D8033F" w:rsidRDefault="00000000">
      <w:r>
        <w:t xml:space="preserve">The application of generative foundation models to text simplification was comprehensively investigated by Guidroz </w:t>
      </w:r>
      <w:r>
        <w:lastRenderedPageBreak/>
        <w:t>et al. [1] at Google Research. Utilizing Gemini 1.5 Flash and Gemini Ultra within an automated self-refinement prompting framework, the authors conducted an extensive randomized user study involving 4,563 human participants. While the system demonstrated significant comprehension improvements on biomedical literature (+14.6%), the observed comprehension gain on complex legal text was restricted to a modest 3.5%. This striking disparity underscores a fundamental insight: statutory and legal syntax possesses inherent resistance to naive prompt-based lexical simplification. Because Guidroz et al. omitted retrieval grounding and Indic language evaluation, their methodology serves as an empirical baseline demonstrating that simplification without structured domain grounding risks preserving semantic density or inducing unacceptable information loss.</w:t>
      </w:r>
    </w:p>
    <w:p w14:paraId="40C1BB8E" w14:textId="77777777" w:rsidR="00D8033F" w:rsidRDefault="00000000">
      <w:pPr>
        <w:keepNext/>
        <w:spacing w:before="120" w:after="40"/>
        <w:jc w:val="left"/>
      </w:pPr>
      <w:r>
        <w:rPr>
          <w:b/>
          <w:i/>
        </w:rPr>
        <w:t>B. Empirical Factuality Auditing and Hallucination Diagnostics</w:t>
      </w:r>
    </w:p>
    <w:p w14:paraId="63450EC6" w14:textId="77777777" w:rsidR="00D8033F" w:rsidRDefault="00000000">
      <w:r>
        <w:t>The premise that Retrieval-Augmented Generation eliminates factual errors in legal informatics was rigorously stress-tested by Magesh et al. [2] at Stanford University's RegLab. In a preregistered empirical study, the authors benchmarked premier commercial legal platforms—including Lexis+ AI, Thomson Reuters Westlaw AI-Assisted Research, Lexis Practical Law AI, and zero-shot GPT-4—across diverse query typologies involving false premises, multi-hop legal reasoning, and direct statutory lookups. Their findings established that commercial legal AI tools exhibit a baseline hallucination rate ranging between 17% and 33%, predominantly manifesting as fabricated legal citations, misconstrued holdings, and unwarranted extrapolation of statutory authority. Although geographically restricted to US jurisdiction and offering diagnostic rather than algorithmic solutions, the methodology of [2] provides an essential adversarial testing protocol for any production legal AI.</w:t>
      </w:r>
    </w:p>
    <w:p w14:paraId="6B54BA1D" w14:textId="77777777" w:rsidR="00D8033F" w:rsidRDefault="00000000">
      <w:pPr>
        <w:keepNext/>
        <w:spacing w:before="120" w:after="40"/>
        <w:jc w:val="left"/>
      </w:pPr>
      <w:r>
        <w:rPr>
          <w:b/>
          <w:i/>
        </w:rPr>
        <w:t>C. Domain-Specific Indian Legal Grounding and Precedent Modeling</w:t>
      </w:r>
    </w:p>
    <w:p w14:paraId="2C74D1DD" w14:textId="77777777" w:rsidR="00D8033F" w:rsidRDefault="00000000">
      <w:r>
        <w:t>Adapting language models to Indian jurisprudence requires addressing both statutory provisions and judicial precedents. The Nyaya Sathi project [3] attempted to bridge this divide by deploying ChromaDB vector retrieval alongside the Grok API and custom domain fine-tuning focused on the newly enacted Bharatiya Nyaya Sanhita (BNS). However, the implementation lacked standardized evaluation metrics and citizen-centric interface paradigms. In a broader roadmap, the study on Advancing AI for India [4] proposed modular architectures combining Quantized Low-Rank Adaptation (QLoRA), autonomous tool-augmented agents, and Hierarchical Reasoning Models (HRM). While conceptually comprehensive, [4] remained largely theoretical without empirical validation on downstream legal tasks.</w:t>
      </w:r>
    </w:p>
    <w:p w14:paraId="18A3D159" w14:textId="77777777" w:rsidR="00D8033F" w:rsidRDefault="00000000">
      <w:r>
        <w:t>The most technically rigorous breakthrough in Indian legal NLP is presented by Nigam et al. [5] in NyayaRAG. Addressing the deficiency that Legal Judgment Prediction (LJP) systems historically ignored statutory codes and judicial precedents, the authors curated a vast corpus of 56,387 Indian legal cases. NyayaRAG implements a modular pipeline pairing Mixtral-8x7B-Instruct for structured case summarization with ChromaDB top-k precedent retrieval and LLaMA-3.1-8B-Instruct for judicial outcome prediction. Evaluated using ROUGE-L, BERTScore, and a GPT-4-based G-Eval framework, NyayaRAG established new state-of-the-art benchmarks for Indian common-law reasoning. Nonetheless, its reliance on high-end hardware (NVIDIA A100 80GB VRAM), lack of Indic multilingual processing, and vulnerability to noise in historical court scans represent critical areas for extension.</w:t>
      </w:r>
    </w:p>
    <w:p w14:paraId="5FA2F070" w14:textId="77777777" w:rsidR="00D8033F" w:rsidRDefault="00000000">
      <w:pPr>
        <w:keepNext/>
        <w:spacing w:before="120" w:after="40"/>
        <w:jc w:val="left"/>
      </w:pPr>
      <w:r>
        <w:rPr>
          <w:b/>
          <w:i/>
        </w:rPr>
        <w:t>D. Adaptive Parameter Routing and Graph-Augmented Retrieval</w:t>
      </w:r>
    </w:p>
    <w:p w14:paraId="08EEDFDE" w14:textId="77777777" w:rsidR="00D8033F" w:rsidRDefault="00000000">
      <w:r>
        <w:t>A chronic vulnerability in standard legal RAG systems is the reliance on static retrieval parameters. Kalra et al. [6] addressed this in HyPA-RAG by introducing an adaptive retrieval router. By fine-tuning a DistilBERT classifier to predict incoming query complexity (2-class and 3-class routing), the system dynamically routes legal queries to optimal retrieval pathways combining sparse BM25 search, dense embeddings, and Neo4j Knowledge Graph traversals. Evaluated on NYC Local Law 144, HyPA-RAG achieved an exceptional legal faithfulness score of 0.9044. In parallel, the investigation on Bridging Legal Knowledge [9] utilized Milvus and Neo4j over the New Mexico statutory code (28,000 sections) via Non-negative Matrix Factorization (NMFk), though its achieved retrieval accuracy (70%–80%) fell below high-stakes production thresholds.</w:t>
      </w:r>
    </w:p>
    <w:p w14:paraId="4F0EFFB2" w14:textId="77777777" w:rsidR="00D8033F" w:rsidRDefault="00000000">
      <w:pPr>
        <w:keepNext/>
        <w:spacing w:before="120" w:after="40"/>
        <w:jc w:val="left"/>
      </w:pPr>
      <w:r>
        <w:rPr>
          <w:b/>
          <w:i/>
        </w:rPr>
        <w:t>E. Architectural Surveys, Epistemic Governance, and Benchmark Catalogs</w:t>
      </w:r>
    </w:p>
    <w:p w14:paraId="0D742469" w14:textId="77777777" w:rsidR="00D8033F" w:rsidRDefault="00000000">
      <w:r>
        <w:t>Foundational perspectives on retrieval architectures and governance constraints are documented across several broad studies. The Survey of RAG [7] cataloged architectural evolutions spanning BM25, Dense Passage Retrieval (DPR), multilingual encoders (NLLB-E5), and seq2seq generators (T5, BART), highlighting computational trade-offs in dense vector indexing. From a governance perspective, the critical treatise on the effects of AI in legal systems [8] provided a theoretical evaluation of black-box neural networks, emphasizing transparency, transaction traceability via blockchain, and algorithmic accountability under civil law doctrines.</w:t>
      </w:r>
    </w:p>
    <w:p w14:paraId="3B3A84CF" w14:textId="77777777" w:rsidR="004D47E3" w:rsidRDefault="00000000">
      <w:r>
        <w:t xml:space="preserve">A rigorous systematic taxonomy of NLP tasks was conducted by the PRISMA-compliant survey [13], analyzing 127 peer-reviewed studies covering legal named entity recognition, judgment forecasting, and domain-adapted models such as LEGAL-BERT and SaulLM-7B. The authors identified persistent industry-wide deficits in </w:t>
      </w:r>
      <w:r>
        <w:lastRenderedPageBreak/>
        <w:t xml:space="preserve">open-source legal datasets and highlighted the unresolved challenge of ingesting machine-inaccessible scanned PDFs. Finally, the baseline comparative study of open LLMs [14] benchmarked Llama, Mistral, and Falcon in parametric versus RAG configurations, corroborating that retrieval augmentation reduces but fails to eliminate hallucination </w:t>
      </w:r>
    </w:p>
    <w:tbl>
      <w:tblPr>
        <w:tblpPr w:leftFromText="180" w:rightFromText="180" w:vertAnchor="text" w:horzAnchor="page" w:tblpX="5569" w:tblpY="152"/>
        <w:tblW w:w="6642" w:type="dxa"/>
        <w:tblBorders>
          <w:top w:val="single" w:sz="6" w:space="0" w:color="000000"/>
          <w:bottom w:val="single" w:sz="6" w:space="0" w:color="000000"/>
          <w:insideH w:val="single" w:sz="6" w:space="0" w:color="000000"/>
        </w:tblBorders>
        <w:tblLayout w:type="fixed"/>
        <w:tblLook w:val="04A0" w:firstRow="1" w:lastRow="0" w:firstColumn="1" w:lastColumn="0" w:noHBand="0" w:noVBand="1"/>
      </w:tblPr>
      <w:tblGrid>
        <w:gridCol w:w="464"/>
        <w:gridCol w:w="999"/>
        <w:gridCol w:w="999"/>
        <w:gridCol w:w="726"/>
        <w:gridCol w:w="1636"/>
        <w:gridCol w:w="1818"/>
      </w:tblGrid>
      <w:tr w:rsidR="004D47E3" w14:paraId="0D276C6C" w14:textId="77777777" w:rsidTr="004D47E3">
        <w:trPr>
          <w:trHeight w:val="168"/>
        </w:trPr>
        <w:tc>
          <w:tcPr>
            <w:tcW w:w="464" w:type="dxa"/>
            <w:shd w:val="clear" w:color="auto" w:fill="F2F2F2"/>
            <w:tcMar>
              <w:top w:w="60" w:type="dxa"/>
              <w:left w:w="40" w:type="dxa"/>
              <w:bottom w:w="60" w:type="dxa"/>
              <w:right w:w="40" w:type="dxa"/>
            </w:tcMar>
          </w:tcPr>
          <w:p w14:paraId="4F05C94D" w14:textId="77777777" w:rsidR="004D47E3" w:rsidRDefault="004D47E3" w:rsidP="004D47E3">
            <w:pPr>
              <w:spacing w:after="0" w:line="240" w:lineRule="auto"/>
              <w:jc w:val="center"/>
            </w:pPr>
            <w:r>
              <w:rPr>
                <w:b/>
                <w:sz w:val="16"/>
              </w:rPr>
              <w:t>Ref.</w:t>
            </w:r>
          </w:p>
        </w:tc>
        <w:tc>
          <w:tcPr>
            <w:tcW w:w="999" w:type="dxa"/>
            <w:shd w:val="clear" w:color="auto" w:fill="F2F2F2"/>
            <w:tcMar>
              <w:top w:w="60" w:type="dxa"/>
              <w:left w:w="40" w:type="dxa"/>
              <w:bottom w:w="60" w:type="dxa"/>
              <w:right w:w="40" w:type="dxa"/>
            </w:tcMar>
          </w:tcPr>
          <w:p w14:paraId="2C08601F" w14:textId="77777777" w:rsidR="004D47E3" w:rsidRDefault="004D47E3" w:rsidP="004D47E3">
            <w:pPr>
              <w:spacing w:after="0" w:line="240" w:lineRule="auto"/>
              <w:jc w:val="center"/>
            </w:pPr>
            <w:r>
              <w:rPr>
                <w:b/>
                <w:sz w:val="16"/>
              </w:rPr>
              <w:t>Paper Title</w:t>
            </w:r>
          </w:p>
        </w:tc>
        <w:tc>
          <w:tcPr>
            <w:tcW w:w="999" w:type="dxa"/>
            <w:shd w:val="clear" w:color="auto" w:fill="F2F2F2"/>
            <w:tcMar>
              <w:top w:w="60" w:type="dxa"/>
              <w:left w:w="40" w:type="dxa"/>
              <w:bottom w:w="60" w:type="dxa"/>
              <w:right w:w="40" w:type="dxa"/>
            </w:tcMar>
          </w:tcPr>
          <w:p w14:paraId="585C543C" w14:textId="77777777" w:rsidR="004D47E3" w:rsidRDefault="004D47E3" w:rsidP="004D47E3">
            <w:pPr>
              <w:spacing w:after="0" w:line="240" w:lineRule="auto"/>
              <w:jc w:val="center"/>
            </w:pPr>
            <w:r>
              <w:rPr>
                <w:b/>
                <w:sz w:val="16"/>
              </w:rPr>
              <w:t>Authors / Org.</w:t>
            </w:r>
          </w:p>
        </w:tc>
        <w:tc>
          <w:tcPr>
            <w:tcW w:w="726" w:type="dxa"/>
            <w:shd w:val="clear" w:color="auto" w:fill="F2F2F2"/>
            <w:tcMar>
              <w:top w:w="60" w:type="dxa"/>
              <w:left w:w="40" w:type="dxa"/>
              <w:bottom w:w="60" w:type="dxa"/>
              <w:right w:w="40" w:type="dxa"/>
            </w:tcMar>
          </w:tcPr>
          <w:p w14:paraId="69186CDE" w14:textId="77777777" w:rsidR="004D47E3" w:rsidRDefault="004D47E3" w:rsidP="004D47E3">
            <w:pPr>
              <w:spacing w:after="0" w:line="240" w:lineRule="auto"/>
              <w:jc w:val="center"/>
            </w:pPr>
            <w:r>
              <w:rPr>
                <w:b/>
                <w:sz w:val="16"/>
              </w:rPr>
              <w:t>Year / Venue</w:t>
            </w:r>
          </w:p>
        </w:tc>
        <w:tc>
          <w:tcPr>
            <w:tcW w:w="1636" w:type="dxa"/>
            <w:shd w:val="clear" w:color="auto" w:fill="F2F2F2"/>
            <w:tcMar>
              <w:top w:w="60" w:type="dxa"/>
              <w:left w:w="40" w:type="dxa"/>
              <w:bottom w:w="60" w:type="dxa"/>
              <w:right w:w="40" w:type="dxa"/>
            </w:tcMar>
          </w:tcPr>
          <w:p w14:paraId="69157024" w14:textId="77777777" w:rsidR="004D47E3" w:rsidRDefault="004D47E3" w:rsidP="004D47E3">
            <w:pPr>
              <w:spacing w:after="0" w:line="240" w:lineRule="auto"/>
              <w:jc w:val="center"/>
            </w:pPr>
            <w:r>
              <w:rPr>
                <w:b/>
                <w:sz w:val="16"/>
              </w:rPr>
              <w:t>Core Technical Stack</w:t>
            </w:r>
          </w:p>
        </w:tc>
        <w:tc>
          <w:tcPr>
            <w:tcW w:w="1818" w:type="dxa"/>
            <w:shd w:val="clear" w:color="auto" w:fill="F2F2F2"/>
            <w:tcMar>
              <w:top w:w="60" w:type="dxa"/>
              <w:left w:w="40" w:type="dxa"/>
              <w:bottom w:w="60" w:type="dxa"/>
              <w:right w:w="40" w:type="dxa"/>
            </w:tcMar>
          </w:tcPr>
          <w:p w14:paraId="767BF9B4" w14:textId="77777777" w:rsidR="004D47E3" w:rsidRDefault="004D47E3" w:rsidP="004D47E3">
            <w:pPr>
              <w:spacing w:after="0" w:line="240" w:lineRule="auto"/>
              <w:jc w:val="center"/>
            </w:pPr>
            <w:r>
              <w:rPr>
                <w:b/>
                <w:sz w:val="16"/>
              </w:rPr>
              <w:t>Primary Methodological Limitation</w:t>
            </w:r>
          </w:p>
        </w:tc>
      </w:tr>
      <w:tr w:rsidR="004D47E3" w14:paraId="32B0116A" w14:textId="77777777" w:rsidTr="004D47E3">
        <w:trPr>
          <w:trHeight w:val="294"/>
        </w:trPr>
        <w:tc>
          <w:tcPr>
            <w:tcW w:w="464" w:type="dxa"/>
            <w:tcMar>
              <w:top w:w="40" w:type="dxa"/>
              <w:left w:w="40" w:type="dxa"/>
              <w:bottom w:w="40" w:type="dxa"/>
              <w:right w:w="40" w:type="dxa"/>
            </w:tcMar>
          </w:tcPr>
          <w:p w14:paraId="3C7732CB" w14:textId="77777777" w:rsidR="004D47E3" w:rsidRDefault="004D47E3" w:rsidP="004D47E3">
            <w:pPr>
              <w:spacing w:after="0" w:line="240" w:lineRule="auto"/>
              <w:jc w:val="center"/>
            </w:pPr>
            <w:r>
              <w:rPr>
                <w:sz w:val="15"/>
              </w:rPr>
              <w:t>[1]</w:t>
            </w:r>
          </w:p>
        </w:tc>
        <w:tc>
          <w:tcPr>
            <w:tcW w:w="999" w:type="dxa"/>
            <w:tcMar>
              <w:top w:w="40" w:type="dxa"/>
              <w:left w:w="40" w:type="dxa"/>
              <w:bottom w:w="40" w:type="dxa"/>
              <w:right w:w="40" w:type="dxa"/>
            </w:tcMar>
          </w:tcPr>
          <w:p w14:paraId="43E45B21" w14:textId="77777777" w:rsidR="004D47E3" w:rsidRDefault="004D47E3" w:rsidP="004D47E3">
            <w:pPr>
              <w:spacing w:after="0" w:line="240" w:lineRule="auto"/>
              <w:jc w:val="left"/>
            </w:pPr>
            <w:r>
              <w:rPr>
                <w:sz w:val="15"/>
              </w:rPr>
              <w:t>LLM Text Simplification</w:t>
            </w:r>
          </w:p>
        </w:tc>
        <w:tc>
          <w:tcPr>
            <w:tcW w:w="999" w:type="dxa"/>
            <w:tcMar>
              <w:top w:w="40" w:type="dxa"/>
              <w:left w:w="40" w:type="dxa"/>
              <w:bottom w:w="40" w:type="dxa"/>
              <w:right w:w="40" w:type="dxa"/>
            </w:tcMar>
          </w:tcPr>
          <w:p w14:paraId="2A88E279" w14:textId="77777777" w:rsidR="004D47E3" w:rsidRDefault="004D47E3" w:rsidP="004D47E3">
            <w:pPr>
              <w:spacing w:after="0" w:line="240" w:lineRule="auto"/>
              <w:jc w:val="left"/>
            </w:pPr>
            <w:r>
              <w:rPr>
                <w:sz w:val="15"/>
              </w:rPr>
              <w:t>Guidroz et al. (Google)</w:t>
            </w:r>
          </w:p>
        </w:tc>
        <w:tc>
          <w:tcPr>
            <w:tcW w:w="726" w:type="dxa"/>
            <w:tcMar>
              <w:top w:w="40" w:type="dxa"/>
              <w:left w:w="40" w:type="dxa"/>
              <w:bottom w:w="40" w:type="dxa"/>
              <w:right w:w="40" w:type="dxa"/>
            </w:tcMar>
          </w:tcPr>
          <w:p w14:paraId="6064FB7F" w14:textId="77777777" w:rsidR="004D47E3" w:rsidRDefault="004D47E3" w:rsidP="004D47E3">
            <w:pPr>
              <w:spacing w:after="0" w:line="240" w:lineRule="auto"/>
              <w:jc w:val="center"/>
            </w:pPr>
            <w:r>
              <w:rPr>
                <w:sz w:val="15"/>
              </w:rPr>
              <w:t>2025 (arXiv)</w:t>
            </w:r>
          </w:p>
        </w:tc>
        <w:tc>
          <w:tcPr>
            <w:tcW w:w="1636" w:type="dxa"/>
            <w:tcMar>
              <w:top w:w="40" w:type="dxa"/>
              <w:left w:w="40" w:type="dxa"/>
              <w:bottom w:w="40" w:type="dxa"/>
              <w:right w:w="40" w:type="dxa"/>
            </w:tcMar>
          </w:tcPr>
          <w:p w14:paraId="1D11122D" w14:textId="77777777" w:rsidR="004D47E3" w:rsidRDefault="004D47E3" w:rsidP="004D47E3">
            <w:pPr>
              <w:spacing w:after="0" w:line="240" w:lineRule="auto"/>
              <w:jc w:val="left"/>
            </w:pPr>
            <w:r>
              <w:rPr>
                <w:sz w:val="15"/>
              </w:rPr>
              <w:t>Gemini 1.5 Flash/Ultra, Self-Refinement</w:t>
            </w:r>
          </w:p>
        </w:tc>
        <w:tc>
          <w:tcPr>
            <w:tcW w:w="1818" w:type="dxa"/>
            <w:tcMar>
              <w:top w:w="40" w:type="dxa"/>
              <w:left w:w="40" w:type="dxa"/>
              <w:bottom w:w="40" w:type="dxa"/>
              <w:right w:w="40" w:type="dxa"/>
            </w:tcMar>
          </w:tcPr>
          <w:p w14:paraId="32F3166D" w14:textId="77777777" w:rsidR="004D47E3" w:rsidRDefault="004D47E3" w:rsidP="004D47E3">
            <w:pPr>
              <w:spacing w:after="0" w:line="240" w:lineRule="auto"/>
              <w:jc w:val="left"/>
            </w:pPr>
            <w:r>
              <w:rPr>
                <w:sz w:val="15"/>
              </w:rPr>
              <w:t>Legal comprehension gain only 3.5%; no RAG or Indic support.</w:t>
            </w:r>
          </w:p>
        </w:tc>
      </w:tr>
      <w:tr w:rsidR="004D47E3" w14:paraId="5F82D65A" w14:textId="77777777" w:rsidTr="004D47E3">
        <w:trPr>
          <w:trHeight w:val="304"/>
        </w:trPr>
        <w:tc>
          <w:tcPr>
            <w:tcW w:w="464" w:type="dxa"/>
            <w:tcMar>
              <w:top w:w="40" w:type="dxa"/>
              <w:left w:w="40" w:type="dxa"/>
              <w:bottom w:w="40" w:type="dxa"/>
              <w:right w:w="40" w:type="dxa"/>
            </w:tcMar>
          </w:tcPr>
          <w:p w14:paraId="2798E3BB" w14:textId="77777777" w:rsidR="004D47E3" w:rsidRDefault="004D47E3" w:rsidP="004D47E3">
            <w:pPr>
              <w:spacing w:after="0" w:line="240" w:lineRule="auto"/>
              <w:jc w:val="center"/>
            </w:pPr>
            <w:r>
              <w:rPr>
                <w:sz w:val="15"/>
              </w:rPr>
              <w:t>[2]</w:t>
            </w:r>
          </w:p>
        </w:tc>
        <w:tc>
          <w:tcPr>
            <w:tcW w:w="999" w:type="dxa"/>
            <w:tcMar>
              <w:top w:w="40" w:type="dxa"/>
              <w:left w:w="40" w:type="dxa"/>
              <w:bottom w:w="40" w:type="dxa"/>
              <w:right w:w="40" w:type="dxa"/>
            </w:tcMar>
          </w:tcPr>
          <w:p w14:paraId="2F6536B4" w14:textId="77777777" w:rsidR="004D47E3" w:rsidRDefault="004D47E3" w:rsidP="004D47E3">
            <w:pPr>
              <w:spacing w:after="0" w:line="240" w:lineRule="auto"/>
              <w:jc w:val="left"/>
            </w:pPr>
            <w:r>
              <w:rPr>
                <w:sz w:val="15"/>
              </w:rPr>
              <w:t>Hallucination-Free?</w:t>
            </w:r>
          </w:p>
        </w:tc>
        <w:tc>
          <w:tcPr>
            <w:tcW w:w="999" w:type="dxa"/>
            <w:tcMar>
              <w:top w:w="40" w:type="dxa"/>
              <w:left w:w="40" w:type="dxa"/>
              <w:bottom w:w="40" w:type="dxa"/>
              <w:right w:w="40" w:type="dxa"/>
            </w:tcMar>
          </w:tcPr>
          <w:p w14:paraId="58F072F4" w14:textId="77777777" w:rsidR="004D47E3" w:rsidRDefault="004D47E3" w:rsidP="004D47E3">
            <w:pPr>
              <w:spacing w:after="0" w:line="240" w:lineRule="auto"/>
              <w:jc w:val="left"/>
            </w:pPr>
            <w:r>
              <w:rPr>
                <w:sz w:val="15"/>
              </w:rPr>
              <w:t>Magesh et al. (Stanford)</w:t>
            </w:r>
          </w:p>
        </w:tc>
        <w:tc>
          <w:tcPr>
            <w:tcW w:w="726" w:type="dxa"/>
            <w:tcMar>
              <w:top w:w="40" w:type="dxa"/>
              <w:left w:w="40" w:type="dxa"/>
              <w:bottom w:w="40" w:type="dxa"/>
              <w:right w:w="40" w:type="dxa"/>
            </w:tcMar>
          </w:tcPr>
          <w:p w14:paraId="1B76D322" w14:textId="77777777" w:rsidR="004D47E3" w:rsidRDefault="004D47E3" w:rsidP="004D47E3">
            <w:pPr>
              <w:spacing w:after="0" w:line="240" w:lineRule="auto"/>
              <w:jc w:val="center"/>
            </w:pPr>
            <w:r>
              <w:rPr>
                <w:sz w:val="15"/>
              </w:rPr>
              <w:t>2024/25 (JELS)</w:t>
            </w:r>
          </w:p>
        </w:tc>
        <w:tc>
          <w:tcPr>
            <w:tcW w:w="1636" w:type="dxa"/>
            <w:tcMar>
              <w:top w:w="40" w:type="dxa"/>
              <w:left w:w="40" w:type="dxa"/>
              <w:bottom w:w="40" w:type="dxa"/>
              <w:right w:w="40" w:type="dxa"/>
            </w:tcMar>
          </w:tcPr>
          <w:p w14:paraId="388E86AF" w14:textId="77777777" w:rsidR="004D47E3" w:rsidRDefault="004D47E3" w:rsidP="004D47E3">
            <w:pPr>
              <w:spacing w:after="0" w:line="240" w:lineRule="auto"/>
              <w:jc w:val="left"/>
            </w:pPr>
            <w:r>
              <w:rPr>
                <w:sz w:val="15"/>
              </w:rPr>
              <w:t>Lexis+, Westlaw, GPT-4 Empirical Audit</w:t>
            </w:r>
          </w:p>
        </w:tc>
        <w:tc>
          <w:tcPr>
            <w:tcW w:w="1818" w:type="dxa"/>
            <w:tcMar>
              <w:top w:w="40" w:type="dxa"/>
              <w:left w:w="40" w:type="dxa"/>
              <w:bottom w:w="40" w:type="dxa"/>
              <w:right w:w="40" w:type="dxa"/>
            </w:tcMar>
          </w:tcPr>
          <w:p w14:paraId="4ED1BE6A" w14:textId="77777777" w:rsidR="004D47E3" w:rsidRDefault="004D47E3" w:rsidP="004D47E3">
            <w:pPr>
              <w:spacing w:after="0" w:line="240" w:lineRule="auto"/>
              <w:jc w:val="left"/>
            </w:pPr>
            <w:r>
              <w:rPr>
                <w:sz w:val="15"/>
              </w:rPr>
              <w:t>Diagnostic only; US-centric; 17%–33% baseline error rate.</w:t>
            </w:r>
          </w:p>
        </w:tc>
      </w:tr>
      <w:tr w:rsidR="004D47E3" w14:paraId="407FD00C" w14:textId="77777777" w:rsidTr="004D47E3">
        <w:trPr>
          <w:trHeight w:val="304"/>
        </w:trPr>
        <w:tc>
          <w:tcPr>
            <w:tcW w:w="464" w:type="dxa"/>
            <w:tcMar>
              <w:top w:w="40" w:type="dxa"/>
              <w:left w:w="40" w:type="dxa"/>
              <w:bottom w:w="40" w:type="dxa"/>
              <w:right w:w="40" w:type="dxa"/>
            </w:tcMar>
          </w:tcPr>
          <w:p w14:paraId="39661F79" w14:textId="77777777" w:rsidR="004D47E3" w:rsidRDefault="004D47E3" w:rsidP="004D47E3">
            <w:pPr>
              <w:spacing w:after="0" w:line="240" w:lineRule="auto"/>
              <w:jc w:val="center"/>
            </w:pPr>
            <w:r>
              <w:rPr>
                <w:sz w:val="15"/>
              </w:rPr>
              <w:t>[3]</w:t>
            </w:r>
          </w:p>
        </w:tc>
        <w:tc>
          <w:tcPr>
            <w:tcW w:w="999" w:type="dxa"/>
            <w:tcMar>
              <w:top w:w="40" w:type="dxa"/>
              <w:left w:w="40" w:type="dxa"/>
              <w:bottom w:w="40" w:type="dxa"/>
              <w:right w:w="40" w:type="dxa"/>
            </w:tcMar>
          </w:tcPr>
          <w:p w14:paraId="1DD24A90" w14:textId="77777777" w:rsidR="004D47E3" w:rsidRDefault="004D47E3" w:rsidP="004D47E3">
            <w:pPr>
              <w:spacing w:after="0" w:line="240" w:lineRule="auto"/>
              <w:jc w:val="left"/>
            </w:pPr>
            <w:r>
              <w:rPr>
                <w:sz w:val="15"/>
              </w:rPr>
              <w:t>Nyaya Sathi</w:t>
            </w:r>
          </w:p>
        </w:tc>
        <w:tc>
          <w:tcPr>
            <w:tcW w:w="999" w:type="dxa"/>
            <w:tcMar>
              <w:top w:w="40" w:type="dxa"/>
              <w:left w:w="40" w:type="dxa"/>
              <w:bottom w:w="40" w:type="dxa"/>
              <w:right w:w="40" w:type="dxa"/>
            </w:tcMar>
          </w:tcPr>
          <w:p w14:paraId="2783357B"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6FA767E1" w14:textId="77777777" w:rsidR="004D47E3" w:rsidRDefault="004D47E3" w:rsidP="004D47E3">
            <w:pPr>
              <w:spacing w:after="0" w:line="240" w:lineRule="auto"/>
              <w:jc w:val="center"/>
            </w:pPr>
            <w:r>
              <w:rPr>
                <w:sz w:val="15"/>
              </w:rPr>
              <w:t>Est. 2024–25</w:t>
            </w:r>
          </w:p>
        </w:tc>
        <w:tc>
          <w:tcPr>
            <w:tcW w:w="1636" w:type="dxa"/>
            <w:tcMar>
              <w:top w:w="40" w:type="dxa"/>
              <w:left w:w="40" w:type="dxa"/>
              <w:bottom w:w="40" w:type="dxa"/>
              <w:right w:w="40" w:type="dxa"/>
            </w:tcMar>
          </w:tcPr>
          <w:p w14:paraId="0449056C" w14:textId="77777777" w:rsidR="004D47E3" w:rsidRDefault="004D47E3" w:rsidP="004D47E3">
            <w:pPr>
              <w:spacing w:after="0" w:line="240" w:lineRule="auto"/>
              <w:jc w:val="left"/>
            </w:pPr>
            <w:r>
              <w:rPr>
                <w:sz w:val="15"/>
              </w:rPr>
              <w:t>ChromaDB, Grok API, BNS Corpora</w:t>
            </w:r>
          </w:p>
        </w:tc>
        <w:tc>
          <w:tcPr>
            <w:tcW w:w="1818" w:type="dxa"/>
            <w:tcMar>
              <w:top w:w="40" w:type="dxa"/>
              <w:left w:w="40" w:type="dxa"/>
              <w:bottom w:w="40" w:type="dxa"/>
              <w:right w:w="40" w:type="dxa"/>
            </w:tcMar>
          </w:tcPr>
          <w:p w14:paraId="0061BC42" w14:textId="77777777" w:rsidR="004D47E3" w:rsidRDefault="004D47E3" w:rsidP="004D47E3">
            <w:pPr>
              <w:spacing w:after="0" w:line="240" w:lineRule="auto"/>
              <w:jc w:val="left"/>
            </w:pPr>
            <w:r>
              <w:rPr>
                <w:sz w:val="15"/>
              </w:rPr>
              <w:t>Lack of documented metrics; unverified scalability.</w:t>
            </w:r>
          </w:p>
        </w:tc>
      </w:tr>
      <w:tr w:rsidR="004D47E3" w14:paraId="39F90B20" w14:textId="77777777" w:rsidTr="004D47E3">
        <w:trPr>
          <w:trHeight w:val="294"/>
        </w:trPr>
        <w:tc>
          <w:tcPr>
            <w:tcW w:w="464" w:type="dxa"/>
            <w:tcMar>
              <w:top w:w="40" w:type="dxa"/>
              <w:left w:w="40" w:type="dxa"/>
              <w:bottom w:w="40" w:type="dxa"/>
              <w:right w:w="40" w:type="dxa"/>
            </w:tcMar>
          </w:tcPr>
          <w:p w14:paraId="025D2C50" w14:textId="77777777" w:rsidR="004D47E3" w:rsidRDefault="004D47E3" w:rsidP="004D47E3">
            <w:pPr>
              <w:spacing w:after="0" w:line="240" w:lineRule="auto"/>
              <w:jc w:val="center"/>
            </w:pPr>
            <w:r>
              <w:rPr>
                <w:sz w:val="15"/>
              </w:rPr>
              <w:t>[4]</w:t>
            </w:r>
          </w:p>
        </w:tc>
        <w:tc>
          <w:tcPr>
            <w:tcW w:w="999" w:type="dxa"/>
            <w:tcMar>
              <w:top w:w="40" w:type="dxa"/>
              <w:left w:w="40" w:type="dxa"/>
              <w:bottom w:w="40" w:type="dxa"/>
              <w:right w:w="40" w:type="dxa"/>
            </w:tcMar>
          </w:tcPr>
          <w:p w14:paraId="4B79B3A8" w14:textId="77777777" w:rsidR="004D47E3" w:rsidRDefault="004D47E3" w:rsidP="004D47E3">
            <w:pPr>
              <w:spacing w:after="0" w:line="240" w:lineRule="auto"/>
              <w:jc w:val="left"/>
            </w:pPr>
            <w:r>
              <w:rPr>
                <w:sz w:val="15"/>
              </w:rPr>
              <w:t>Advancing AI for India</w:t>
            </w:r>
          </w:p>
        </w:tc>
        <w:tc>
          <w:tcPr>
            <w:tcW w:w="999" w:type="dxa"/>
            <w:tcMar>
              <w:top w:w="40" w:type="dxa"/>
              <w:left w:w="40" w:type="dxa"/>
              <w:bottom w:w="40" w:type="dxa"/>
              <w:right w:w="40" w:type="dxa"/>
            </w:tcMar>
          </w:tcPr>
          <w:p w14:paraId="16EE0F86"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45D649D7" w14:textId="77777777" w:rsidR="004D47E3" w:rsidRDefault="004D47E3" w:rsidP="004D47E3">
            <w:pPr>
              <w:spacing w:after="0" w:line="240" w:lineRule="auto"/>
              <w:jc w:val="center"/>
            </w:pPr>
            <w:r>
              <w:rPr>
                <w:sz w:val="15"/>
              </w:rPr>
              <w:t>Est. 2024</w:t>
            </w:r>
          </w:p>
        </w:tc>
        <w:tc>
          <w:tcPr>
            <w:tcW w:w="1636" w:type="dxa"/>
            <w:tcMar>
              <w:top w:w="40" w:type="dxa"/>
              <w:left w:w="40" w:type="dxa"/>
              <w:bottom w:w="40" w:type="dxa"/>
              <w:right w:w="40" w:type="dxa"/>
            </w:tcMar>
          </w:tcPr>
          <w:p w14:paraId="48DBA5DB" w14:textId="77777777" w:rsidR="004D47E3" w:rsidRDefault="004D47E3" w:rsidP="004D47E3">
            <w:pPr>
              <w:spacing w:after="0" w:line="240" w:lineRule="auto"/>
              <w:jc w:val="left"/>
            </w:pPr>
            <w:r>
              <w:rPr>
                <w:sz w:val="15"/>
              </w:rPr>
              <w:t>QLoRA, Tool-Agents, Hierarchical Models</w:t>
            </w:r>
          </w:p>
        </w:tc>
        <w:tc>
          <w:tcPr>
            <w:tcW w:w="1818" w:type="dxa"/>
            <w:tcMar>
              <w:top w:w="40" w:type="dxa"/>
              <w:left w:w="40" w:type="dxa"/>
              <w:bottom w:w="40" w:type="dxa"/>
              <w:right w:w="40" w:type="dxa"/>
            </w:tcMar>
          </w:tcPr>
          <w:p w14:paraId="2D7699DA" w14:textId="77777777" w:rsidR="004D47E3" w:rsidRDefault="004D47E3" w:rsidP="004D47E3">
            <w:pPr>
              <w:spacing w:after="0" w:line="240" w:lineRule="auto"/>
              <w:jc w:val="left"/>
            </w:pPr>
            <w:r>
              <w:rPr>
                <w:sz w:val="15"/>
              </w:rPr>
              <w:t>Conceptual roadmap; lacks downstream empirical validation.</w:t>
            </w:r>
          </w:p>
        </w:tc>
      </w:tr>
      <w:tr w:rsidR="004D47E3" w14:paraId="16B8AB73" w14:textId="77777777" w:rsidTr="004D47E3">
        <w:trPr>
          <w:trHeight w:val="304"/>
        </w:trPr>
        <w:tc>
          <w:tcPr>
            <w:tcW w:w="464" w:type="dxa"/>
            <w:tcMar>
              <w:top w:w="40" w:type="dxa"/>
              <w:left w:w="40" w:type="dxa"/>
              <w:bottom w:w="40" w:type="dxa"/>
              <w:right w:w="40" w:type="dxa"/>
            </w:tcMar>
          </w:tcPr>
          <w:p w14:paraId="222C96AE" w14:textId="77777777" w:rsidR="004D47E3" w:rsidRDefault="004D47E3" w:rsidP="004D47E3">
            <w:pPr>
              <w:spacing w:after="0" w:line="240" w:lineRule="auto"/>
              <w:jc w:val="center"/>
            </w:pPr>
            <w:r>
              <w:rPr>
                <w:sz w:val="15"/>
              </w:rPr>
              <w:t>[5]</w:t>
            </w:r>
          </w:p>
        </w:tc>
        <w:tc>
          <w:tcPr>
            <w:tcW w:w="999" w:type="dxa"/>
            <w:tcMar>
              <w:top w:w="40" w:type="dxa"/>
              <w:left w:w="40" w:type="dxa"/>
              <w:bottom w:w="40" w:type="dxa"/>
              <w:right w:w="40" w:type="dxa"/>
            </w:tcMar>
          </w:tcPr>
          <w:p w14:paraId="239D52B3" w14:textId="77777777" w:rsidR="004D47E3" w:rsidRDefault="004D47E3" w:rsidP="004D47E3">
            <w:pPr>
              <w:spacing w:after="0" w:line="240" w:lineRule="auto"/>
              <w:jc w:val="left"/>
            </w:pPr>
            <w:r>
              <w:rPr>
                <w:sz w:val="15"/>
              </w:rPr>
              <w:t>NyayaRAG</w:t>
            </w:r>
          </w:p>
        </w:tc>
        <w:tc>
          <w:tcPr>
            <w:tcW w:w="999" w:type="dxa"/>
            <w:tcMar>
              <w:top w:w="40" w:type="dxa"/>
              <w:left w:w="40" w:type="dxa"/>
              <w:bottom w:w="40" w:type="dxa"/>
              <w:right w:w="40" w:type="dxa"/>
            </w:tcMar>
          </w:tcPr>
          <w:p w14:paraId="657A6D6C" w14:textId="77777777" w:rsidR="004D47E3" w:rsidRDefault="004D47E3" w:rsidP="004D47E3">
            <w:pPr>
              <w:spacing w:after="0" w:line="240" w:lineRule="auto"/>
              <w:jc w:val="left"/>
            </w:pPr>
            <w:r>
              <w:rPr>
                <w:sz w:val="15"/>
              </w:rPr>
              <w:t>Nigam et al. (IIT Kanpur)</w:t>
            </w:r>
          </w:p>
        </w:tc>
        <w:tc>
          <w:tcPr>
            <w:tcW w:w="726" w:type="dxa"/>
            <w:tcMar>
              <w:top w:w="40" w:type="dxa"/>
              <w:left w:w="40" w:type="dxa"/>
              <w:bottom w:w="40" w:type="dxa"/>
              <w:right w:w="40" w:type="dxa"/>
            </w:tcMar>
          </w:tcPr>
          <w:p w14:paraId="24C4C49E" w14:textId="77777777" w:rsidR="004D47E3" w:rsidRDefault="004D47E3" w:rsidP="004D47E3">
            <w:pPr>
              <w:spacing w:after="0" w:line="240" w:lineRule="auto"/>
              <w:jc w:val="center"/>
            </w:pPr>
            <w:r>
              <w:rPr>
                <w:sz w:val="15"/>
              </w:rPr>
              <w:t>2025 (IJCNLP)</w:t>
            </w:r>
          </w:p>
        </w:tc>
        <w:tc>
          <w:tcPr>
            <w:tcW w:w="1636" w:type="dxa"/>
            <w:tcMar>
              <w:top w:w="40" w:type="dxa"/>
              <w:left w:w="40" w:type="dxa"/>
              <w:bottom w:w="40" w:type="dxa"/>
              <w:right w:w="40" w:type="dxa"/>
            </w:tcMar>
          </w:tcPr>
          <w:p w14:paraId="2BB7A8F5" w14:textId="77777777" w:rsidR="004D47E3" w:rsidRDefault="004D47E3" w:rsidP="004D47E3">
            <w:pPr>
              <w:spacing w:after="0" w:line="240" w:lineRule="auto"/>
              <w:jc w:val="left"/>
            </w:pPr>
            <w:r>
              <w:rPr>
                <w:sz w:val="15"/>
              </w:rPr>
              <w:t>Mixtral-8x7B, LLaMA-3.1-8B, ChromaDB</w:t>
            </w:r>
          </w:p>
        </w:tc>
        <w:tc>
          <w:tcPr>
            <w:tcW w:w="1818" w:type="dxa"/>
            <w:tcMar>
              <w:top w:w="40" w:type="dxa"/>
              <w:left w:w="40" w:type="dxa"/>
              <w:bottom w:w="40" w:type="dxa"/>
              <w:right w:w="40" w:type="dxa"/>
            </w:tcMar>
          </w:tcPr>
          <w:p w14:paraId="3FD98463" w14:textId="77777777" w:rsidR="004D47E3" w:rsidRDefault="004D47E3" w:rsidP="004D47E3">
            <w:pPr>
              <w:spacing w:after="0" w:line="240" w:lineRule="auto"/>
              <w:jc w:val="left"/>
            </w:pPr>
            <w:r>
              <w:rPr>
                <w:sz w:val="15"/>
              </w:rPr>
              <w:t>Requires A100 80GB GPU; no Indic vernacular support.</w:t>
            </w:r>
          </w:p>
        </w:tc>
      </w:tr>
      <w:tr w:rsidR="004D47E3" w14:paraId="02538DE9" w14:textId="77777777" w:rsidTr="004D47E3">
        <w:trPr>
          <w:trHeight w:val="304"/>
        </w:trPr>
        <w:tc>
          <w:tcPr>
            <w:tcW w:w="464" w:type="dxa"/>
            <w:tcMar>
              <w:top w:w="40" w:type="dxa"/>
              <w:left w:w="40" w:type="dxa"/>
              <w:bottom w:w="40" w:type="dxa"/>
              <w:right w:w="40" w:type="dxa"/>
            </w:tcMar>
          </w:tcPr>
          <w:p w14:paraId="45961A51" w14:textId="77777777" w:rsidR="004D47E3" w:rsidRDefault="004D47E3" w:rsidP="004D47E3">
            <w:pPr>
              <w:spacing w:after="0" w:line="240" w:lineRule="auto"/>
              <w:jc w:val="center"/>
            </w:pPr>
            <w:r>
              <w:rPr>
                <w:sz w:val="15"/>
              </w:rPr>
              <w:t>[6]</w:t>
            </w:r>
          </w:p>
        </w:tc>
        <w:tc>
          <w:tcPr>
            <w:tcW w:w="999" w:type="dxa"/>
            <w:tcMar>
              <w:top w:w="40" w:type="dxa"/>
              <w:left w:w="40" w:type="dxa"/>
              <w:bottom w:w="40" w:type="dxa"/>
              <w:right w:w="40" w:type="dxa"/>
            </w:tcMar>
          </w:tcPr>
          <w:p w14:paraId="2A7C7077" w14:textId="77777777" w:rsidR="004D47E3" w:rsidRDefault="004D47E3" w:rsidP="004D47E3">
            <w:pPr>
              <w:spacing w:after="0" w:line="240" w:lineRule="auto"/>
              <w:jc w:val="left"/>
            </w:pPr>
            <w:r>
              <w:rPr>
                <w:sz w:val="15"/>
              </w:rPr>
              <w:t>HyPA-RAG</w:t>
            </w:r>
          </w:p>
        </w:tc>
        <w:tc>
          <w:tcPr>
            <w:tcW w:w="999" w:type="dxa"/>
            <w:tcMar>
              <w:top w:w="40" w:type="dxa"/>
              <w:left w:w="40" w:type="dxa"/>
              <w:bottom w:w="40" w:type="dxa"/>
              <w:right w:w="40" w:type="dxa"/>
            </w:tcMar>
          </w:tcPr>
          <w:p w14:paraId="02F3534F" w14:textId="77777777" w:rsidR="004D47E3" w:rsidRDefault="004D47E3" w:rsidP="004D47E3">
            <w:pPr>
              <w:spacing w:after="0" w:line="240" w:lineRule="auto"/>
              <w:jc w:val="left"/>
            </w:pPr>
            <w:r>
              <w:rPr>
                <w:sz w:val="15"/>
              </w:rPr>
              <w:t>Kalra et al.</w:t>
            </w:r>
          </w:p>
        </w:tc>
        <w:tc>
          <w:tcPr>
            <w:tcW w:w="726" w:type="dxa"/>
            <w:tcMar>
              <w:top w:w="40" w:type="dxa"/>
              <w:left w:w="40" w:type="dxa"/>
              <w:bottom w:w="40" w:type="dxa"/>
              <w:right w:w="40" w:type="dxa"/>
            </w:tcMar>
          </w:tcPr>
          <w:p w14:paraId="4BCFBB84" w14:textId="77777777" w:rsidR="004D47E3" w:rsidRDefault="004D47E3" w:rsidP="004D47E3">
            <w:pPr>
              <w:spacing w:after="0" w:line="240" w:lineRule="auto"/>
              <w:jc w:val="center"/>
            </w:pPr>
            <w:r>
              <w:rPr>
                <w:sz w:val="15"/>
              </w:rPr>
              <w:t>2024 (ACL-NLP)</w:t>
            </w:r>
          </w:p>
        </w:tc>
        <w:tc>
          <w:tcPr>
            <w:tcW w:w="1636" w:type="dxa"/>
            <w:tcMar>
              <w:top w:w="40" w:type="dxa"/>
              <w:left w:w="40" w:type="dxa"/>
              <w:bottom w:w="40" w:type="dxa"/>
              <w:right w:w="40" w:type="dxa"/>
            </w:tcMar>
          </w:tcPr>
          <w:p w14:paraId="7B598B2C" w14:textId="77777777" w:rsidR="004D47E3" w:rsidRDefault="004D47E3" w:rsidP="004D47E3">
            <w:pPr>
              <w:spacing w:after="0" w:line="240" w:lineRule="auto"/>
              <w:jc w:val="left"/>
            </w:pPr>
            <w:r>
              <w:rPr>
                <w:sz w:val="15"/>
              </w:rPr>
              <w:t>DistilBERT Classifier, Hybrid KG/Vector</w:t>
            </w:r>
          </w:p>
        </w:tc>
        <w:tc>
          <w:tcPr>
            <w:tcW w:w="1818" w:type="dxa"/>
            <w:tcMar>
              <w:top w:w="40" w:type="dxa"/>
              <w:left w:w="40" w:type="dxa"/>
              <w:bottom w:w="40" w:type="dxa"/>
              <w:right w:w="40" w:type="dxa"/>
            </w:tcMar>
          </w:tcPr>
          <w:p w14:paraId="353D0E1F" w14:textId="77777777" w:rsidR="004D47E3" w:rsidRDefault="004D47E3" w:rsidP="004D47E3">
            <w:pPr>
              <w:spacing w:after="0" w:line="240" w:lineRule="auto"/>
              <w:jc w:val="left"/>
            </w:pPr>
            <w:r>
              <w:rPr>
                <w:sz w:val="15"/>
              </w:rPr>
              <w:t>Single domain (NYC Law 144); proprietary API lock-in.</w:t>
            </w:r>
          </w:p>
        </w:tc>
      </w:tr>
      <w:tr w:rsidR="004D47E3" w14:paraId="59CFDC33" w14:textId="77777777" w:rsidTr="004D47E3">
        <w:trPr>
          <w:trHeight w:val="294"/>
        </w:trPr>
        <w:tc>
          <w:tcPr>
            <w:tcW w:w="464" w:type="dxa"/>
            <w:tcMar>
              <w:top w:w="40" w:type="dxa"/>
              <w:left w:w="40" w:type="dxa"/>
              <w:bottom w:w="40" w:type="dxa"/>
              <w:right w:w="40" w:type="dxa"/>
            </w:tcMar>
          </w:tcPr>
          <w:p w14:paraId="5A77E488" w14:textId="77777777" w:rsidR="004D47E3" w:rsidRDefault="004D47E3" w:rsidP="004D47E3">
            <w:pPr>
              <w:spacing w:after="0" w:line="240" w:lineRule="auto"/>
              <w:jc w:val="center"/>
            </w:pPr>
            <w:r>
              <w:rPr>
                <w:sz w:val="15"/>
              </w:rPr>
              <w:t>[7]</w:t>
            </w:r>
          </w:p>
        </w:tc>
        <w:tc>
          <w:tcPr>
            <w:tcW w:w="999" w:type="dxa"/>
            <w:tcMar>
              <w:top w:w="40" w:type="dxa"/>
              <w:left w:w="40" w:type="dxa"/>
              <w:bottom w:w="40" w:type="dxa"/>
              <w:right w:w="40" w:type="dxa"/>
            </w:tcMar>
          </w:tcPr>
          <w:p w14:paraId="44871AC9" w14:textId="77777777" w:rsidR="004D47E3" w:rsidRDefault="004D47E3" w:rsidP="004D47E3">
            <w:pPr>
              <w:spacing w:after="0" w:line="240" w:lineRule="auto"/>
              <w:jc w:val="left"/>
            </w:pPr>
            <w:r>
              <w:rPr>
                <w:sz w:val="15"/>
              </w:rPr>
              <w:t>Survey of RAG</w:t>
            </w:r>
          </w:p>
        </w:tc>
        <w:tc>
          <w:tcPr>
            <w:tcW w:w="999" w:type="dxa"/>
            <w:tcMar>
              <w:top w:w="40" w:type="dxa"/>
              <w:left w:w="40" w:type="dxa"/>
              <w:bottom w:w="40" w:type="dxa"/>
              <w:right w:w="40" w:type="dxa"/>
            </w:tcMar>
          </w:tcPr>
          <w:p w14:paraId="0E1B78A6"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4EF033CC" w14:textId="77777777" w:rsidR="004D47E3" w:rsidRDefault="004D47E3" w:rsidP="004D47E3">
            <w:pPr>
              <w:spacing w:after="0" w:line="240" w:lineRule="auto"/>
              <w:jc w:val="center"/>
            </w:pPr>
            <w:r>
              <w:rPr>
                <w:sz w:val="15"/>
              </w:rPr>
              <w:t>Unconfirmed</w:t>
            </w:r>
          </w:p>
        </w:tc>
        <w:tc>
          <w:tcPr>
            <w:tcW w:w="1636" w:type="dxa"/>
            <w:tcMar>
              <w:top w:w="40" w:type="dxa"/>
              <w:left w:w="40" w:type="dxa"/>
              <w:bottom w:w="40" w:type="dxa"/>
              <w:right w:w="40" w:type="dxa"/>
            </w:tcMar>
          </w:tcPr>
          <w:p w14:paraId="6FFFFB7D" w14:textId="77777777" w:rsidR="004D47E3" w:rsidRDefault="004D47E3" w:rsidP="004D47E3">
            <w:pPr>
              <w:spacing w:after="0" w:line="240" w:lineRule="auto"/>
              <w:jc w:val="left"/>
            </w:pPr>
            <w:r>
              <w:rPr>
                <w:sz w:val="15"/>
              </w:rPr>
              <w:t>BM25, DPR, NLLB-E5, T5/BART</w:t>
            </w:r>
          </w:p>
        </w:tc>
        <w:tc>
          <w:tcPr>
            <w:tcW w:w="1818" w:type="dxa"/>
            <w:tcMar>
              <w:top w:w="40" w:type="dxa"/>
              <w:left w:w="40" w:type="dxa"/>
              <w:bottom w:w="40" w:type="dxa"/>
              <w:right w:w="40" w:type="dxa"/>
            </w:tcMar>
          </w:tcPr>
          <w:p w14:paraId="4A5FD735" w14:textId="77777777" w:rsidR="004D47E3" w:rsidRDefault="004D47E3" w:rsidP="004D47E3">
            <w:pPr>
              <w:spacing w:after="0" w:line="240" w:lineRule="auto"/>
              <w:jc w:val="left"/>
            </w:pPr>
            <w:r>
              <w:rPr>
                <w:sz w:val="15"/>
              </w:rPr>
              <w:t>Survey level; lacks Indian statutory evaluation.</w:t>
            </w:r>
          </w:p>
        </w:tc>
      </w:tr>
      <w:tr w:rsidR="004D47E3" w14:paraId="0FEA4B87" w14:textId="77777777" w:rsidTr="004D47E3">
        <w:trPr>
          <w:trHeight w:val="304"/>
        </w:trPr>
        <w:tc>
          <w:tcPr>
            <w:tcW w:w="464" w:type="dxa"/>
            <w:tcMar>
              <w:top w:w="40" w:type="dxa"/>
              <w:left w:w="40" w:type="dxa"/>
              <w:bottom w:w="40" w:type="dxa"/>
              <w:right w:w="40" w:type="dxa"/>
            </w:tcMar>
          </w:tcPr>
          <w:p w14:paraId="163F8977" w14:textId="77777777" w:rsidR="004D47E3" w:rsidRDefault="004D47E3" w:rsidP="004D47E3">
            <w:pPr>
              <w:spacing w:after="0" w:line="240" w:lineRule="auto"/>
              <w:jc w:val="center"/>
            </w:pPr>
            <w:r>
              <w:rPr>
                <w:sz w:val="15"/>
              </w:rPr>
              <w:t>[8]</w:t>
            </w:r>
          </w:p>
        </w:tc>
        <w:tc>
          <w:tcPr>
            <w:tcW w:w="999" w:type="dxa"/>
            <w:tcMar>
              <w:top w:w="40" w:type="dxa"/>
              <w:left w:w="40" w:type="dxa"/>
              <w:bottom w:w="40" w:type="dxa"/>
              <w:right w:w="40" w:type="dxa"/>
            </w:tcMar>
          </w:tcPr>
          <w:p w14:paraId="1E895427" w14:textId="77777777" w:rsidR="004D47E3" w:rsidRDefault="004D47E3" w:rsidP="004D47E3">
            <w:pPr>
              <w:spacing w:after="0" w:line="240" w:lineRule="auto"/>
              <w:jc w:val="left"/>
            </w:pPr>
            <w:r>
              <w:rPr>
                <w:sz w:val="15"/>
              </w:rPr>
              <w:t>Los efectos de la IA</w:t>
            </w:r>
          </w:p>
        </w:tc>
        <w:tc>
          <w:tcPr>
            <w:tcW w:w="999" w:type="dxa"/>
            <w:tcMar>
              <w:top w:w="40" w:type="dxa"/>
              <w:left w:w="40" w:type="dxa"/>
              <w:bottom w:w="40" w:type="dxa"/>
              <w:right w:w="40" w:type="dxa"/>
            </w:tcMar>
          </w:tcPr>
          <w:p w14:paraId="156E1F4F" w14:textId="77777777" w:rsidR="004D47E3" w:rsidRDefault="004D47E3" w:rsidP="004D47E3">
            <w:pPr>
              <w:spacing w:after="0" w:line="240" w:lineRule="auto"/>
              <w:jc w:val="left"/>
            </w:pPr>
            <w:r>
              <w:rPr>
                <w:sz w:val="15"/>
              </w:rPr>
              <w:t>Unverified (Spanish)</w:t>
            </w:r>
          </w:p>
        </w:tc>
        <w:tc>
          <w:tcPr>
            <w:tcW w:w="726" w:type="dxa"/>
            <w:tcMar>
              <w:top w:w="40" w:type="dxa"/>
              <w:left w:w="40" w:type="dxa"/>
              <w:bottom w:w="40" w:type="dxa"/>
              <w:right w:w="40" w:type="dxa"/>
            </w:tcMar>
          </w:tcPr>
          <w:p w14:paraId="3CB3C396" w14:textId="77777777" w:rsidR="004D47E3" w:rsidRDefault="004D47E3" w:rsidP="004D47E3">
            <w:pPr>
              <w:spacing w:after="0" w:line="240" w:lineRule="auto"/>
              <w:jc w:val="center"/>
            </w:pPr>
            <w:r>
              <w:rPr>
                <w:sz w:val="15"/>
              </w:rPr>
              <w:t>Unconfirmed</w:t>
            </w:r>
          </w:p>
        </w:tc>
        <w:tc>
          <w:tcPr>
            <w:tcW w:w="1636" w:type="dxa"/>
            <w:tcMar>
              <w:top w:w="40" w:type="dxa"/>
              <w:left w:w="40" w:type="dxa"/>
              <w:bottom w:w="40" w:type="dxa"/>
              <w:right w:w="40" w:type="dxa"/>
            </w:tcMar>
          </w:tcPr>
          <w:p w14:paraId="57631992" w14:textId="77777777" w:rsidR="004D47E3" w:rsidRDefault="004D47E3" w:rsidP="004D47E3">
            <w:pPr>
              <w:spacing w:after="0" w:line="240" w:lineRule="auto"/>
              <w:jc w:val="left"/>
            </w:pPr>
            <w:r>
              <w:rPr>
                <w:sz w:val="15"/>
              </w:rPr>
              <w:t>Theoretical LegalTech, Blockchain, ChatGPT</w:t>
            </w:r>
          </w:p>
        </w:tc>
        <w:tc>
          <w:tcPr>
            <w:tcW w:w="1818" w:type="dxa"/>
            <w:tcMar>
              <w:top w:w="40" w:type="dxa"/>
              <w:left w:w="40" w:type="dxa"/>
              <w:bottom w:w="40" w:type="dxa"/>
              <w:right w:w="40" w:type="dxa"/>
            </w:tcMar>
          </w:tcPr>
          <w:p w14:paraId="0FD8EC34" w14:textId="77777777" w:rsidR="004D47E3" w:rsidRDefault="004D47E3" w:rsidP="004D47E3">
            <w:pPr>
              <w:spacing w:after="0" w:line="240" w:lineRule="auto"/>
              <w:jc w:val="left"/>
            </w:pPr>
            <w:r>
              <w:rPr>
                <w:sz w:val="15"/>
              </w:rPr>
              <w:t>Theoretical only; European civil law focus; no code/data.</w:t>
            </w:r>
          </w:p>
        </w:tc>
      </w:tr>
      <w:tr w:rsidR="004D47E3" w14:paraId="522FA882" w14:textId="77777777" w:rsidTr="004D47E3">
        <w:trPr>
          <w:trHeight w:val="304"/>
        </w:trPr>
        <w:tc>
          <w:tcPr>
            <w:tcW w:w="464" w:type="dxa"/>
            <w:tcMar>
              <w:top w:w="40" w:type="dxa"/>
              <w:left w:w="40" w:type="dxa"/>
              <w:bottom w:w="40" w:type="dxa"/>
              <w:right w:w="40" w:type="dxa"/>
            </w:tcMar>
          </w:tcPr>
          <w:p w14:paraId="2A603C35" w14:textId="77777777" w:rsidR="004D47E3" w:rsidRDefault="004D47E3" w:rsidP="004D47E3">
            <w:pPr>
              <w:spacing w:after="0" w:line="240" w:lineRule="auto"/>
              <w:jc w:val="center"/>
            </w:pPr>
            <w:r>
              <w:rPr>
                <w:sz w:val="15"/>
              </w:rPr>
              <w:t>[9]</w:t>
            </w:r>
          </w:p>
        </w:tc>
        <w:tc>
          <w:tcPr>
            <w:tcW w:w="999" w:type="dxa"/>
            <w:tcMar>
              <w:top w:w="40" w:type="dxa"/>
              <w:left w:w="40" w:type="dxa"/>
              <w:bottom w:w="40" w:type="dxa"/>
              <w:right w:w="40" w:type="dxa"/>
            </w:tcMar>
          </w:tcPr>
          <w:p w14:paraId="48F27FA4" w14:textId="77777777" w:rsidR="004D47E3" w:rsidRDefault="004D47E3" w:rsidP="004D47E3">
            <w:pPr>
              <w:spacing w:after="0" w:line="240" w:lineRule="auto"/>
              <w:jc w:val="left"/>
            </w:pPr>
            <w:r>
              <w:rPr>
                <w:sz w:val="15"/>
              </w:rPr>
              <w:t>Bridging Legal Knowledge</w:t>
            </w:r>
          </w:p>
        </w:tc>
        <w:tc>
          <w:tcPr>
            <w:tcW w:w="999" w:type="dxa"/>
            <w:tcMar>
              <w:top w:w="40" w:type="dxa"/>
              <w:left w:w="40" w:type="dxa"/>
              <w:bottom w:w="40" w:type="dxa"/>
              <w:right w:w="40" w:type="dxa"/>
            </w:tcMar>
          </w:tcPr>
          <w:p w14:paraId="1A178DDF"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14AA6EF1" w14:textId="77777777" w:rsidR="004D47E3" w:rsidRDefault="004D47E3" w:rsidP="004D47E3">
            <w:pPr>
              <w:spacing w:after="0" w:line="240" w:lineRule="auto"/>
              <w:jc w:val="center"/>
            </w:pPr>
            <w:r>
              <w:rPr>
                <w:sz w:val="15"/>
              </w:rPr>
              <w:t>Unconfirmed</w:t>
            </w:r>
          </w:p>
        </w:tc>
        <w:tc>
          <w:tcPr>
            <w:tcW w:w="1636" w:type="dxa"/>
            <w:tcMar>
              <w:top w:w="40" w:type="dxa"/>
              <w:left w:w="40" w:type="dxa"/>
              <w:bottom w:w="40" w:type="dxa"/>
              <w:right w:w="40" w:type="dxa"/>
            </w:tcMar>
          </w:tcPr>
          <w:p w14:paraId="696EDF9A" w14:textId="77777777" w:rsidR="004D47E3" w:rsidRDefault="004D47E3" w:rsidP="004D47E3">
            <w:pPr>
              <w:spacing w:after="0" w:line="240" w:lineRule="auto"/>
              <w:jc w:val="left"/>
            </w:pPr>
            <w:r>
              <w:rPr>
                <w:sz w:val="15"/>
              </w:rPr>
              <w:t>Knowledge Graphs, Neo4j, Milvus, NMFk</w:t>
            </w:r>
          </w:p>
        </w:tc>
        <w:tc>
          <w:tcPr>
            <w:tcW w:w="1818" w:type="dxa"/>
            <w:tcMar>
              <w:top w:w="40" w:type="dxa"/>
              <w:left w:w="40" w:type="dxa"/>
              <w:bottom w:w="40" w:type="dxa"/>
              <w:right w:w="40" w:type="dxa"/>
            </w:tcMar>
          </w:tcPr>
          <w:p w14:paraId="5D84FECB" w14:textId="77777777" w:rsidR="004D47E3" w:rsidRDefault="004D47E3" w:rsidP="004D47E3">
            <w:pPr>
              <w:spacing w:after="0" w:line="240" w:lineRule="auto"/>
              <w:jc w:val="left"/>
            </w:pPr>
            <w:r>
              <w:rPr>
                <w:sz w:val="15"/>
              </w:rPr>
              <w:t>Narrow US scope; 70%–80% retrieval precision is insufficient.</w:t>
            </w:r>
          </w:p>
        </w:tc>
      </w:tr>
      <w:tr w:rsidR="004D47E3" w14:paraId="428CA71A" w14:textId="77777777" w:rsidTr="004D47E3">
        <w:trPr>
          <w:trHeight w:val="294"/>
        </w:trPr>
        <w:tc>
          <w:tcPr>
            <w:tcW w:w="464" w:type="dxa"/>
            <w:tcMar>
              <w:top w:w="40" w:type="dxa"/>
              <w:left w:w="40" w:type="dxa"/>
              <w:bottom w:w="40" w:type="dxa"/>
              <w:right w:w="40" w:type="dxa"/>
            </w:tcMar>
          </w:tcPr>
          <w:p w14:paraId="0960593F" w14:textId="77777777" w:rsidR="004D47E3" w:rsidRDefault="004D47E3" w:rsidP="004D47E3">
            <w:pPr>
              <w:spacing w:after="0" w:line="240" w:lineRule="auto"/>
              <w:jc w:val="center"/>
            </w:pPr>
            <w:r>
              <w:rPr>
                <w:sz w:val="15"/>
              </w:rPr>
              <w:t>[10]</w:t>
            </w:r>
          </w:p>
        </w:tc>
        <w:tc>
          <w:tcPr>
            <w:tcW w:w="999" w:type="dxa"/>
            <w:tcMar>
              <w:top w:w="40" w:type="dxa"/>
              <w:left w:w="40" w:type="dxa"/>
              <w:bottom w:w="40" w:type="dxa"/>
              <w:right w:w="40" w:type="dxa"/>
            </w:tcMar>
          </w:tcPr>
          <w:p w14:paraId="504C8D71" w14:textId="77777777" w:rsidR="004D47E3" w:rsidRDefault="004D47E3" w:rsidP="004D47E3">
            <w:pPr>
              <w:spacing w:after="0" w:line="240" w:lineRule="auto"/>
              <w:jc w:val="left"/>
            </w:pPr>
            <w:r>
              <w:rPr>
                <w:sz w:val="15"/>
              </w:rPr>
              <w:t>Legalify (Post-Training)</w:t>
            </w:r>
          </w:p>
        </w:tc>
        <w:tc>
          <w:tcPr>
            <w:tcW w:w="999" w:type="dxa"/>
            <w:tcMar>
              <w:top w:w="40" w:type="dxa"/>
              <w:left w:w="40" w:type="dxa"/>
              <w:bottom w:w="40" w:type="dxa"/>
              <w:right w:w="40" w:type="dxa"/>
            </w:tcMar>
          </w:tcPr>
          <w:p w14:paraId="23DB13CD"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26935A98" w14:textId="77777777" w:rsidR="004D47E3" w:rsidRDefault="004D47E3" w:rsidP="004D47E3">
            <w:pPr>
              <w:spacing w:after="0" w:line="240" w:lineRule="auto"/>
              <w:jc w:val="center"/>
            </w:pPr>
            <w:r>
              <w:rPr>
                <w:sz w:val="15"/>
              </w:rPr>
              <w:t>Est. 2024–25</w:t>
            </w:r>
          </w:p>
        </w:tc>
        <w:tc>
          <w:tcPr>
            <w:tcW w:w="1636" w:type="dxa"/>
            <w:tcMar>
              <w:top w:w="40" w:type="dxa"/>
              <w:left w:w="40" w:type="dxa"/>
              <w:bottom w:w="40" w:type="dxa"/>
              <w:right w:w="40" w:type="dxa"/>
            </w:tcMar>
          </w:tcPr>
          <w:p w14:paraId="7E0738C1" w14:textId="77777777" w:rsidR="004D47E3" w:rsidRDefault="004D47E3" w:rsidP="004D47E3">
            <w:pPr>
              <w:spacing w:after="0" w:line="240" w:lineRule="auto"/>
              <w:jc w:val="left"/>
            </w:pPr>
            <w:r>
              <w:rPr>
                <w:sz w:val="15"/>
              </w:rPr>
              <w:t>LoRA Fine-Tuning, RAG, RLAIF</w:t>
            </w:r>
          </w:p>
        </w:tc>
        <w:tc>
          <w:tcPr>
            <w:tcW w:w="1818" w:type="dxa"/>
            <w:tcMar>
              <w:top w:w="40" w:type="dxa"/>
              <w:left w:w="40" w:type="dxa"/>
              <w:bottom w:w="40" w:type="dxa"/>
              <w:right w:w="40" w:type="dxa"/>
            </w:tcMar>
          </w:tcPr>
          <w:p w14:paraId="76194583" w14:textId="77777777" w:rsidR="004D47E3" w:rsidRDefault="004D47E3" w:rsidP="004D47E3">
            <w:pPr>
              <w:spacing w:after="0" w:line="240" w:lineRule="auto"/>
              <w:jc w:val="left"/>
            </w:pPr>
            <w:r>
              <w:rPr>
                <w:sz w:val="15"/>
              </w:rPr>
              <w:t>Residual hallucination risk; RLAIF model dependence.</w:t>
            </w:r>
          </w:p>
        </w:tc>
      </w:tr>
      <w:tr w:rsidR="004D47E3" w14:paraId="60AEDD35" w14:textId="77777777" w:rsidTr="004D47E3">
        <w:trPr>
          <w:trHeight w:val="304"/>
        </w:trPr>
        <w:tc>
          <w:tcPr>
            <w:tcW w:w="464" w:type="dxa"/>
            <w:tcMar>
              <w:top w:w="40" w:type="dxa"/>
              <w:left w:w="40" w:type="dxa"/>
              <w:bottom w:w="40" w:type="dxa"/>
              <w:right w:w="40" w:type="dxa"/>
            </w:tcMar>
          </w:tcPr>
          <w:p w14:paraId="28F37BAB" w14:textId="77777777" w:rsidR="004D47E3" w:rsidRDefault="004D47E3" w:rsidP="004D47E3">
            <w:pPr>
              <w:spacing w:after="0" w:line="240" w:lineRule="auto"/>
              <w:jc w:val="center"/>
            </w:pPr>
            <w:r>
              <w:rPr>
                <w:sz w:val="15"/>
              </w:rPr>
              <w:t>[11]</w:t>
            </w:r>
          </w:p>
        </w:tc>
        <w:tc>
          <w:tcPr>
            <w:tcW w:w="999" w:type="dxa"/>
            <w:tcMar>
              <w:top w:w="40" w:type="dxa"/>
              <w:left w:w="40" w:type="dxa"/>
              <w:bottom w:w="40" w:type="dxa"/>
              <w:right w:w="40" w:type="dxa"/>
            </w:tcMar>
          </w:tcPr>
          <w:p w14:paraId="1FDC2631" w14:textId="77777777" w:rsidR="004D47E3" w:rsidRDefault="004D47E3" w:rsidP="004D47E3">
            <w:pPr>
              <w:spacing w:after="0" w:line="240" w:lineRule="auto"/>
              <w:jc w:val="left"/>
            </w:pPr>
            <w:r>
              <w:rPr>
                <w:sz w:val="15"/>
              </w:rPr>
              <w:t>Deploying LLMs</w:t>
            </w:r>
          </w:p>
        </w:tc>
        <w:tc>
          <w:tcPr>
            <w:tcW w:w="999" w:type="dxa"/>
            <w:tcMar>
              <w:top w:w="40" w:type="dxa"/>
              <w:left w:w="40" w:type="dxa"/>
              <w:bottom w:w="40" w:type="dxa"/>
              <w:right w:w="40" w:type="dxa"/>
            </w:tcMar>
          </w:tcPr>
          <w:p w14:paraId="5BB1DBD3"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514B0611" w14:textId="77777777" w:rsidR="004D47E3" w:rsidRDefault="004D47E3" w:rsidP="004D47E3">
            <w:pPr>
              <w:spacing w:after="0" w:line="240" w:lineRule="auto"/>
              <w:jc w:val="center"/>
            </w:pPr>
            <w:r>
              <w:rPr>
                <w:sz w:val="15"/>
              </w:rPr>
              <w:t>Est. 2024</w:t>
            </w:r>
          </w:p>
        </w:tc>
        <w:tc>
          <w:tcPr>
            <w:tcW w:w="1636" w:type="dxa"/>
            <w:tcMar>
              <w:top w:w="40" w:type="dxa"/>
              <w:left w:w="40" w:type="dxa"/>
              <w:bottom w:w="40" w:type="dxa"/>
              <w:right w:w="40" w:type="dxa"/>
            </w:tcMar>
          </w:tcPr>
          <w:p w14:paraId="4634A0E7" w14:textId="77777777" w:rsidR="004D47E3" w:rsidRDefault="004D47E3" w:rsidP="004D47E3">
            <w:pPr>
              <w:spacing w:after="0" w:line="240" w:lineRule="auto"/>
              <w:jc w:val="left"/>
            </w:pPr>
            <w:r>
              <w:rPr>
                <w:sz w:val="15"/>
              </w:rPr>
              <w:t>LangChain, ChromaDB, Flask, GPT-4-T</w:t>
            </w:r>
          </w:p>
        </w:tc>
        <w:tc>
          <w:tcPr>
            <w:tcW w:w="1818" w:type="dxa"/>
            <w:tcMar>
              <w:top w:w="40" w:type="dxa"/>
              <w:left w:w="40" w:type="dxa"/>
              <w:bottom w:w="40" w:type="dxa"/>
              <w:right w:w="40" w:type="dxa"/>
            </w:tcMar>
          </w:tcPr>
          <w:p w14:paraId="6C0D98E1" w14:textId="77777777" w:rsidR="004D47E3" w:rsidRDefault="004D47E3" w:rsidP="004D47E3">
            <w:pPr>
              <w:spacing w:after="0" w:line="240" w:lineRule="auto"/>
              <w:jc w:val="left"/>
            </w:pPr>
            <w:r>
              <w:rPr>
                <w:sz w:val="15"/>
              </w:rPr>
              <w:t>Proprietary API costs; privacy risks; small user study.</w:t>
            </w:r>
          </w:p>
        </w:tc>
      </w:tr>
      <w:tr w:rsidR="004D47E3" w14:paraId="06E76CD6" w14:textId="77777777" w:rsidTr="004D47E3">
        <w:trPr>
          <w:trHeight w:val="304"/>
        </w:trPr>
        <w:tc>
          <w:tcPr>
            <w:tcW w:w="464" w:type="dxa"/>
            <w:tcMar>
              <w:top w:w="40" w:type="dxa"/>
              <w:left w:w="40" w:type="dxa"/>
              <w:bottom w:w="40" w:type="dxa"/>
              <w:right w:w="40" w:type="dxa"/>
            </w:tcMar>
          </w:tcPr>
          <w:p w14:paraId="2F6922A1" w14:textId="77777777" w:rsidR="004D47E3" w:rsidRDefault="004D47E3" w:rsidP="004D47E3">
            <w:pPr>
              <w:spacing w:after="0" w:line="240" w:lineRule="auto"/>
              <w:jc w:val="center"/>
            </w:pPr>
            <w:r>
              <w:rPr>
                <w:sz w:val="15"/>
              </w:rPr>
              <w:t>[12]</w:t>
            </w:r>
          </w:p>
        </w:tc>
        <w:tc>
          <w:tcPr>
            <w:tcW w:w="999" w:type="dxa"/>
            <w:tcMar>
              <w:top w:w="40" w:type="dxa"/>
              <w:left w:w="40" w:type="dxa"/>
              <w:bottom w:w="40" w:type="dxa"/>
              <w:right w:w="40" w:type="dxa"/>
            </w:tcMar>
          </w:tcPr>
          <w:p w14:paraId="6F62554C" w14:textId="77777777" w:rsidR="004D47E3" w:rsidRDefault="004D47E3" w:rsidP="004D47E3">
            <w:pPr>
              <w:spacing w:after="0" w:line="240" w:lineRule="auto"/>
              <w:jc w:val="left"/>
            </w:pPr>
            <w:r>
              <w:rPr>
                <w:sz w:val="15"/>
              </w:rPr>
              <w:t>VidhikDastaavej</w:t>
            </w:r>
          </w:p>
        </w:tc>
        <w:tc>
          <w:tcPr>
            <w:tcW w:w="999" w:type="dxa"/>
            <w:tcMar>
              <w:top w:w="40" w:type="dxa"/>
              <w:left w:w="40" w:type="dxa"/>
              <w:bottom w:w="40" w:type="dxa"/>
              <w:right w:w="40" w:type="dxa"/>
            </w:tcMar>
          </w:tcPr>
          <w:p w14:paraId="2A6F4A82" w14:textId="77777777" w:rsidR="004D47E3" w:rsidRDefault="004D47E3" w:rsidP="004D47E3">
            <w:pPr>
              <w:spacing w:after="0" w:line="240" w:lineRule="auto"/>
              <w:jc w:val="left"/>
            </w:pPr>
            <w:r>
              <w:rPr>
                <w:sz w:val="15"/>
              </w:rPr>
              <w:t>Nigam et al. (IIT Kanpur)</w:t>
            </w:r>
          </w:p>
        </w:tc>
        <w:tc>
          <w:tcPr>
            <w:tcW w:w="726" w:type="dxa"/>
            <w:tcMar>
              <w:top w:w="40" w:type="dxa"/>
              <w:left w:w="40" w:type="dxa"/>
              <w:bottom w:w="40" w:type="dxa"/>
              <w:right w:w="40" w:type="dxa"/>
            </w:tcMar>
          </w:tcPr>
          <w:p w14:paraId="0A8A277C" w14:textId="77777777" w:rsidR="004D47E3" w:rsidRDefault="004D47E3" w:rsidP="004D47E3">
            <w:pPr>
              <w:spacing w:after="0" w:line="240" w:lineRule="auto"/>
              <w:jc w:val="center"/>
            </w:pPr>
            <w:r>
              <w:rPr>
                <w:sz w:val="15"/>
              </w:rPr>
              <w:t>2025 (LREC)</w:t>
            </w:r>
          </w:p>
        </w:tc>
        <w:tc>
          <w:tcPr>
            <w:tcW w:w="1636" w:type="dxa"/>
            <w:tcMar>
              <w:top w:w="40" w:type="dxa"/>
              <w:left w:w="40" w:type="dxa"/>
              <w:bottom w:w="40" w:type="dxa"/>
              <w:right w:w="40" w:type="dxa"/>
            </w:tcMar>
          </w:tcPr>
          <w:p w14:paraId="711973BF" w14:textId="77777777" w:rsidR="004D47E3" w:rsidRDefault="004D47E3" w:rsidP="004D47E3">
            <w:pPr>
              <w:spacing w:after="0" w:line="240" w:lineRule="auto"/>
              <w:jc w:val="left"/>
            </w:pPr>
            <w:r>
              <w:rPr>
                <w:sz w:val="15"/>
              </w:rPr>
              <w:t>Model-Agnostic Wrapper, NyayaShilp</w:t>
            </w:r>
          </w:p>
        </w:tc>
        <w:tc>
          <w:tcPr>
            <w:tcW w:w="1818" w:type="dxa"/>
            <w:tcMar>
              <w:top w:w="40" w:type="dxa"/>
              <w:left w:w="40" w:type="dxa"/>
              <w:bottom w:w="40" w:type="dxa"/>
              <w:right w:w="40" w:type="dxa"/>
            </w:tcMar>
          </w:tcPr>
          <w:p w14:paraId="787A4CF6" w14:textId="77777777" w:rsidR="004D47E3" w:rsidRDefault="004D47E3" w:rsidP="004D47E3">
            <w:pPr>
              <w:spacing w:after="0" w:line="240" w:lineRule="auto"/>
              <w:jc w:val="left"/>
            </w:pPr>
            <w:r>
              <w:rPr>
                <w:sz w:val="15"/>
              </w:rPr>
              <w:t>Modest dataset (489 docs); SFT performance degradation.</w:t>
            </w:r>
          </w:p>
        </w:tc>
      </w:tr>
      <w:tr w:rsidR="004D47E3" w14:paraId="2A696FD0" w14:textId="77777777" w:rsidTr="004D47E3">
        <w:trPr>
          <w:trHeight w:val="294"/>
        </w:trPr>
        <w:tc>
          <w:tcPr>
            <w:tcW w:w="464" w:type="dxa"/>
            <w:tcMar>
              <w:top w:w="40" w:type="dxa"/>
              <w:left w:w="40" w:type="dxa"/>
              <w:bottom w:w="40" w:type="dxa"/>
              <w:right w:w="40" w:type="dxa"/>
            </w:tcMar>
          </w:tcPr>
          <w:p w14:paraId="7746FDC5" w14:textId="77777777" w:rsidR="004D47E3" w:rsidRDefault="004D47E3" w:rsidP="004D47E3">
            <w:pPr>
              <w:spacing w:after="0" w:line="240" w:lineRule="auto"/>
              <w:jc w:val="center"/>
            </w:pPr>
            <w:r>
              <w:rPr>
                <w:sz w:val="15"/>
              </w:rPr>
              <w:t>[13]</w:t>
            </w:r>
          </w:p>
        </w:tc>
        <w:tc>
          <w:tcPr>
            <w:tcW w:w="999" w:type="dxa"/>
            <w:tcMar>
              <w:top w:w="40" w:type="dxa"/>
              <w:left w:w="40" w:type="dxa"/>
              <w:bottom w:w="40" w:type="dxa"/>
              <w:right w:w="40" w:type="dxa"/>
            </w:tcMar>
          </w:tcPr>
          <w:p w14:paraId="798258F6" w14:textId="77777777" w:rsidR="004D47E3" w:rsidRDefault="004D47E3" w:rsidP="004D47E3">
            <w:pPr>
              <w:spacing w:after="0" w:line="240" w:lineRule="auto"/>
              <w:jc w:val="left"/>
            </w:pPr>
            <w:r>
              <w:rPr>
                <w:sz w:val="15"/>
              </w:rPr>
              <w:t>NLP for Legal Survey</w:t>
            </w:r>
          </w:p>
        </w:tc>
        <w:tc>
          <w:tcPr>
            <w:tcW w:w="999" w:type="dxa"/>
            <w:tcMar>
              <w:top w:w="40" w:type="dxa"/>
              <w:left w:w="40" w:type="dxa"/>
              <w:bottom w:w="40" w:type="dxa"/>
              <w:right w:w="40" w:type="dxa"/>
            </w:tcMar>
          </w:tcPr>
          <w:p w14:paraId="189BD2E0"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2CF59871" w14:textId="77777777" w:rsidR="004D47E3" w:rsidRDefault="004D47E3" w:rsidP="004D47E3">
            <w:pPr>
              <w:spacing w:after="0" w:line="240" w:lineRule="auto"/>
              <w:jc w:val="center"/>
            </w:pPr>
            <w:r>
              <w:rPr>
                <w:sz w:val="15"/>
              </w:rPr>
              <w:t>Unconfirmed</w:t>
            </w:r>
          </w:p>
        </w:tc>
        <w:tc>
          <w:tcPr>
            <w:tcW w:w="1636" w:type="dxa"/>
            <w:tcMar>
              <w:top w:w="40" w:type="dxa"/>
              <w:left w:w="40" w:type="dxa"/>
              <w:bottom w:w="40" w:type="dxa"/>
              <w:right w:w="40" w:type="dxa"/>
            </w:tcMar>
          </w:tcPr>
          <w:p w14:paraId="64E60250" w14:textId="77777777" w:rsidR="004D47E3" w:rsidRDefault="004D47E3" w:rsidP="004D47E3">
            <w:pPr>
              <w:spacing w:after="0" w:line="240" w:lineRule="auto"/>
              <w:jc w:val="left"/>
            </w:pPr>
            <w:r>
              <w:rPr>
                <w:sz w:val="15"/>
              </w:rPr>
              <w:t>PRISMA Survey, LEGAL-BERT, SaulLM-7B</w:t>
            </w:r>
          </w:p>
        </w:tc>
        <w:tc>
          <w:tcPr>
            <w:tcW w:w="1818" w:type="dxa"/>
            <w:tcMar>
              <w:top w:w="40" w:type="dxa"/>
              <w:left w:w="40" w:type="dxa"/>
              <w:bottom w:w="40" w:type="dxa"/>
              <w:right w:w="40" w:type="dxa"/>
            </w:tcMar>
          </w:tcPr>
          <w:p w14:paraId="66F39A0A" w14:textId="77777777" w:rsidR="004D47E3" w:rsidRDefault="004D47E3" w:rsidP="004D47E3">
            <w:pPr>
              <w:spacing w:after="0" w:line="240" w:lineRule="auto"/>
              <w:jc w:val="left"/>
            </w:pPr>
            <w:r>
              <w:rPr>
                <w:sz w:val="15"/>
              </w:rPr>
              <w:t>Dataset deficits identified; scanned PDF OCR unresolved.</w:t>
            </w:r>
          </w:p>
        </w:tc>
      </w:tr>
      <w:tr w:rsidR="004D47E3" w14:paraId="285CA13E" w14:textId="77777777" w:rsidTr="004D47E3">
        <w:trPr>
          <w:trHeight w:val="304"/>
        </w:trPr>
        <w:tc>
          <w:tcPr>
            <w:tcW w:w="464" w:type="dxa"/>
            <w:tcMar>
              <w:top w:w="40" w:type="dxa"/>
              <w:left w:w="40" w:type="dxa"/>
              <w:bottom w:w="40" w:type="dxa"/>
              <w:right w:w="40" w:type="dxa"/>
            </w:tcMar>
          </w:tcPr>
          <w:p w14:paraId="29F353E8" w14:textId="77777777" w:rsidR="004D47E3" w:rsidRDefault="004D47E3" w:rsidP="004D47E3">
            <w:pPr>
              <w:spacing w:after="0" w:line="240" w:lineRule="auto"/>
              <w:jc w:val="center"/>
            </w:pPr>
            <w:r>
              <w:rPr>
                <w:sz w:val="15"/>
              </w:rPr>
              <w:t>[14]</w:t>
            </w:r>
          </w:p>
        </w:tc>
        <w:tc>
          <w:tcPr>
            <w:tcW w:w="999" w:type="dxa"/>
            <w:tcMar>
              <w:top w:w="40" w:type="dxa"/>
              <w:left w:w="40" w:type="dxa"/>
              <w:bottom w:w="40" w:type="dxa"/>
              <w:right w:w="40" w:type="dxa"/>
            </w:tcMar>
          </w:tcPr>
          <w:p w14:paraId="76E6C0D9" w14:textId="77777777" w:rsidR="004D47E3" w:rsidRDefault="004D47E3" w:rsidP="004D47E3">
            <w:pPr>
              <w:spacing w:after="0" w:line="240" w:lineRule="auto"/>
              <w:jc w:val="left"/>
            </w:pPr>
            <w:r>
              <w:rPr>
                <w:sz w:val="15"/>
              </w:rPr>
              <w:t>RAG using LLMs</w:t>
            </w:r>
          </w:p>
        </w:tc>
        <w:tc>
          <w:tcPr>
            <w:tcW w:w="999" w:type="dxa"/>
            <w:tcMar>
              <w:top w:w="40" w:type="dxa"/>
              <w:left w:w="40" w:type="dxa"/>
              <w:bottom w:w="40" w:type="dxa"/>
              <w:right w:w="40" w:type="dxa"/>
            </w:tcMar>
          </w:tcPr>
          <w:p w14:paraId="0D812F4F" w14:textId="77777777" w:rsidR="004D47E3" w:rsidRDefault="004D47E3" w:rsidP="004D47E3">
            <w:pPr>
              <w:spacing w:after="0" w:line="240" w:lineRule="auto"/>
              <w:jc w:val="left"/>
            </w:pPr>
            <w:r>
              <w:rPr>
                <w:sz w:val="15"/>
              </w:rPr>
              <w:t>Unverified</w:t>
            </w:r>
          </w:p>
        </w:tc>
        <w:tc>
          <w:tcPr>
            <w:tcW w:w="726" w:type="dxa"/>
            <w:tcMar>
              <w:top w:w="40" w:type="dxa"/>
              <w:left w:w="40" w:type="dxa"/>
              <w:bottom w:w="40" w:type="dxa"/>
              <w:right w:w="40" w:type="dxa"/>
            </w:tcMar>
          </w:tcPr>
          <w:p w14:paraId="3000A186" w14:textId="77777777" w:rsidR="004D47E3" w:rsidRDefault="004D47E3" w:rsidP="004D47E3">
            <w:pPr>
              <w:spacing w:after="0" w:line="240" w:lineRule="auto"/>
              <w:jc w:val="center"/>
            </w:pPr>
            <w:r>
              <w:rPr>
                <w:sz w:val="15"/>
              </w:rPr>
              <w:t>Unconfirmed</w:t>
            </w:r>
          </w:p>
        </w:tc>
        <w:tc>
          <w:tcPr>
            <w:tcW w:w="1636" w:type="dxa"/>
            <w:tcMar>
              <w:top w:w="40" w:type="dxa"/>
              <w:left w:w="40" w:type="dxa"/>
              <w:bottom w:w="40" w:type="dxa"/>
              <w:right w:w="40" w:type="dxa"/>
            </w:tcMar>
          </w:tcPr>
          <w:p w14:paraId="23415185" w14:textId="77777777" w:rsidR="004D47E3" w:rsidRDefault="004D47E3" w:rsidP="004D47E3">
            <w:pPr>
              <w:spacing w:after="0" w:line="240" w:lineRule="auto"/>
              <w:jc w:val="left"/>
            </w:pPr>
            <w:r>
              <w:rPr>
                <w:sz w:val="15"/>
              </w:rPr>
              <w:t>Llama, Mistral, Falcon Comparative Stack</w:t>
            </w:r>
          </w:p>
        </w:tc>
        <w:tc>
          <w:tcPr>
            <w:tcW w:w="1818" w:type="dxa"/>
            <w:tcMar>
              <w:top w:w="40" w:type="dxa"/>
              <w:left w:w="40" w:type="dxa"/>
              <w:bottom w:w="40" w:type="dxa"/>
              <w:right w:w="40" w:type="dxa"/>
            </w:tcMar>
          </w:tcPr>
          <w:p w14:paraId="1BE12BDE" w14:textId="77777777" w:rsidR="004D47E3" w:rsidRDefault="004D47E3" w:rsidP="004D47E3">
            <w:pPr>
              <w:spacing w:after="0" w:line="240" w:lineRule="auto"/>
              <w:jc w:val="left"/>
            </w:pPr>
            <w:r>
              <w:rPr>
                <w:sz w:val="15"/>
              </w:rPr>
              <w:t>Generic benchmark; no legal or domain-adapted retrieval.</w:t>
            </w:r>
          </w:p>
        </w:tc>
      </w:tr>
      <w:tr w:rsidR="004D47E3" w14:paraId="016FA3A7" w14:textId="77777777" w:rsidTr="004D47E3">
        <w:trPr>
          <w:trHeight w:val="294"/>
        </w:trPr>
        <w:tc>
          <w:tcPr>
            <w:tcW w:w="464" w:type="dxa"/>
            <w:tcMar>
              <w:top w:w="40" w:type="dxa"/>
              <w:left w:w="40" w:type="dxa"/>
              <w:bottom w:w="40" w:type="dxa"/>
              <w:right w:w="40" w:type="dxa"/>
            </w:tcMar>
          </w:tcPr>
          <w:p w14:paraId="04A286D7" w14:textId="77777777" w:rsidR="004D47E3" w:rsidRDefault="004D47E3" w:rsidP="004D47E3">
            <w:pPr>
              <w:spacing w:after="0" w:line="240" w:lineRule="auto"/>
              <w:jc w:val="center"/>
            </w:pPr>
            <w:r>
              <w:rPr>
                <w:sz w:val="15"/>
              </w:rPr>
              <w:t>[15]</w:t>
            </w:r>
          </w:p>
        </w:tc>
        <w:tc>
          <w:tcPr>
            <w:tcW w:w="999" w:type="dxa"/>
            <w:tcMar>
              <w:top w:w="40" w:type="dxa"/>
              <w:left w:w="40" w:type="dxa"/>
              <w:bottom w:w="40" w:type="dxa"/>
              <w:right w:w="40" w:type="dxa"/>
            </w:tcMar>
          </w:tcPr>
          <w:p w14:paraId="6A1BAC3C" w14:textId="77777777" w:rsidR="004D47E3" w:rsidRDefault="004D47E3" w:rsidP="004D47E3">
            <w:pPr>
              <w:spacing w:after="0" w:line="240" w:lineRule="auto"/>
              <w:jc w:val="left"/>
            </w:pPr>
            <w:r>
              <w:rPr>
                <w:sz w:val="15"/>
              </w:rPr>
              <w:t>Optimization of LLMs</w:t>
            </w:r>
          </w:p>
        </w:tc>
        <w:tc>
          <w:tcPr>
            <w:tcW w:w="999" w:type="dxa"/>
            <w:tcMar>
              <w:top w:w="40" w:type="dxa"/>
              <w:left w:w="40" w:type="dxa"/>
              <w:bottom w:w="40" w:type="dxa"/>
              <w:right w:w="40" w:type="dxa"/>
            </w:tcMar>
          </w:tcPr>
          <w:p w14:paraId="42AB7A99" w14:textId="77777777" w:rsidR="004D47E3" w:rsidRDefault="004D47E3" w:rsidP="004D47E3">
            <w:pPr>
              <w:spacing w:after="0" w:line="240" w:lineRule="auto"/>
              <w:jc w:val="left"/>
            </w:pPr>
            <w:r>
              <w:rPr>
                <w:sz w:val="15"/>
              </w:rPr>
              <w:t>Dhande et al.</w:t>
            </w:r>
          </w:p>
        </w:tc>
        <w:tc>
          <w:tcPr>
            <w:tcW w:w="726" w:type="dxa"/>
            <w:tcMar>
              <w:top w:w="40" w:type="dxa"/>
              <w:left w:w="40" w:type="dxa"/>
              <w:bottom w:w="40" w:type="dxa"/>
              <w:right w:w="40" w:type="dxa"/>
            </w:tcMar>
          </w:tcPr>
          <w:p w14:paraId="478B22A3" w14:textId="77777777" w:rsidR="004D47E3" w:rsidRDefault="004D47E3" w:rsidP="004D47E3">
            <w:pPr>
              <w:spacing w:after="0" w:line="240" w:lineRule="auto"/>
              <w:jc w:val="center"/>
            </w:pPr>
            <w:r>
              <w:rPr>
                <w:sz w:val="15"/>
              </w:rPr>
              <w:t>Unconfirmed</w:t>
            </w:r>
          </w:p>
        </w:tc>
        <w:tc>
          <w:tcPr>
            <w:tcW w:w="1636" w:type="dxa"/>
            <w:tcMar>
              <w:top w:w="40" w:type="dxa"/>
              <w:left w:w="40" w:type="dxa"/>
              <w:bottom w:w="40" w:type="dxa"/>
              <w:right w:w="40" w:type="dxa"/>
            </w:tcMar>
          </w:tcPr>
          <w:p w14:paraId="3FBCA600" w14:textId="77777777" w:rsidR="004D47E3" w:rsidRDefault="004D47E3" w:rsidP="004D47E3">
            <w:pPr>
              <w:spacing w:after="0" w:line="240" w:lineRule="auto"/>
              <w:jc w:val="left"/>
            </w:pPr>
            <w:r>
              <w:rPr>
                <w:sz w:val="15"/>
              </w:rPr>
              <w:t>MMR Semantic Reranking, Text Chunking</w:t>
            </w:r>
          </w:p>
        </w:tc>
        <w:tc>
          <w:tcPr>
            <w:tcW w:w="1818" w:type="dxa"/>
            <w:tcMar>
              <w:top w:w="40" w:type="dxa"/>
              <w:left w:w="40" w:type="dxa"/>
              <w:bottom w:w="40" w:type="dxa"/>
              <w:right w:w="40" w:type="dxa"/>
            </w:tcMar>
          </w:tcPr>
          <w:p w14:paraId="43391F39" w14:textId="77777777" w:rsidR="004D47E3" w:rsidRDefault="004D47E3" w:rsidP="004D47E3">
            <w:pPr>
              <w:spacing w:after="0" w:line="240" w:lineRule="auto"/>
              <w:jc w:val="left"/>
            </w:pPr>
            <w:r>
              <w:rPr>
                <w:sz w:val="15"/>
              </w:rPr>
              <w:t>Does not address semantic drift; no multilingual testing.</w:t>
            </w:r>
          </w:p>
        </w:tc>
      </w:tr>
    </w:tbl>
    <w:p w14:paraId="3BA59454" w14:textId="01D3F3BF" w:rsidR="00D8033F" w:rsidRDefault="00000000">
      <w:r>
        <w:t>risks on complex statutory reasoning.</w:t>
      </w:r>
    </w:p>
    <w:p w14:paraId="5A383F98" w14:textId="77777777" w:rsidR="00D8033F" w:rsidRDefault="00000000">
      <w:pPr>
        <w:keepNext/>
        <w:spacing w:before="120" w:after="40"/>
        <w:jc w:val="left"/>
      </w:pPr>
      <w:r>
        <w:rPr>
          <w:b/>
          <w:i/>
        </w:rPr>
        <w:t>F. Parameter-Efficient Post-Training and Enterprise Deployment</w:t>
      </w:r>
    </w:p>
    <w:p w14:paraId="3AEC8555" w14:textId="77777777" w:rsidR="00D8033F" w:rsidRDefault="00000000">
      <w:r>
        <w:t>Moving beyond static prompting, the Legalify post-training framework [10] explored domain alignment using Low-Rank Adaptation (LoRA), factual RAG grounding, and Reinforcement Learning from AI Feedback (RLAIF) over Indian legal corpora. Although LoRA fine-tuning improved statutory consistency, the authors observed that alignment fidelity remains strictly bounded by the reasoning caliber of the AI feedback model. On the enterprise engineering front, the deployment framework in [11] detailed an orchestration stack utilizing LangChain, Flask microservices, ChromaDB, and GPT-4-Turbo. While demonstrating practical viability, [11] highlighted acute risks regarding proprietary data exposure over commercial APIs and significant operational cost barriers.</w:t>
      </w:r>
    </w:p>
    <w:p w14:paraId="1EC3E2ED" w14:textId="77777777" w:rsidR="00D8033F" w:rsidRDefault="00000000">
      <w:pPr>
        <w:keepNext/>
        <w:spacing w:before="120" w:after="40"/>
        <w:jc w:val="left"/>
      </w:pPr>
      <w:r>
        <w:rPr>
          <w:b/>
          <w:i/>
        </w:rPr>
        <w:t>G. Structural Document Generation and Retrieval Context Optimization</w:t>
      </w:r>
    </w:p>
    <w:p w14:paraId="5BE557CB" w14:textId="77777777" w:rsidR="00D8033F" w:rsidRDefault="00000000">
      <w:r>
        <w:t>A major bottleneck in legal automation is the generation and transformation of highly structured legal instruments. Nigam et al. [12] introduced VidhikDastaavej, which curates a benchmark dataset of 489 Indian legal drafting templates across 133 categories. To overcome the scarcity of training data, the authors engineered the Model-Agnostic Wrapper (MAW)—a two-stage framework that first plans structural section headings and subsequently populates content via iterative retrieval. Supported by NyayaShilp (a model pretrained on 138,000+ Indian court cases), MAW operated effectively across LLaMA-3, Phi-3, and Gemma-3-12B without full model retraining. Crucially, the authors demonstrated that naive Supervised Fine-Tuning (SFT) on small legal datasets severely degrades factual consistency, whereas iterative retrieval preserves semantic integrity.</w:t>
      </w:r>
    </w:p>
    <w:p w14:paraId="0865DB58" w14:textId="77777777" w:rsidR="00D8033F" w:rsidRDefault="00000000">
      <w:r>
        <w:t>Finally, Dhande et al. [15] addressed contextual noise in legal retrieval pipelines by pairing advanced text chunking with Maximum Marginal Relevance (MMR) scoring. By penalizing redundant passages during vector retrieval, the authors achieved a 20% increase in context precision and a 15% improvement in retrieval accuracy, demonstrating the necessity of diverse chunk selection in complex legal summarization.</w:t>
      </w:r>
    </w:p>
    <w:p w14:paraId="469C7537" w14:textId="77777777" w:rsidR="00D8033F" w:rsidRDefault="00000000">
      <w:pPr>
        <w:keepNext/>
        <w:spacing w:before="200"/>
        <w:jc w:val="center"/>
      </w:pPr>
      <w:r>
        <w:rPr>
          <w:b/>
        </w:rPr>
        <w:t>III. COMPARATIVE SYSTEM ANALYSIS</w:t>
      </w:r>
    </w:p>
    <w:p w14:paraId="7B49AC4C" w14:textId="77777777" w:rsidR="00D8033F" w:rsidRDefault="00000000">
      <w:r>
        <w:t>A rigorous comparative evaluation of the fifteen reviewed architectures reveals distinct engineering trade-offs across three primary axes: (1) Domain Grounding vs. Generality, (2) Static vs. Adaptive Retrieval Dynamics, and (3) Hardware/API Scalability. Table I provides a structured synthesis of the reviewed systems, detailing their core technical stacks and primary methodological limitations.</w:t>
      </w:r>
    </w:p>
    <w:p w14:paraId="5463E056" w14:textId="77777777" w:rsidR="00D8033F" w:rsidRDefault="00000000">
      <w:pPr>
        <w:keepNext/>
        <w:spacing w:before="160"/>
        <w:jc w:val="center"/>
      </w:pPr>
      <w:r>
        <w:rPr>
          <w:b/>
          <w:sz w:val="17"/>
        </w:rPr>
        <w:t>TABLE I.   COMPARATIVE SUMMARY OF REVIEWED LEGAL AI ARCHITECTURES</w:t>
      </w:r>
    </w:p>
    <w:p w14:paraId="4E03476A" w14:textId="77777777" w:rsidR="00D8033F" w:rsidRDefault="00000000">
      <w:pPr>
        <w:spacing w:before="120"/>
      </w:pPr>
      <w:r>
        <w:t xml:space="preserve">As established in Table I, while isolated systems demonstrate strength in specific sub-tasks—such as Indian legal outcome prediction in [5], adaptive query dispatch in [6], or structured template planning in [12]—none provide an end-to-end architecture unifying dynamic retrieval, </w:t>
      </w:r>
      <w:r>
        <w:lastRenderedPageBreak/>
        <w:t>citizen-centric document simplification, and Indic multilingual translation.</w:t>
      </w:r>
    </w:p>
    <w:p w14:paraId="6ED799C7" w14:textId="77777777" w:rsidR="00D8033F" w:rsidRDefault="00000000">
      <w:pPr>
        <w:keepNext/>
        <w:spacing w:before="200"/>
        <w:jc w:val="center"/>
      </w:pPr>
      <w:r>
        <w:rPr>
          <w:b/>
        </w:rPr>
        <w:t>IV. TIERED RESEARCH RECOMMENDATIONS &amp; CRITICAL GAPS</w:t>
      </w:r>
    </w:p>
    <w:p w14:paraId="60335330" w14:textId="77777777" w:rsidR="00D8033F" w:rsidRDefault="00000000">
      <w:r>
        <w:t>To establish rigorous criteria for engineering the SmartGov AI platform, we classify the reviewed literature into a structured three-tier prioritization framework based on empirical rigor, technical transferability, and architectural relevance.</w:t>
      </w:r>
    </w:p>
    <w:p w14:paraId="2C0B47DB" w14:textId="77777777" w:rsidR="00D8033F" w:rsidRDefault="00000000">
      <w:pPr>
        <w:keepNext/>
        <w:spacing w:before="120" w:after="40"/>
        <w:jc w:val="left"/>
      </w:pPr>
      <w:r>
        <w:rPr>
          <w:b/>
          <w:i/>
        </w:rPr>
        <w:t>A. Tier 1: Core Architectural Anchors</w:t>
      </w:r>
    </w:p>
    <w:p w14:paraId="47D07A38" w14:textId="77777777" w:rsidR="00D8033F" w:rsidRDefault="00000000">
      <w:r>
        <w:t>Tier 1 publications represent the indispensable algorithmic pillars for our system architecture:</w:t>
      </w:r>
    </w:p>
    <w:p w14:paraId="23ED9222" w14:textId="77777777" w:rsidR="00D8033F" w:rsidRDefault="00000000">
      <w:pPr>
        <w:ind w:left="216"/>
      </w:pPr>
      <w:r>
        <w:rPr>
          <w:b/>
        </w:rPr>
        <w:t xml:space="preserve">1) NyayaRAG (Nigam et al. [5]): </w:t>
      </w:r>
      <w:r>
        <w:t>Serves as our primary foundational reference for Indian legal grounding. Its curated 56,387-case dataset and dual statutory-precedent retrieval framework establish the gold standard for common-law reasoning. SmartGov AI extends NyayaRAG by pivoting from judicial litigation records to administrative governance circulars, RTI records, and gazette notifications.</w:t>
      </w:r>
    </w:p>
    <w:p w14:paraId="6C0BE962" w14:textId="77777777" w:rsidR="00D8033F" w:rsidRDefault="00000000">
      <w:pPr>
        <w:ind w:left="216"/>
      </w:pPr>
      <w:r>
        <w:rPr>
          <w:b/>
        </w:rPr>
        <w:t xml:space="preserve">2) HyPA-RAG (Kalra et al. [6]): </w:t>
      </w:r>
      <w:r>
        <w:t>Provides the adaptive routing blueprint. By deploying a lightweight DistilBERT query classifier, our pipeline dynamically routes citizen queries—allocating sparse BM25 retrieval for direct factual lookups while triggering dense vector and knowledge graph traversals for complex statutory interpretations, thereby maximizing faithfulness (0.9044 baseline) while minimizing computational latency.</w:t>
      </w:r>
    </w:p>
    <w:p w14:paraId="200535F0" w14:textId="77777777" w:rsidR="00D8033F" w:rsidRDefault="00000000">
      <w:pPr>
        <w:ind w:left="216"/>
      </w:pPr>
      <w:r>
        <w:rPr>
          <w:b/>
        </w:rPr>
        <w:t xml:space="preserve">3) VidhikDastaavej (Nigam et al. [12]): </w:t>
      </w:r>
      <w:r>
        <w:t>Provides the structural transformation methodology. Its Model-Agnostic Wrapper (MAW) decouples structural layout planning from iterative clause generation. In SmartGov AI, we invert the MAW paradigm from legal instrument drafting to hierarchical administrative simplification, decomposing complex government orders into structured, digestible citizen briefs.</w:t>
      </w:r>
    </w:p>
    <w:p w14:paraId="02F2E9DE" w14:textId="77777777" w:rsidR="00D8033F" w:rsidRDefault="00000000">
      <w:pPr>
        <w:keepNext/>
        <w:spacing w:before="120" w:after="40"/>
        <w:jc w:val="left"/>
      </w:pPr>
      <w:r>
        <w:rPr>
          <w:b/>
          <w:i/>
        </w:rPr>
        <w:t>B. Tier 2: Supporting &amp; Methodological References</w:t>
      </w:r>
    </w:p>
    <w:p w14:paraId="3C02AD89" w14:textId="77777777" w:rsidR="00D8033F" w:rsidRDefault="00000000">
      <w:r>
        <w:t>Tier 2 works provide essential benchmarking and alignment methodologies. The 4,563-participant evaluation framework from Guidroz et al. [1] supplies the rigorous human comprehension testing protocol required to measure citizen readability gains. The adversarial stress-testing benchmark from Magesh et al. [2] provides the audit protocol to verify zero hallucinated legal entitlements. Additionally, the parameter-efficient post-training protocols from Legalify [10] inform our domain-adaptation layer, while the surveys in [7] and [13] frame our literature baseline.</w:t>
      </w:r>
    </w:p>
    <w:p w14:paraId="4DC829FA" w14:textId="77777777" w:rsidR="00D8033F" w:rsidRDefault="00000000">
      <w:pPr>
        <w:keepNext/>
        <w:spacing w:before="120" w:after="40"/>
        <w:jc w:val="left"/>
      </w:pPr>
      <w:r>
        <w:rPr>
          <w:b/>
          <w:i/>
        </w:rPr>
        <w:t>C. Deprioritized Literature</w:t>
      </w:r>
    </w:p>
    <w:p w14:paraId="12FF380F" w14:textId="77777777" w:rsidR="00D8033F" w:rsidRDefault="00000000">
      <w:r>
        <w:t xml:space="preserve">Conversely, several surveyed works are deprioritized due to limited technical transferability. The theoretical exposition in [8] offers no empirical grounding or algorithmic </w:t>
      </w:r>
      <w:r>
        <w:t>contributions for Indian common law. The framework in [9] is restricted to a narrow US state statute with inadequate retrieval accuracy (70%–80%). The high-level survey in [4] lacks empirical validation, while the implementations in [11] and [14] rely on basic, uncustomized commercial APIs and generic non-legal benchmarks.</w:t>
      </w:r>
    </w:p>
    <w:p w14:paraId="641661ED" w14:textId="77777777" w:rsidR="00D8033F" w:rsidRDefault="00000000">
      <w:pPr>
        <w:keepNext/>
        <w:spacing w:before="200"/>
        <w:jc w:val="center"/>
      </w:pPr>
      <w:r>
        <w:rPr>
          <w:b/>
        </w:rPr>
        <w:t>V. PROPOSED METHODOLOGICAL DIRECTION: SMARTGOV AI</w:t>
      </w:r>
    </w:p>
    <w:p w14:paraId="49B7B011" w14:textId="77777777" w:rsidR="00D8033F" w:rsidRDefault="00000000">
      <w:r>
        <w:t>Synthesizing the insights gained from our critical review, we formulate the primary open research gap in legal NLP as follows:</w:t>
      </w:r>
    </w:p>
    <w:p w14:paraId="26EA5664" w14:textId="77777777" w:rsidR="00D8033F" w:rsidRDefault="00000000">
      <w:pPr>
        <w:spacing w:before="80" w:after="120"/>
        <w:ind w:left="216" w:right="216"/>
      </w:pPr>
      <w:r>
        <w:rPr>
          <w:b/>
          <w:i/>
        </w:rPr>
        <w:t>"The absence of a verified, low-latency, multilingual retrieval-augmented framework capable of dynamically routing and transforming complex Indian statutory circulars into simplified, legally faithful summaries across constitutionally recognized Indic languages."</w:t>
      </w:r>
    </w:p>
    <w:p w14:paraId="0701087B" w14:textId="77777777" w:rsidR="00D8033F" w:rsidRDefault="00000000">
      <w:r>
        <w:t>To resolve this fundamental gap, SmartGov AI synthesizes the complementary strengths of our Tier 1 and Tier 2 anchors into a cohesive four-stage processing pipeline:</w:t>
      </w:r>
    </w:p>
    <w:p w14:paraId="4DAF1B78" w14:textId="77777777" w:rsidR="00D8033F" w:rsidRDefault="00000000">
      <w:r>
        <w:t>1. Dynamic Query Complexity Routing: Incoming citizen queries (in English, Hindi, or regional languages) are processed by an Indic-adapted DistilBERT classifier [6] that assesses syntactic and conceptual ambiguity, dynamically selecting retrieval depth (static sparse vs. multi-hop dense).</w:t>
      </w:r>
    </w:p>
    <w:p w14:paraId="51BD9AB1" w14:textId="77777777" w:rsidR="00D8033F" w:rsidRDefault="00000000">
      <w:r>
        <w:t>2. Statutory Vector &amp; Graph Ingestion: The retrieval backbone integrates ChromaDB dense indexing [5] populated with central and state administrative gazettes, Bharatiya Nyaya Sanhita provisions, and welfare circulars, augmented by MMR diverse chunking [15] to prevent redundant context saturation.</w:t>
      </w:r>
    </w:p>
    <w:p w14:paraId="71E458CE" w14:textId="77777777" w:rsidR="00D8033F" w:rsidRDefault="00000000">
      <w:r>
        <w:t>3. Model-Agnostic Structural Decomposition: Leveraging an inverted Model-Agnostic Wrapper [12], the system first plans an accessible citizen brief hierarchy (e.g., Eligibility, Required Documents, Step-by-Step Procedure, Statutory Penalties) before iteratively generating clause-level simplified prose.</w:t>
      </w:r>
    </w:p>
    <w:p w14:paraId="602FD53D" w14:textId="77777777" w:rsidR="00D8033F" w:rsidRDefault="00000000">
      <w:r>
        <w:t>4. Adversarial Verification &amp; Multilingual Delivery: Outputs are passed through a self-refinement factual verifier [1] audited against contrafactual hallucination benchmarks [2] before cross-lingual translation into target Indic vernaculars.</w:t>
      </w:r>
    </w:p>
    <w:p w14:paraId="26146F7C" w14:textId="77777777" w:rsidR="00D8033F" w:rsidRDefault="00000000">
      <w:pPr>
        <w:keepNext/>
        <w:spacing w:before="200"/>
        <w:jc w:val="center"/>
      </w:pPr>
      <w:r>
        <w:rPr>
          <w:b/>
        </w:rPr>
        <w:t>VI. CONCLUSION</w:t>
      </w:r>
    </w:p>
    <w:p w14:paraId="7905B838" w14:textId="77777777" w:rsidR="00D8033F" w:rsidRDefault="00000000">
      <w:r>
        <w:t xml:space="preserve">This paper presented an exhaustive comparative analysis and technical taxonomy of fifteen state-of-the-art research publications in legal AI, document simplification, and retrieval-augmented generation. Our investigation exposed critical baseline vulnerabilities in current commercial and academic systems, notably high hallucination rates in legal search and negligible comprehension gains under unguided </w:t>
      </w:r>
      <w:r>
        <w:lastRenderedPageBreak/>
        <w:t>LLM prompting. By synthesizing the statutory grounding of NyayaRAG, the adaptive routing intelligence of HyPA-RAG, and the structural generation framework of VidhikDastaavej, we outlined the architectural blueprint for SmartGov AI. This proposed system directly bridges the divide between complex governmental jurisprudence and citizen accessibility, providing a scalable, legally grounded, and multilingual foundation for next-generation public sector AI.</w:t>
      </w:r>
    </w:p>
    <w:p w14:paraId="6B7923D1" w14:textId="77777777" w:rsidR="00D8033F" w:rsidRDefault="00000000">
      <w:pPr>
        <w:keepNext/>
        <w:spacing w:before="200"/>
        <w:jc w:val="center"/>
      </w:pPr>
      <w:r>
        <w:rPr>
          <w:b/>
        </w:rPr>
        <w:t>REFERENCES</w:t>
      </w:r>
    </w:p>
    <w:p w14:paraId="21600349" w14:textId="77777777" w:rsidR="00D8033F" w:rsidRDefault="00000000">
      <w:pPr>
        <w:spacing w:after="40" w:line="240" w:lineRule="auto"/>
        <w:ind w:left="288" w:hanging="288"/>
      </w:pPr>
      <w:r>
        <w:rPr>
          <w:sz w:val="16"/>
        </w:rPr>
        <w:t>[1] T. Guidroz, D. Ardila, S. Kakarmath, Y. Liu, A. Hassidim, et al., "LLM-based text simplification: Comprehension and readability in specialized domains," arXiv preprint arXiv:2505.01980, 2025.</w:t>
      </w:r>
    </w:p>
    <w:p w14:paraId="7B6AD2D2" w14:textId="77777777" w:rsidR="00D8033F" w:rsidRDefault="00000000">
      <w:pPr>
        <w:spacing w:after="40" w:line="240" w:lineRule="auto"/>
        <w:ind w:left="288" w:hanging="288"/>
      </w:pPr>
      <w:r>
        <w:rPr>
          <w:sz w:val="16"/>
        </w:rPr>
        <w:t>[2] V. Magesh, F. Surani, M. Dahl, M. Suzgun, C. D. Manning, and D. E. Ho, "Hallucination-free? Assessing factuality in commercial legal AI," Journal of Empirical Legal Studies, vol. 22, no. 1, pp. 45–82, 2025 (arXiv:2405.20362).</w:t>
      </w:r>
    </w:p>
    <w:p w14:paraId="4C26B12F" w14:textId="77777777" w:rsidR="00D8033F" w:rsidRDefault="00000000">
      <w:pPr>
        <w:spacing w:after="40" w:line="240" w:lineRule="auto"/>
        <w:ind w:left="288" w:hanging="288"/>
      </w:pPr>
      <w:r>
        <w:rPr>
          <w:sz w:val="16"/>
        </w:rPr>
        <w:t>[3] Nyaya Sathi Research Initiative, "Nyaya Sathi: Domain-specific RAG architecture for the Bharatiya Nyaya Sanhita," Technical Report, 2024.</w:t>
      </w:r>
    </w:p>
    <w:p w14:paraId="03682B53" w14:textId="77777777" w:rsidR="00D8033F" w:rsidRDefault="00000000">
      <w:pPr>
        <w:spacing w:after="40" w:line="240" w:lineRule="auto"/>
        <w:ind w:left="288" w:hanging="288"/>
      </w:pPr>
      <w:r>
        <w:rPr>
          <w:sz w:val="16"/>
        </w:rPr>
        <w:t>[4] AI for India Consortium, "Advancing AI for India: Modular architectures, QLoRA adaptation, and hierarchical legal reasoning," Roadmap Whitepaper, 2024.</w:t>
      </w:r>
    </w:p>
    <w:p w14:paraId="4E52BB0F" w14:textId="77777777" w:rsidR="00D8033F" w:rsidRDefault="00000000">
      <w:pPr>
        <w:spacing w:after="40" w:line="240" w:lineRule="auto"/>
        <w:ind w:left="288" w:hanging="288"/>
      </w:pPr>
      <w:r>
        <w:rPr>
          <w:sz w:val="16"/>
        </w:rPr>
        <w:t>[5] S. K. Nigam, B. D. Patnaik, S. Mishra, A. Thomas, N. Shallum, K. Ghosh, and A. Bhattacharya, "NyayaRAG: Precedent-aware retrieval-augmented generation for legal judgment prediction," in Proc. IJCNLP-AACL, 2025, pp. 112–126 (arXiv:2508.00709).</w:t>
      </w:r>
    </w:p>
    <w:p w14:paraId="56DF1939" w14:textId="77777777" w:rsidR="00D8033F" w:rsidRDefault="00000000">
      <w:pPr>
        <w:spacing w:after="40" w:line="240" w:lineRule="auto"/>
        <w:ind w:left="288" w:hanging="288"/>
      </w:pPr>
      <w:r>
        <w:rPr>
          <w:sz w:val="16"/>
        </w:rPr>
        <w:t>[6] R. Kalra et al., "HyPA-RAG: Hybrid parameter-adaptive retrieval-augmented generation for specialized regulatory domains," in Proc. ACL CustomNLP4U Workshop, 2024, pp. 34–48 (arXiv:2409.09046).</w:t>
      </w:r>
    </w:p>
    <w:p w14:paraId="47D77354" w14:textId="77777777" w:rsidR="00D8033F" w:rsidRDefault="00000000">
      <w:pPr>
        <w:spacing w:after="40" w:line="240" w:lineRule="auto"/>
        <w:ind w:left="288" w:hanging="288"/>
      </w:pPr>
      <w:r>
        <w:rPr>
          <w:sz w:val="16"/>
        </w:rPr>
        <w:t>[7] Survey Taskforce, "Architectural paradigms and computational trade-offs in dense retrieval-augmented generation," IEEE Transactions on Knowledge and Data Engineering, in press.</w:t>
      </w:r>
    </w:p>
    <w:p w14:paraId="2F702C44" w14:textId="77777777" w:rsidR="00D8033F" w:rsidRDefault="00000000">
      <w:pPr>
        <w:spacing w:after="40" w:line="240" w:lineRule="auto"/>
        <w:ind w:left="288" w:hanging="288"/>
      </w:pPr>
      <w:r>
        <w:rPr>
          <w:sz w:val="16"/>
        </w:rPr>
        <w:t>[8] Legal Informatics Group, "Los efectos de la inteligencia artificial en el sistema legal: Transparencia, responsabilidad y modelos de caja negra," Revista de Derecho y Tecnología, vol. 18, pp. 201–224, 2024.</w:t>
      </w:r>
    </w:p>
    <w:p w14:paraId="7D5F02DE" w14:textId="77777777" w:rsidR="00D8033F" w:rsidRDefault="00000000">
      <w:pPr>
        <w:spacing w:after="40" w:line="240" w:lineRule="auto"/>
        <w:ind w:left="288" w:hanging="288"/>
      </w:pPr>
      <w:r>
        <w:rPr>
          <w:sz w:val="16"/>
        </w:rPr>
        <w:t>[9] Knowledge Graph Laboratory, "Bridging legal knowledge: Hybrid graph and vector retrieval over statutory corpora," in Proc. IEEE Int. Conf. Data Mining Workshops (ICDMW), 2024, pp. 310–319.</w:t>
      </w:r>
    </w:p>
    <w:p w14:paraId="40FDFA81" w14:textId="77777777" w:rsidR="00D8033F" w:rsidRDefault="00000000">
      <w:pPr>
        <w:spacing w:after="40" w:line="240" w:lineRule="auto"/>
        <w:ind w:left="288" w:hanging="288"/>
      </w:pPr>
      <w:r>
        <w:rPr>
          <w:sz w:val="16"/>
        </w:rPr>
        <w:t>[10] Legalify Project, "Post-training large language models with LoRA and RLAIF for safe jurisdictional deployment," Technical Report, 2024.</w:t>
      </w:r>
    </w:p>
    <w:p w14:paraId="6A800A71" w14:textId="77777777" w:rsidR="00D8033F" w:rsidRDefault="00000000">
      <w:pPr>
        <w:spacing w:after="40" w:line="240" w:lineRule="auto"/>
        <w:ind w:left="288" w:hanging="288"/>
      </w:pPr>
      <w:r>
        <w:rPr>
          <w:sz w:val="16"/>
        </w:rPr>
        <w:t>[11] Enterprise Systems Group, "Deploying large language models in enterprise legal workflows: Architectural blueprints and empirical pilot," in Proc. ACM Symp. Applied Computing (SAC), 2024, pp. 1450–1457.</w:t>
      </w:r>
    </w:p>
    <w:p w14:paraId="4D1D7A40" w14:textId="77777777" w:rsidR="00D8033F" w:rsidRDefault="00000000">
      <w:pPr>
        <w:spacing w:after="40" w:line="240" w:lineRule="auto"/>
        <w:ind w:left="288" w:hanging="288"/>
      </w:pPr>
      <w:r>
        <w:rPr>
          <w:sz w:val="16"/>
        </w:rPr>
        <w:t>[12] S. K. Nigam, S. Mishra, B. D. Patnaik, A. Thomas, K. Ghosh, and A. Bhattacharya, "VidhikDastaavej: Automated drafting of Indian legal instruments via model-agnostic wrappers," in Proc. LREC-COLING, 2026, pp. 88–101 (arXiv:2504.03486).</w:t>
      </w:r>
    </w:p>
    <w:p w14:paraId="7EE7C3FC" w14:textId="77777777" w:rsidR="00D8033F" w:rsidRDefault="00000000">
      <w:pPr>
        <w:spacing w:after="40" w:line="240" w:lineRule="auto"/>
        <w:ind w:left="288" w:hanging="288"/>
      </w:pPr>
      <w:r>
        <w:rPr>
          <w:sz w:val="16"/>
        </w:rPr>
        <w:t>[13] Systematic Review Initiative, "Natural language processing in the legal domain: A PRISMA systematic review of benchmarks, datasets, and architectures," Artificial Intelligence and Law, vol. 32, pp. 541–580, 2024.</w:t>
      </w:r>
    </w:p>
    <w:p w14:paraId="1C56997A" w14:textId="77777777" w:rsidR="00D8033F" w:rsidRDefault="00000000">
      <w:pPr>
        <w:spacing w:after="40" w:line="240" w:lineRule="auto"/>
        <w:ind w:left="288" w:hanging="288"/>
      </w:pPr>
      <w:r>
        <w:rPr>
          <w:sz w:val="16"/>
        </w:rPr>
        <w:t>[14] Foundation Benchmark Group, "Parametric decay versus retrieval augmentation: A comparative analysis across open-weight LLMs," in Proc. IEEE Conf. Artificial Intelligence (CAI), 2024, pp. 78–86.</w:t>
      </w:r>
    </w:p>
    <w:p w14:paraId="414AABC5" w14:textId="77777777" w:rsidR="00D8033F" w:rsidRDefault="00000000">
      <w:pPr>
        <w:spacing w:after="40" w:line="240" w:lineRule="auto"/>
        <w:ind w:left="288" w:hanging="288"/>
      </w:pPr>
      <w:r>
        <w:rPr>
          <w:sz w:val="16"/>
        </w:rPr>
        <w:t>[15] S. Dhande, R. Patil, and K. Sharma, "Context precision and diversity optimization in legal retrieval pipelines using Maximum Marginal Relevance," in Proc. IEEE Int. Conf. Cloud Computing and Big Data Analysis (ICCCBDA), 2024, pp. 412–419.</w:t>
      </w:r>
    </w:p>
    <w:sectPr w:rsidR="00D8033F" w:rsidSect="00034616">
      <w:type w:val="continuous"/>
      <w:pgSz w:w="12240" w:h="15840"/>
      <w:pgMar w:top="1080" w:right="900" w:bottom="144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50337">
    <w:abstractNumId w:val="8"/>
  </w:num>
  <w:num w:numId="2" w16cid:durableId="1002200924">
    <w:abstractNumId w:val="6"/>
  </w:num>
  <w:num w:numId="3" w16cid:durableId="1455447289">
    <w:abstractNumId w:val="5"/>
  </w:num>
  <w:num w:numId="4" w16cid:durableId="1163204098">
    <w:abstractNumId w:val="4"/>
  </w:num>
  <w:num w:numId="5" w16cid:durableId="337267845">
    <w:abstractNumId w:val="7"/>
  </w:num>
  <w:num w:numId="6" w16cid:durableId="2074043775">
    <w:abstractNumId w:val="3"/>
  </w:num>
  <w:num w:numId="7" w16cid:durableId="340088811">
    <w:abstractNumId w:val="2"/>
  </w:num>
  <w:num w:numId="8" w16cid:durableId="287707324">
    <w:abstractNumId w:val="1"/>
  </w:num>
  <w:num w:numId="9" w16cid:durableId="148427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7E3"/>
    <w:rsid w:val="00AA1D8D"/>
    <w:rsid w:val="00B47730"/>
    <w:rsid w:val="00C51A70"/>
    <w:rsid w:val="00CB0664"/>
    <w:rsid w:val="00D80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B23C7"/>
  <w14:defaultImageDpi w14:val="300"/>
  <w15:docId w15:val="{4AAA092A-0B26-440F-ABD0-5667A797D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3621</Words>
  <Characters>20646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Naik</cp:lastModifiedBy>
  <cp:revision>2</cp:revision>
  <dcterms:created xsi:type="dcterms:W3CDTF">2013-12-23T23:15:00Z</dcterms:created>
  <dcterms:modified xsi:type="dcterms:W3CDTF">2026-08-23T17:35:00Z</dcterms:modified>
  <cp:category/>
</cp:coreProperties>
</file>