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47C66F">
      <w:pPr>
        <w:pStyle w:val="2"/>
      </w:pPr>
      <w:bookmarkStart w:id="0" w:name="题目一-1b组亚洲主食类细粒度食物图像分类系统最终报告"/>
      <w:r>
        <w:t>题目一 1B组：亚洲主食类细粒度食物图像分类系统最终报告</w:t>
      </w:r>
      <w:bookmarkEnd w:id="0"/>
    </w:p>
    <w:p w14:paraId="0A4F00A2">
      <w:pPr>
        <w:pStyle w:val="23"/>
      </w:pPr>
      <w:r>
        <w:rPr>
          <w:b/>
        </w:rPr>
        <w:t>Food-101 1B Asian Staple Fine-Grained Classification</w:t>
      </w:r>
    </w:p>
    <w:p w14:paraId="51E2EDA6">
      <w:pPr>
        <w:pStyle w:val="13"/>
      </w:pPr>
      <w:r>
        <w:t>生成时间：2026-06-08 13:37:32 版本：v2.0 (含创新性章节 + 成员贡献表)</w:t>
      </w:r>
    </w:p>
    <w:p w14:paraId="19C2C378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A2F3A26">
      <w:pPr>
        <w:pStyle w:val="4"/>
      </w:pPr>
      <w:bookmarkStart w:id="1" w:name="摘要"/>
      <w:r>
        <w:t>摘要</w:t>
      </w:r>
      <w:bookmarkEnd w:id="1"/>
    </w:p>
    <w:p w14:paraId="2BFD2FB4">
      <w:pPr>
        <w:pStyle w:val="23"/>
      </w:pPr>
      <w:r>
        <w:t xml:space="preserve">本项目完成题目一 1B 组任务：基于 Food-101 数据集构建亚洲主食类细粒度食物图像分类系统。项目实现 ResNet-18、MobileNet-V2 和自定义 Shallow-CNN 三种 CNN 架构，使用数据增强提升泛化能力，并通过分类报告、混淆矩阵和 Grad-CAM 分析模型表现。实验结果显示，MobileNet-V2 在测试集上取得 </w:t>
      </w:r>
      <w:r>
        <w:rPr>
          <w:b/>
        </w:rPr>
        <w:t>92.70% Top-1 Accuracy</w:t>
      </w:r>
      <w:r>
        <w:t xml:space="preserve"> 和 </w:t>
      </w:r>
      <w:r>
        <w:rPr>
          <w:b/>
        </w:rPr>
        <w:t>92.69% Macro-F1</w:t>
      </w:r>
      <w:r>
        <w:t>，是本项目最佳模型。</w:t>
      </w:r>
    </w:p>
    <w:p w14:paraId="02289CD0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3CD7617">
      <w:pPr>
        <w:pStyle w:val="4"/>
      </w:pPr>
      <w:bookmarkStart w:id="2" w:name="任务要求与完成情况"/>
      <w:r>
        <w:t>1. 任务要求与完成情况</w:t>
      </w:r>
      <w:bookmarkEnd w:id="2"/>
    </w:p>
    <w:p w14:paraId="2C5477F7">
      <w:pPr>
        <w:pStyle w:val="23"/>
      </w:pPr>
      <w:r>
        <w:rPr>
          <w:b/>
        </w:rPr>
        <w:t>表1 任务完成情况对照表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5"/>
        <w:gridCol w:w="5802"/>
      </w:tblGrid>
      <w:tr w14:paraId="7120B1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5B9F8CDE">
            <w:pPr>
              <w:pStyle w:val="24"/>
              <w:jc w:val="left"/>
            </w:pPr>
            <w:r>
              <w:t>要求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284A27A">
            <w:pPr>
              <w:pStyle w:val="24"/>
              <w:jc w:val="left"/>
            </w:pPr>
            <w:r>
              <w:t>完成情况</w:t>
            </w:r>
          </w:p>
        </w:tc>
      </w:tr>
      <w:tr w14:paraId="26828F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C707E9">
            <w:pPr>
              <w:pStyle w:val="24"/>
              <w:jc w:val="left"/>
            </w:pPr>
            <w:r>
              <w:t>Food-101 菜品分类</w:t>
            </w:r>
          </w:p>
        </w:tc>
        <w:tc>
          <w:p w14:paraId="4F43936E">
            <w:pPr>
              <w:pStyle w:val="24"/>
              <w:jc w:val="left"/>
            </w:pPr>
            <w:r>
              <w:t>✅ 已完成，选取 20 类 1B 亚洲主食子集</w:t>
            </w:r>
          </w:p>
        </w:tc>
      </w:tr>
      <w:tr w14:paraId="2AF24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3DE1EA">
            <w:pPr>
              <w:pStyle w:val="24"/>
              <w:jc w:val="left"/>
            </w:pPr>
            <w:r>
              <w:t>数据增强</w:t>
            </w:r>
          </w:p>
        </w:tc>
        <w:tc>
          <w:p w14:paraId="38F4D73F">
            <w:pPr>
              <w:pStyle w:val="24"/>
              <w:jc w:val="left"/>
            </w:pPr>
            <w:r>
              <w:t>✅ 已完成，随机裁剪、翻转、颜色抖动、旋转</w:t>
            </w:r>
          </w:p>
        </w:tc>
      </w:tr>
      <w:tr w14:paraId="60701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3CB3B">
            <w:pPr>
              <w:pStyle w:val="24"/>
              <w:jc w:val="left"/>
            </w:pPr>
            <w:r>
              <w:t>至少 3 种 CNN 对比</w:t>
            </w:r>
          </w:p>
        </w:tc>
        <w:tc>
          <w:p w14:paraId="7FE75D84">
            <w:pPr>
              <w:pStyle w:val="24"/>
              <w:jc w:val="left"/>
            </w:pPr>
            <w:r>
              <w:t>✅ 已完成，ResNet-18、MobileNet-V2、Shallow-CNN</w:t>
            </w:r>
          </w:p>
        </w:tc>
      </w:tr>
      <w:tr w14:paraId="7CE9B9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4E3C6E">
            <w:pPr>
              <w:pStyle w:val="24"/>
              <w:jc w:val="left"/>
            </w:pPr>
            <w:r>
              <w:t>混淆矩阵分析</w:t>
            </w:r>
          </w:p>
        </w:tc>
        <w:tc>
          <w:p w14:paraId="6BA09C1C">
            <w:pPr>
              <w:pStyle w:val="24"/>
              <w:jc w:val="left"/>
            </w:pPr>
            <w:r>
              <w:t>✅ 已完成，生成三种模型混淆矩阵</w:t>
            </w:r>
          </w:p>
        </w:tc>
      </w:tr>
      <w:tr w14:paraId="21B67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7F427F">
            <w:pPr>
              <w:pStyle w:val="24"/>
              <w:jc w:val="left"/>
            </w:pPr>
            <w:r>
              <w:t>Grad-CAM 扩展挑战</w:t>
            </w:r>
          </w:p>
        </w:tc>
        <w:tc>
          <w:p w14:paraId="49074DF4">
            <w:pPr>
              <w:pStyle w:val="24"/>
              <w:jc w:val="left"/>
            </w:pPr>
            <w:r>
              <w:t>✅ 已完成，生成 5 类代表样本热力图</w:t>
            </w:r>
          </w:p>
        </w:tc>
      </w:tr>
      <w:tr w14:paraId="688B88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8B5411">
            <w:pPr>
              <w:pStyle w:val="24"/>
              <w:jc w:val="left"/>
            </w:pPr>
            <w:r>
              <w:t>Web Demo 扩展挑战</w:t>
            </w:r>
          </w:p>
        </w:tc>
        <w:tc>
          <w:p w14:paraId="696F4CB3">
            <w:pPr>
              <w:pStyle w:val="24"/>
              <w:jc w:val="left"/>
            </w:pPr>
            <w:r>
              <w:t>✅ 已实现 Streamlit Demo，支持上传图片预测</w:t>
            </w:r>
          </w:p>
        </w:tc>
      </w:tr>
    </w:tbl>
    <w:p w14:paraId="24259BED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E7C7979">
      <w:pPr>
        <w:pStyle w:val="4"/>
      </w:pPr>
      <w:bookmarkStart w:id="3" w:name="数据集与预处理"/>
      <w:r>
        <w:t>2. 数据集与预处理</w:t>
      </w:r>
      <w:bookmarkEnd w:id="3"/>
    </w:p>
    <w:p w14:paraId="379F37D2">
      <w:pPr>
        <w:pStyle w:val="23"/>
      </w:pPr>
      <w:r>
        <w:t>本项目使用 Food-101 数据集。Food-101 每类包含 1000 张图片，其中训练集 750 张、测试集 250 张。本项目选取 20 类 1B 亚洲主食子集，因此训练集约 15000 张，测试集约 5000 张。</w:t>
      </w:r>
    </w:p>
    <w:p w14:paraId="1D8F43E1">
      <w:pPr>
        <w:pStyle w:val="3"/>
      </w:pPr>
      <w:r>
        <w:rPr>
          <w:b/>
        </w:rPr>
        <w:t>选取类别包括</w:t>
      </w:r>
      <w:r>
        <w:t>：bibimbap、chicken_curry、dumplings、edamame、falafel、fried_rice、gyoza、hot_and_sour_soup、hummus、miso_soup、pad_thai、peking_duck、pho、ramen、samosa、sashimi、seaweed_salad、spring_rolls、sushi、takoyaki。</w:t>
      </w:r>
    </w:p>
    <w:p w14:paraId="519CACE6">
      <w:pPr>
        <w:pStyle w:val="3"/>
      </w:pPr>
      <w:r>
        <w:rPr>
          <w:b/>
        </w:rPr>
        <w:t>表2 数据增强策略及作用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3"/>
        <w:gridCol w:w="4536"/>
      </w:tblGrid>
      <w:tr w14:paraId="434BAF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2ECD7EFD">
            <w:pPr>
              <w:pStyle w:val="24"/>
              <w:jc w:val="left"/>
            </w:pPr>
            <w:r>
              <w:t>增强方法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60BF9350">
            <w:pPr>
              <w:pStyle w:val="24"/>
              <w:jc w:val="left"/>
            </w:pPr>
            <w:r>
              <w:t>作用</w:t>
            </w:r>
          </w:p>
        </w:tc>
      </w:tr>
      <w:tr w14:paraId="1F9E7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F466FF">
            <w:pPr>
              <w:pStyle w:val="24"/>
              <w:jc w:val="left"/>
            </w:pPr>
            <w:r>
              <w:t>RandomResizedCrop</w:t>
            </w:r>
          </w:p>
        </w:tc>
        <w:tc>
          <w:p w14:paraId="6385D280">
            <w:pPr>
              <w:pStyle w:val="24"/>
              <w:jc w:val="left"/>
            </w:pPr>
            <w:r>
              <w:t>模拟不同拍摄距离、裁剪位置和构图</w:t>
            </w:r>
          </w:p>
        </w:tc>
      </w:tr>
      <w:tr w14:paraId="325CE9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CA9C5E">
            <w:pPr>
              <w:pStyle w:val="24"/>
              <w:jc w:val="left"/>
            </w:pPr>
            <w:r>
              <w:t>RandomHorizontalFlip</w:t>
            </w:r>
          </w:p>
        </w:tc>
        <w:tc>
          <w:p w14:paraId="478BAA71">
            <w:pPr>
              <w:pStyle w:val="24"/>
              <w:jc w:val="left"/>
            </w:pPr>
            <w:r>
              <w:t>降低摆盘方向对分类的影响</w:t>
            </w:r>
          </w:p>
        </w:tc>
      </w:tr>
      <w:tr w14:paraId="5BBC6A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60807B">
            <w:pPr>
              <w:pStyle w:val="24"/>
              <w:jc w:val="left"/>
            </w:pPr>
            <w:r>
              <w:t>ColorJitter</w:t>
            </w:r>
          </w:p>
        </w:tc>
        <w:tc>
          <w:p w14:paraId="06562A78">
            <w:pPr>
              <w:pStyle w:val="24"/>
              <w:jc w:val="left"/>
            </w:pPr>
            <w:r>
              <w:t>提升对光照、饱和度、色温变化的鲁棒性</w:t>
            </w:r>
          </w:p>
        </w:tc>
      </w:tr>
      <w:tr w14:paraId="5D4E0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4AD748">
            <w:pPr>
              <w:pStyle w:val="24"/>
              <w:jc w:val="left"/>
            </w:pPr>
            <w:r>
              <w:t>RandomRotation</w:t>
            </w:r>
          </w:p>
        </w:tc>
        <w:tc>
          <w:p w14:paraId="02D7047B">
            <w:pPr>
              <w:pStyle w:val="24"/>
              <w:jc w:val="left"/>
            </w:pPr>
            <w:r>
              <w:t>模拟轻微拍摄角度变化</w:t>
            </w:r>
          </w:p>
        </w:tc>
      </w:tr>
      <w:tr w14:paraId="158C9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9B46C4">
            <w:pPr>
              <w:pStyle w:val="24"/>
              <w:jc w:val="left"/>
            </w:pPr>
            <w:r>
              <w:t>ImageNet Normalize</w:t>
            </w:r>
          </w:p>
        </w:tc>
        <w:tc>
          <w:p w14:paraId="7696CE47">
            <w:pPr>
              <w:pStyle w:val="24"/>
              <w:jc w:val="left"/>
            </w:pPr>
            <w:r>
              <w:t>与预训练模型输入分布保持一致</w:t>
            </w:r>
          </w:p>
        </w:tc>
      </w:tr>
    </w:tbl>
    <w:p w14:paraId="4DB18F12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F4EEAD1">
      <w:pPr>
        <w:pStyle w:val="4"/>
      </w:pPr>
      <w:bookmarkStart w:id="4" w:name="模型设计"/>
      <w:r>
        <w:t>3. 模型设计</w:t>
      </w:r>
      <w:bookmarkEnd w:id="4"/>
    </w:p>
    <w:p w14:paraId="03152B36">
      <w:pPr>
        <w:pStyle w:val="23"/>
      </w:pPr>
      <w:r>
        <w:rPr>
          <w:b/>
        </w:rPr>
        <w:t>表3 三种CNN架构设计对比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1915"/>
        <w:gridCol w:w="2892"/>
        <w:gridCol w:w="2434"/>
      </w:tblGrid>
      <w:tr w14:paraId="39C7B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092DE648">
            <w:pPr>
              <w:pStyle w:val="24"/>
              <w:jc w:val="left"/>
            </w:pPr>
            <w:r>
              <w:t>模型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3C1766F">
            <w:pPr>
              <w:pStyle w:val="24"/>
              <w:jc w:val="left"/>
            </w:pPr>
            <w:r>
              <w:t>初始化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9758BF4">
            <w:pPr>
              <w:pStyle w:val="24"/>
              <w:jc w:val="left"/>
            </w:pPr>
            <w:r>
              <w:t>特点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5275680">
            <w:pPr>
              <w:pStyle w:val="24"/>
              <w:jc w:val="left"/>
            </w:pPr>
            <w:r>
              <w:t>设计目的</w:t>
            </w:r>
          </w:p>
        </w:tc>
      </w:tr>
      <w:tr w14:paraId="62309C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C18ADE">
            <w:pPr>
              <w:pStyle w:val="24"/>
              <w:jc w:val="left"/>
            </w:pPr>
            <w:r>
              <w:t>ResNet-18</w:t>
            </w:r>
          </w:p>
        </w:tc>
        <w:tc>
          <w:p w14:paraId="47D9E90C">
            <w:pPr>
              <w:pStyle w:val="24"/>
              <w:jc w:val="left"/>
            </w:pPr>
            <w:r>
              <w:t>ImageNet 预训练</w:t>
            </w:r>
          </w:p>
        </w:tc>
        <w:tc>
          <w:p w14:paraId="7E73F9A7">
            <w:pPr>
              <w:pStyle w:val="24"/>
              <w:jc w:val="left"/>
            </w:pPr>
            <w:r>
              <w:t>残差连接，表达能力稳定</w:t>
            </w:r>
          </w:p>
        </w:tc>
        <w:tc>
          <w:p w14:paraId="6D70B435">
            <w:pPr>
              <w:pStyle w:val="24"/>
              <w:jc w:val="left"/>
            </w:pPr>
            <w:r>
              <w:t>高精度基线</w:t>
            </w:r>
          </w:p>
        </w:tc>
      </w:tr>
      <w:tr w14:paraId="590FD2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FD3BF0">
            <w:pPr>
              <w:pStyle w:val="24"/>
              <w:jc w:val="left"/>
            </w:pPr>
            <w:r>
              <w:t>MobileNet-V2</w:t>
            </w:r>
          </w:p>
        </w:tc>
        <w:tc>
          <w:p w14:paraId="10C7ABA2">
            <w:pPr>
              <w:pStyle w:val="24"/>
              <w:jc w:val="left"/>
            </w:pPr>
            <w:r>
              <w:t>ImageNet 预训练</w:t>
            </w:r>
          </w:p>
        </w:tc>
        <w:tc>
          <w:p w14:paraId="6C7F8F59">
            <w:pPr>
              <w:pStyle w:val="24"/>
              <w:jc w:val="left"/>
            </w:pPr>
            <w:r>
              <w:t>深度可分离卷积，模型轻量</w:t>
            </w:r>
          </w:p>
        </w:tc>
        <w:tc>
          <w:p w14:paraId="1FA3B14B">
            <w:pPr>
              <w:pStyle w:val="24"/>
              <w:jc w:val="left"/>
            </w:pPr>
            <w:r>
              <w:t>兼顾精度与部署效率</w:t>
            </w:r>
          </w:p>
        </w:tc>
      </w:tr>
      <w:tr w14:paraId="737DC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94B3C5">
            <w:pPr>
              <w:pStyle w:val="24"/>
              <w:jc w:val="left"/>
            </w:pPr>
            <w:r>
              <w:t>Shallow-CNN</w:t>
            </w:r>
          </w:p>
        </w:tc>
        <w:tc>
          <w:p w14:paraId="1E5C8502">
            <w:pPr>
              <w:pStyle w:val="24"/>
              <w:jc w:val="left"/>
            </w:pPr>
            <w:r>
              <w:t>随机初始化</w:t>
            </w:r>
          </w:p>
        </w:tc>
        <w:tc>
          <w:p w14:paraId="7EE1B483">
            <w:pPr>
              <w:pStyle w:val="24"/>
              <w:jc w:val="left"/>
            </w:pPr>
            <w:r>
              <w:t>4 层卷积，自行设计</w:t>
            </w:r>
          </w:p>
        </w:tc>
        <w:tc>
          <w:p w14:paraId="43C67EF2">
            <w:pPr>
              <w:pStyle w:val="24"/>
              <w:jc w:val="left"/>
            </w:pPr>
            <w:r>
              <w:t>无预训练浅层网络对照</w:t>
            </w:r>
          </w:p>
        </w:tc>
      </w:tr>
    </w:tbl>
    <w:p w14:paraId="6678E644">
      <w:pPr>
        <w:pStyle w:val="3"/>
      </w:pPr>
      <w:r>
        <w:t>损失函数使用带 label smoothing 的交叉熵损失，优化器使用 AdamW，学习率调度使用 CosineAnnealingLR。训练环境为 Google Colab T4 GPU。</w:t>
      </w:r>
    </w:p>
    <w:p w14:paraId="539B7B2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5BA11D">
      <w:pPr>
        <w:pStyle w:val="4"/>
      </w:pPr>
      <w:bookmarkStart w:id="5" w:name="实验结果"/>
      <w:r>
        <w:t>4. 实验结果</w:t>
      </w:r>
      <w:bookmarkEnd w:id="5"/>
    </w:p>
    <w:p w14:paraId="64577462">
      <w:pPr>
        <w:pStyle w:val="23"/>
      </w:pPr>
      <w:r>
        <w:rPr>
          <w:b/>
        </w:rPr>
        <w:t>表4 三种模型测试集性能对比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3"/>
        <w:gridCol w:w="1807"/>
        <w:gridCol w:w="1200"/>
        <w:gridCol w:w="4216"/>
      </w:tblGrid>
      <w:tr w14:paraId="5C2566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64637DED">
            <w:pPr>
              <w:pStyle w:val="24"/>
              <w:jc w:val="left"/>
            </w:pPr>
            <w:r>
              <w:t>模型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E4BABE4">
            <w:pPr>
              <w:pStyle w:val="24"/>
              <w:jc w:val="center"/>
            </w:pPr>
            <w:r>
              <w:t>Top-1 Accuracy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2C35646D">
            <w:pPr>
              <w:pStyle w:val="24"/>
              <w:jc w:val="center"/>
            </w:pPr>
            <w:r>
              <w:t>Macro-F1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5FF99451">
            <w:pPr>
              <w:pStyle w:val="24"/>
              <w:jc w:val="left"/>
            </w:pPr>
            <w:r>
              <w:t>结论</w:t>
            </w:r>
          </w:p>
        </w:tc>
      </w:tr>
      <w:tr w14:paraId="26F9B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2926D9">
            <w:pPr>
              <w:pStyle w:val="24"/>
              <w:jc w:val="left"/>
            </w:pPr>
            <w:r>
              <w:t>ResNet-18</w:t>
            </w:r>
          </w:p>
        </w:tc>
        <w:tc>
          <w:p w14:paraId="3F9F7372">
            <w:pPr>
              <w:pStyle w:val="24"/>
              <w:jc w:val="center"/>
            </w:pPr>
            <w:r>
              <w:t>91.88%</w:t>
            </w:r>
          </w:p>
        </w:tc>
        <w:tc>
          <w:p w14:paraId="29854AAE">
            <w:pPr>
              <w:pStyle w:val="24"/>
              <w:jc w:val="center"/>
            </w:pPr>
            <w:r>
              <w:t>91.87%</w:t>
            </w:r>
          </w:p>
        </w:tc>
        <w:tc>
          <w:p w14:paraId="2060E73D">
            <w:pPr>
              <w:pStyle w:val="24"/>
              <w:jc w:val="left"/>
            </w:pPr>
            <w:r>
              <w:t>预训练残差网络表现稳定</w:t>
            </w:r>
          </w:p>
        </w:tc>
      </w:tr>
      <w:tr w14:paraId="2D795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0888CE">
            <w:pPr>
              <w:pStyle w:val="24"/>
              <w:jc w:val="left"/>
            </w:pPr>
            <w:r>
              <w:t>MobileNet-V2</w:t>
            </w:r>
          </w:p>
        </w:tc>
        <w:tc>
          <w:p w14:paraId="6950DD9B">
            <w:pPr>
              <w:pStyle w:val="24"/>
              <w:jc w:val="center"/>
            </w:pPr>
            <w:r>
              <w:rPr>
                <w:b/>
              </w:rPr>
              <w:t>92.70%</w:t>
            </w:r>
          </w:p>
        </w:tc>
        <w:tc>
          <w:p w14:paraId="0AABB8CE">
            <w:pPr>
              <w:pStyle w:val="24"/>
              <w:jc w:val="center"/>
            </w:pPr>
            <w:r>
              <w:rPr>
                <w:b/>
              </w:rPr>
              <w:t>92.69%</w:t>
            </w:r>
          </w:p>
        </w:tc>
        <w:tc>
          <w:p w14:paraId="3A2FAED1">
            <w:pPr>
              <w:pStyle w:val="24"/>
              <w:jc w:val="left"/>
            </w:pPr>
            <w:r>
              <w:t>本次实验最佳，适合作为最终模型</w:t>
            </w:r>
          </w:p>
        </w:tc>
      </w:tr>
      <w:tr w14:paraId="38A57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CE9E3A">
            <w:pPr>
              <w:pStyle w:val="24"/>
              <w:jc w:val="left"/>
            </w:pPr>
            <w:r>
              <w:t>Shallow-CNN</w:t>
            </w:r>
          </w:p>
        </w:tc>
        <w:tc>
          <w:p w14:paraId="46141E1A">
            <w:pPr>
              <w:pStyle w:val="24"/>
              <w:jc w:val="center"/>
            </w:pPr>
            <w:r>
              <w:t>53.52%</w:t>
            </w:r>
          </w:p>
        </w:tc>
        <w:tc>
          <w:p w14:paraId="31872464">
            <w:pPr>
              <w:pStyle w:val="24"/>
              <w:jc w:val="center"/>
            </w:pPr>
            <w:r>
              <w:t>51.70%</w:t>
            </w:r>
          </w:p>
        </w:tc>
        <w:tc>
          <w:p w14:paraId="690A7830">
            <w:pPr>
              <w:pStyle w:val="24"/>
              <w:jc w:val="left"/>
            </w:pPr>
            <w:r>
              <w:t>明显欠拟合，难以学习复杂细粒度特征</w:t>
            </w:r>
          </w:p>
        </w:tc>
      </w:tr>
    </w:tbl>
    <w:p w14:paraId="22D20666">
      <w:pPr>
        <w:pStyle w:val="3"/>
      </w:pPr>
      <w:r>
        <w:rPr>
          <w:b/>
        </w:rPr>
        <w:t>图1 训练曲线对比图</w:t>
      </w:r>
    </w:p>
    <w:p w14:paraId="5EF73EB3">
      <w:pPr>
        <w:pStyle w:val="34"/>
      </w:pPr>
      <w:r>
        <w:drawing>
          <wp:inline distT="0" distB="0" distL="114300" distR="114300">
            <wp:extent cx="5334000" cy="2190750"/>
            <wp:effectExtent l="0" t="0" r="0" b="0"/>
            <wp:docPr id="1" name="Picture" descr="训练曲线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训练曲线对比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91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6E813A">
      <w:pPr>
        <w:pStyle w:val="32"/>
      </w:pPr>
      <w:r>
        <w:t>训练曲线对比</w:t>
      </w:r>
    </w:p>
    <w:p w14:paraId="3F020C98">
      <w:pPr>
        <w:pStyle w:val="3"/>
      </w:pPr>
      <w:r>
        <w:t>实验结果表明，ImageNet 预训练模型显著优于从零训练的浅层网络。MobileNet-V2 虽然参数量较小，但在本数据子集上取得最高准确率和 Macro-F1。Shallow-CNN 缺少预训练知识和深层语义表达能力，在相似类别之间更容易混淆。</w:t>
      </w:r>
    </w:p>
    <w:p w14:paraId="4B4F8C9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5356C9F">
      <w:pPr>
        <w:pStyle w:val="4"/>
      </w:pPr>
      <w:bookmarkStart w:id="6" w:name="混淆矩阵与错误分析"/>
      <w:r>
        <w:t>5. 混淆矩阵与错误分析</w:t>
      </w:r>
      <w:bookmarkEnd w:id="6"/>
    </w:p>
    <w:p w14:paraId="7950A0BE">
      <w:pPr>
        <w:pStyle w:val="23"/>
      </w:pPr>
      <w:r>
        <w:t>1B 组中容易混淆的类别包括：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80"/>
        <w:gridCol w:w="4296"/>
      </w:tblGrid>
      <w:tr w14:paraId="4C7A5E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5EEA47D6">
            <w:pPr>
              <w:pStyle w:val="24"/>
              <w:jc w:val="left"/>
            </w:pPr>
            <w:r>
              <w:t>易混类别对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4ABB3269">
            <w:pPr>
              <w:pStyle w:val="24"/>
              <w:jc w:val="left"/>
            </w:pPr>
            <w:r>
              <w:t>可能原因</w:t>
            </w:r>
          </w:p>
        </w:tc>
      </w:tr>
      <w:tr w14:paraId="422931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723DA7">
            <w:pPr>
              <w:pStyle w:val="24"/>
              <w:jc w:val="left"/>
            </w:pPr>
            <w:r>
              <w:t>dumplings vs gyoza</w:t>
            </w:r>
          </w:p>
        </w:tc>
        <w:tc>
          <w:p w14:paraId="3033DE86">
            <w:pPr>
              <w:pStyle w:val="24"/>
              <w:jc w:val="left"/>
            </w:pPr>
            <w:r>
              <w:t>半月形面皮包馅，差异来自煎痕、褶皱</w:t>
            </w:r>
          </w:p>
        </w:tc>
      </w:tr>
      <w:tr w14:paraId="015B80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9418B">
            <w:pPr>
              <w:pStyle w:val="24"/>
              <w:jc w:val="left"/>
            </w:pPr>
            <w:r>
              <w:t>ramen vs pho</w:t>
            </w:r>
          </w:p>
        </w:tc>
        <w:tc>
          <w:p w14:paraId="4F460F83">
            <w:pPr>
              <w:pStyle w:val="24"/>
              <w:jc w:val="left"/>
            </w:pPr>
            <w:r>
              <w:t>汤面类，需区分面条粗细、汤色、配菜</w:t>
            </w:r>
          </w:p>
        </w:tc>
      </w:tr>
      <w:tr w14:paraId="70EFED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6563ED">
            <w:pPr>
              <w:pStyle w:val="24"/>
              <w:jc w:val="left"/>
            </w:pPr>
            <w:r>
              <w:t>sushi vs sashimi</w:t>
            </w:r>
          </w:p>
        </w:tc>
        <w:tc>
          <w:p w14:paraId="0B2E2EDA">
            <w:pPr>
              <w:pStyle w:val="24"/>
              <w:jc w:val="left"/>
            </w:pPr>
            <w:r>
              <w:t>都可能含生鱼片，米饭区域是关键</w:t>
            </w:r>
          </w:p>
        </w:tc>
      </w:tr>
      <w:tr w14:paraId="5DBED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12293E">
            <w:pPr>
              <w:pStyle w:val="24"/>
              <w:jc w:val="left"/>
            </w:pPr>
            <w:r>
              <w:t>miso_soup vs hot_and_sour_soup</w:t>
            </w:r>
          </w:p>
        </w:tc>
        <w:tc>
          <w:p w14:paraId="17F8B2D4">
            <w:pPr>
              <w:pStyle w:val="24"/>
              <w:jc w:val="left"/>
            </w:pPr>
            <w:r>
              <w:t>汤类，纹理弱，依赖配料</w:t>
            </w:r>
          </w:p>
        </w:tc>
      </w:tr>
      <w:tr w14:paraId="07F5E9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DB4242">
            <w:pPr>
              <w:pStyle w:val="24"/>
              <w:jc w:val="left"/>
            </w:pPr>
            <w:r>
              <w:t>spring_rolls vs samosa</w:t>
            </w:r>
          </w:p>
        </w:tc>
        <w:tc>
          <w:p w14:paraId="39918F33">
            <w:pPr>
              <w:pStyle w:val="24"/>
              <w:jc w:val="left"/>
            </w:pPr>
            <w:r>
              <w:t>油炸外皮，切面和拍摄角度影响</w:t>
            </w:r>
          </w:p>
        </w:tc>
      </w:tr>
    </w:tbl>
    <w:p w14:paraId="22D5547B">
      <w:pPr>
        <w:pStyle w:val="3"/>
      </w:pPr>
      <w:r>
        <w:t>MobileNet-V2 的混淆矩阵如图2所示，可以看出模型在多数类别上表现良好，但上述语义相似对仍有少量误判。</w:t>
      </w:r>
    </w:p>
    <w:p w14:paraId="0413EA7B">
      <w:pPr>
        <w:pStyle w:val="3"/>
        <w:rPr>
          <w:rFonts w:hint="eastAsia" w:eastAsia="宋体"/>
          <w:lang w:eastAsia="zh-CN"/>
        </w:rPr>
      </w:pPr>
      <w:r>
        <w:rPr>
          <w:b/>
        </w:rPr>
        <w:t>图2 MobileNet-V2 混淆矩阵</w:t>
      </w:r>
      <w:r>
        <w:br w:type="textWrapping"/>
      </w:r>
      <w:r>
        <w:rPr>
          <w:rFonts w:hint="eastAsia" w:eastAsia="宋体"/>
          <w:lang w:eastAsia="zh-CN"/>
        </w:rPr>
        <w:drawing>
          <wp:inline distT="0" distB="0" distL="114300" distR="114300">
            <wp:extent cx="5480050" cy="4636770"/>
            <wp:effectExtent l="0" t="0" r="6350" b="11430"/>
            <wp:docPr id="2" name="图片 2" descr="confusion_matr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onfusion_matrix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F8764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CBAC1E9">
      <w:pPr>
        <w:pStyle w:val="4"/>
      </w:pPr>
      <w:bookmarkStart w:id="7" w:name="grad-cam-扩展挑战"/>
      <w:r>
        <w:t>6. Grad-CAM 扩展挑战</w:t>
      </w:r>
      <w:bookmarkEnd w:id="7"/>
    </w:p>
    <w:p w14:paraId="1F7D1EDA">
      <w:pPr>
        <w:pStyle w:val="23"/>
      </w:pPr>
      <w:r>
        <w:t>本项目使用最佳模型 MobileNet-V2 生成 Grad-CAM 热力图，用于观察模型是否真正关注食物主体。</w:t>
      </w:r>
    </w:p>
    <w:p w14:paraId="66CCAE82">
      <w:pPr>
        <w:pStyle w:val="3"/>
      </w:pPr>
      <w:r>
        <w:rPr>
          <w:b/>
        </w:rPr>
        <w:t>表5 Grad-CAM 分析结果</w:t>
      </w:r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3"/>
        <w:gridCol w:w="3096"/>
      </w:tblGrid>
      <w:tr w14:paraId="3744B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22AE3D70">
            <w:pPr>
              <w:pStyle w:val="24"/>
              <w:jc w:val="left"/>
            </w:pPr>
            <w:r>
              <w:t>类别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172FDEDB">
            <w:pPr>
              <w:pStyle w:val="24"/>
              <w:jc w:val="left"/>
            </w:pPr>
            <w:r>
              <w:t>分析结论</w:t>
            </w:r>
          </w:p>
        </w:tc>
      </w:tr>
      <w:tr w14:paraId="0B532A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02E5E1">
            <w:pPr>
              <w:pStyle w:val="24"/>
              <w:jc w:val="left"/>
            </w:pPr>
            <w:r>
              <w:t>ramen</w:t>
            </w:r>
          </w:p>
        </w:tc>
        <w:tc>
          <w:p w14:paraId="513AFE53">
            <w:pPr>
              <w:pStyle w:val="24"/>
              <w:jc w:val="left"/>
            </w:pPr>
            <w:r>
              <w:t>关注碗内面条、汤底和配菜</w:t>
            </w:r>
          </w:p>
        </w:tc>
      </w:tr>
      <w:tr w14:paraId="57E0D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B41779">
            <w:pPr>
              <w:pStyle w:val="24"/>
              <w:jc w:val="left"/>
            </w:pPr>
            <w:r>
              <w:t>pho</w:t>
            </w:r>
          </w:p>
        </w:tc>
        <w:tc>
          <w:p w14:paraId="46B9974B">
            <w:pPr>
              <w:pStyle w:val="24"/>
              <w:jc w:val="left"/>
            </w:pPr>
            <w:r>
              <w:t>关注汤面主体和配料分布</w:t>
            </w:r>
          </w:p>
        </w:tc>
      </w:tr>
      <w:tr w14:paraId="5B5B4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226791">
            <w:pPr>
              <w:pStyle w:val="24"/>
              <w:jc w:val="left"/>
            </w:pPr>
            <w:r>
              <w:t>sushi</w:t>
            </w:r>
          </w:p>
        </w:tc>
        <w:tc>
          <w:p w14:paraId="30F0AE7E">
            <w:pPr>
              <w:pStyle w:val="24"/>
              <w:jc w:val="left"/>
            </w:pPr>
            <w:r>
              <w:t>关注鱼片和米饭组合区域</w:t>
            </w:r>
          </w:p>
        </w:tc>
      </w:tr>
      <w:tr w14:paraId="04E2AC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325191">
            <w:pPr>
              <w:pStyle w:val="24"/>
              <w:jc w:val="left"/>
            </w:pPr>
            <w:r>
              <w:t>dumplings</w:t>
            </w:r>
          </w:p>
        </w:tc>
        <w:tc>
          <w:p w14:paraId="0C6CF659">
            <w:pPr>
              <w:pStyle w:val="24"/>
              <w:jc w:val="left"/>
            </w:pPr>
            <w:r>
              <w:t>关注饺子外皮、轮廓和褶皱</w:t>
            </w:r>
          </w:p>
        </w:tc>
      </w:tr>
      <w:tr w14:paraId="47E713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195CB6">
            <w:pPr>
              <w:pStyle w:val="24"/>
              <w:jc w:val="left"/>
            </w:pPr>
            <w:r>
              <w:t>takoyaki</w:t>
            </w:r>
          </w:p>
        </w:tc>
        <w:tc>
          <w:p w14:paraId="11CF038B">
            <w:pPr>
              <w:pStyle w:val="24"/>
              <w:jc w:val="left"/>
            </w:pPr>
            <w:r>
              <w:t>关注章鱼烧主体和表面纹理</w:t>
            </w:r>
          </w:p>
        </w:tc>
      </w:tr>
    </w:tbl>
    <w:p w14:paraId="24D6D4D6">
      <w:pPr>
        <w:pStyle w:val="3"/>
        <w:rPr>
          <w:rFonts w:hint="eastAsia" w:eastAsia="宋体"/>
          <w:lang w:eastAsia="zh-CN"/>
        </w:rPr>
      </w:pPr>
      <w:r>
        <w:rPr>
          <w:b/>
        </w:rPr>
        <w:t>图3 ramen Grad-CAM</w:t>
      </w:r>
      <w:r>
        <w:br w:type="textWrapping"/>
      </w:r>
      <w:r>
        <w:rPr>
          <w:rFonts w:hint="eastAsia" w:eastAsia="宋体"/>
          <w:lang w:eastAsia="zh-CN"/>
        </w:rPr>
        <w:drawing>
          <wp:inline distT="0" distB="0" distL="114300" distR="114300">
            <wp:extent cx="2133600" cy="2133600"/>
            <wp:effectExtent l="0" t="0" r="0" b="0"/>
            <wp:docPr id="3" name="图片 3" descr="gradcam_takoya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gradcam_takoyaki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133600" cy="2133600"/>
            <wp:effectExtent l="0" t="0" r="0" b="0"/>
            <wp:docPr id="8" name="图片 8" descr="gradcam_dumpl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gradcam_dumpling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133600" cy="2133600"/>
            <wp:effectExtent l="0" t="0" r="0" b="0"/>
            <wp:docPr id="11" name="图片 11" descr="gradcam_sus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gradcam_sushi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133600" cy="2133600"/>
            <wp:effectExtent l="0" t="0" r="0" b="0"/>
            <wp:docPr id="9" name="图片 9" descr="gradcam_ph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gradcam_pho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2133600" cy="2133600"/>
            <wp:effectExtent l="0" t="0" r="0" b="0"/>
            <wp:docPr id="10" name="图片 10" descr="gradcam_ra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gradcam_rame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7A27">
      <w:pPr>
        <w:pStyle w:val="3"/>
      </w:pPr>
      <w:r>
        <w:t>Grad-CAM 结果说明，MobileNet-V2 大部分情况下能够关注食物主体，而不是单纯依赖盘子、桌面或背景线索。</w:t>
      </w:r>
    </w:p>
    <w:p w14:paraId="33F9815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4CE79BE">
      <w:pPr>
        <w:pStyle w:val="4"/>
      </w:pPr>
      <w:bookmarkStart w:id="8" w:name="web-demo-扩展挑战"/>
      <w:r>
        <w:t>7. Web Demo 扩展挑战</w:t>
      </w:r>
      <w:bookmarkEnd w:id="8"/>
    </w:p>
    <w:p w14:paraId="5660E1C1">
      <w:pPr>
        <w:pStyle w:val="23"/>
      </w:pPr>
      <w:r>
        <w:t xml:space="preserve">项目实现 Streamlit Web Demo，代码位于 </w:t>
      </w:r>
      <w:r>
        <w:rPr>
          <w:rStyle w:val="35"/>
        </w:rPr>
        <w:t>app.py</w:t>
      </w:r>
      <w:r>
        <w:t xml:space="preserve">，推理接口位于 </w:t>
      </w:r>
      <w:r>
        <w:rPr>
          <w:rStyle w:val="35"/>
        </w:rPr>
        <w:t>predict.py</w:t>
      </w:r>
      <w:r>
        <w:t>。Demo 支持： 1. 输入模型权重路径 2. 选择运行设备 3. 上传 JPG/PNG/WEBP 图片 4. 输出 Top-K 菜品预测概率</w:t>
      </w:r>
    </w:p>
    <w:p w14:paraId="1DB32A13">
      <w:pPr>
        <w:pStyle w:val="3"/>
      </w:pPr>
      <w:r>
        <w:t>在 Colab 免费环境中，受网络代理限制，Web Demo 偶有加载延迟。</w:t>
      </w:r>
      <w:r>
        <w:rPr>
          <w:b/>
        </w:rPr>
        <w:t>本地服务器或云部署环境下可稳定运行</w:t>
      </w:r>
      <w:r>
        <w:t>，代码已完整实现预测功能。</w:t>
      </w:r>
    </w:p>
    <w:p w14:paraId="1B1E51AF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D203BD8">
      <w:pPr>
        <w:pStyle w:val="4"/>
      </w:pPr>
      <w:bookmarkStart w:id="9" w:name="复现实验流程"/>
      <w:r>
        <w:t>8. 复现实验流程</w:t>
      </w:r>
      <w:bookmarkEnd w:id="9"/>
    </w:p>
    <w:p w14:paraId="40E955BE">
      <w:pPr>
        <w:pStyle w:val="23"/>
      </w:pPr>
      <w:r>
        <w:t xml:space="preserve">Colab notebook </w:t>
      </w:r>
      <w:r>
        <w:rPr>
          <w:rStyle w:val="35"/>
        </w:rPr>
        <w:t>Untitled0.ipynb</w:t>
      </w:r>
      <w:r>
        <w:t xml:space="preserve"> 记录了完整流程：</w:t>
      </w:r>
    </w:p>
    <w:p w14:paraId="6D7C5593">
      <w:pPr>
        <w:pStyle w:val="23"/>
      </w:pPr>
      <w:r>
        <w:t xml:space="preserve"> 1. 上传并解压项目</w:t>
      </w:r>
    </w:p>
    <w:p w14:paraId="767CA637">
      <w:pPr>
        <w:pStyle w:val="23"/>
        <w:numPr>
          <w:ilvl w:val="0"/>
          <w:numId w:val="1"/>
        </w:numPr>
        <w:ind w:left="52" w:leftChars="0" w:firstLine="0" w:firstLineChars="0"/>
      </w:pPr>
      <w:r>
        <w:t>安装依赖 (</w:t>
      </w:r>
      <w:r>
        <w:rPr>
          <w:rStyle w:val="35"/>
        </w:rPr>
        <w:t>pip install -r requirements.txt</w:t>
      </w:r>
      <w:r>
        <w:t xml:space="preserve">) </w:t>
      </w:r>
    </w:p>
    <w:p w14:paraId="5AA0070D">
      <w:pPr>
        <w:pStyle w:val="23"/>
        <w:numPr>
          <w:ilvl w:val="0"/>
          <w:numId w:val="1"/>
        </w:numPr>
        <w:ind w:left="52" w:leftChars="0" w:firstLine="0" w:firstLineChars="0"/>
      </w:pPr>
      <w:r>
        <w:t xml:space="preserve">检查 T4 GPU </w:t>
      </w:r>
    </w:p>
    <w:p w14:paraId="3EE1D819">
      <w:pPr>
        <w:pStyle w:val="23"/>
        <w:numPr>
          <w:ilvl w:val="0"/>
          <w:numId w:val="1"/>
        </w:numPr>
        <w:ind w:left="52" w:leftChars="0" w:firstLine="0" w:firstLineChars="0"/>
      </w:pPr>
      <w:r>
        <w:t xml:space="preserve">下载 Food-101 并训练三种模型 </w:t>
      </w:r>
    </w:p>
    <w:p w14:paraId="54B720AC">
      <w:pPr>
        <w:pStyle w:val="23"/>
        <w:numPr>
          <w:ilvl w:val="0"/>
          <w:numId w:val="1"/>
        </w:numPr>
        <w:ind w:left="52" w:leftChars="0" w:firstLine="0" w:firstLineChars="0"/>
      </w:pPr>
      <w:r>
        <w:t xml:space="preserve">运行 </w:t>
      </w:r>
      <w:r>
        <w:rPr>
          <w:rStyle w:val="35"/>
        </w:rPr>
        <w:t>evaluate.py</w:t>
      </w:r>
      <w:r>
        <w:t xml:space="preserve"> 生成分类报告和混淆矩阵 </w:t>
      </w:r>
    </w:p>
    <w:p w14:paraId="57603BF5">
      <w:pPr>
        <w:pStyle w:val="23"/>
        <w:numPr>
          <w:ilvl w:val="0"/>
          <w:numId w:val="0"/>
        </w:numPr>
        <w:ind w:left="52" w:leftChars="0"/>
      </w:pPr>
      <w:r>
        <w:t xml:space="preserve">运行 </w:t>
      </w:r>
      <w:r>
        <w:rPr>
          <w:rStyle w:val="35"/>
        </w:rPr>
        <w:t>grad_cam.py</w:t>
      </w:r>
      <w:r>
        <w:t xml:space="preserve"> 生成 Grad-CAM 图片</w:t>
      </w:r>
    </w:p>
    <w:p w14:paraId="3DA5D9DE">
      <w:pPr>
        <w:pStyle w:val="23"/>
        <w:numPr>
          <w:ilvl w:val="0"/>
          <w:numId w:val="1"/>
        </w:numPr>
        <w:ind w:left="52" w:leftChars="0" w:firstLine="0" w:firstLineChars="0"/>
      </w:pPr>
      <w:r>
        <w:t>启动 Streamlit Demo</w:t>
      </w:r>
    </w:p>
    <w:p w14:paraId="4D736AE9">
      <w:pPr>
        <w:pStyle w:val="3"/>
        <w:numPr>
          <w:numId w:val="0"/>
        </w:numPr>
        <w:ind w:left="52" w:leftChars="0"/>
        <w:rPr>
          <w:rFonts w:hint="eastAsia" w:eastAsia="宋体"/>
          <w:lang w:eastAsia="zh-CN"/>
        </w:rPr>
      </w:pPr>
      <w:bookmarkStart w:id="14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5483860" cy="3083560"/>
            <wp:effectExtent l="0" t="0" r="2540" b="10160"/>
            <wp:docPr id="4" name="图片 4" descr="d3b8bf1ab17ec0f4875f378c88d12c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3b8bf1ab17ec0f4875f378c88d12c7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"/>
    </w:p>
    <w:p w14:paraId="36EF4977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9CD380C">
      <w:pPr>
        <w:pStyle w:val="4"/>
      </w:pPr>
      <w:bookmarkStart w:id="10" w:name="结论"/>
      <w:r>
        <w:t>9. 结论</w:t>
      </w:r>
      <w:bookmarkEnd w:id="10"/>
    </w:p>
    <w:p w14:paraId="5C4CF98B">
      <w:pPr>
        <w:pStyle w:val="23"/>
      </w:pPr>
      <w:r>
        <w:t>亚洲主食类 Food-101 分类是典型细粒度视觉任务。实验结果显示，预训练 CNN 在该任务上显著优于从零训练的浅层网络。MobileNet-V2 取得 92.70% Accuracy 和 92.69% Macro-F1，是本实验最佳模型；ResNet-18 表现接近；Shallow-CNN 明显欠拟合。Grad-CAM 可视化进一步表明，最佳模型大多数情况下能够关注食物主体区域。</w:t>
      </w:r>
    </w:p>
    <w:p w14:paraId="614617E3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7B463B3">
      <w:pPr>
        <w:pStyle w:val="4"/>
      </w:pPr>
      <w:bookmarkStart w:id="11" w:name="提交文件说明"/>
      <w:r>
        <w:t>10. 提交文件说明</w:t>
      </w:r>
      <w:bookmarkEnd w:id="11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3"/>
        <w:gridCol w:w="4583"/>
      </w:tblGrid>
      <w:tr w14:paraId="580F68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7C281AF7">
            <w:pPr>
              <w:pStyle w:val="24"/>
              <w:jc w:val="left"/>
            </w:pPr>
            <w:r>
              <w:t>文件/目录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07FE874">
            <w:pPr>
              <w:pStyle w:val="24"/>
              <w:jc w:val="left"/>
            </w:pPr>
            <w:r>
              <w:t>内容</w:t>
            </w:r>
          </w:p>
        </w:tc>
      </w:tr>
      <w:tr w14:paraId="3C2E6B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24C222">
            <w:pPr>
              <w:pStyle w:val="24"/>
              <w:jc w:val="left"/>
            </w:pPr>
            <w:r>
              <w:rPr>
                <w:rStyle w:val="35"/>
              </w:rPr>
              <w:t>report_final_1B_modified.docx</w:t>
            </w:r>
            <w:r>
              <w:t xml:space="preserve"> / </w:t>
            </w:r>
            <w:r>
              <w:rPr>
                <w:rStyle w:val="35"/>
              </w:rPr>
              <w:t>.md</w:t>
            </w:r>
          </w:p>
        </w:tc>
        <w:tc>
          <w:p w14:paraId="531FF9CE">
            <w:pPr>
              <w:pStyle w:val="24"/>
              <w:jc w:val="left"/>
            </w:pPr>
            <w:r>
              <w:t>最终报告</w:t>
            </w:r>
          </w:p>
        </w:tc>
      </w:tr>
      <w:tr w14:paraId="18C05E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F9EE0F">
            <w:pPr>
              <w:pStyle w:val="24"/>
              <w:jc w:val="left"/>
            </w:pPr>
            <w:r>
              <w:rPr>
                <w:rStyle w:val="35"/>
              </w:rPr>
              <w:t>README.md</w:t>
            </w:r>
          </w:p>
        </w:tc>
        <w:tc>
          <w:p w14:paraId="4E015FA7">
            <w:pPr>
              <w:pStyle w:val="24"/>
              <w:jc w:val="left"/>
            </w:pPr>
            <w:r>
              <w:t>项目运行说明</w:t>
            </w:r>
          </w:p>
        </w:tc>
      </w:tr>
      <w:tr w14:paraId="13B76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40E138">
            <w:pPr>
              <w:pStyle w:val="24"/>
              <w:jc w:val="left"/>
            </w:pPr>
            <w:r>
              <w:rPr>
                <w:rStyle w:val="35"/>
              </w:rPr>
              <w:t>Untitled0.ipynb</w:t>
            </w:r>
          </w:p>
        </w:tc>
        <w:tc>
          <w:p w14:paraId="018BC7C7">
            <w:pPr>
              <w:pStyle w:val="24"/>
              <w:jc w:val="left"/>
            </w:pPr>
            <w:r>
              <w:t>Colab 完整实验 notebook</w:t>
            </w:r>
          </w:p>
        </w:tc>
      </w:tr>
      <w:tr w14:paraId="3B8B4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D78A4F">
            <w:pPr>
              <w:pStyle w:val="24"/>
              <w:jc w:val="left"/>
            </w:pPr>
            <w:r>
              <w:rPr>
                <w:rStyle w:val="35"/>
              </w:rPr>
              <w:t>code/</w:t>
            </w:r>
          </w:p>
        </w:tc>
        <w:tc>
          <w:p w14:paraId="4552614F">
            <w:pPr>
              <w:pStyle w:val="24"/>
              <w:jc w:val="left"/>
            </w:pPr>
            <w:r>
              <w:t>训练、评估、预测、Grad-CAM、Demo 代码</w:t>
            </w:r>
          </w:p>
        </w:tc>
      </w:tr>
      <w:tr w14:paraId="6CBF4C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ADA3C3">
            <w:pPr>
              <w:pStyle w:val="24"/>
              <w:jc w:val="left"/>
            </w:pPr>
            <w:r>
              <w:rPr>
                <w:rStyle w:val="35"/>
              </w:rPr>
              <w:t>outputs/eval/</w:t>
            </w:r>
          </w:p>
        </w:tc>
        <w:tc>
          <w:p w14:paraId="23368A7E">
            <w:pPr>
              <w:pStyle w:val="24"/>
              <w:jc w:val="left"/>
            </w:pPr>
            <w:r>
              <w:t>分类报告、混淆矩阵 CSV 和 PNG</w:t>
            </w:r>
          </w:p>
        </w:tc>
      </w:tr>
      <w:tr w14:paraId="61E14B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EB5189">
            <w:pPr>
              <w:pStyle w:val="24"/>
              <w:jc w:val="left"/>
            </w:pPr>
            <w:r>
              <w:rPr>
                <w:rStyle w:val="35"/>
              </w:rPr>
              <w:t>outputs/gradcam_*.png</w:t>
            </w:r>
          </w:p>
        </w:tc>
        <w:tc>
          <w:p w14:paraId="17548E02">
            <w:pPr>
              <w:pStyle w:val="24"/>
              <w:jc w:val="left"/>
            </w:pPr>
            <w:r>
              <w:t>Grad-CAM 扩展挑战结果</w:t>
            </w:r>
          </w:p>
        </w:tc>
      </w:tr>
      <w:tr w14:paraId="5188F9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C0069C">
            <w:pPr>
              <w:pStyle w:val="24"/>
              <w:jc w:val="left"/>
            </w:pPr>
            <w:r>
              <w:rPr>
                <w:rStyle w:val="35"/>
              </w:rPr>
              <w:t>training_curves.png</w:t>
            </w:r>
          </w:p>
        </w:tc>
        <w:tc>
          <w:p w14:paraId="0CC1279D">
            <w:pPr>
              <w:pStyle w:val="24"/>
              <w:jc w:val="left"/>
            </w:pPr>
            <w:r>
              <w:t>训练曲线对比图（新增）</w:t>
            </w:r>
          </w:p>
        </w:tc>
      </w:tr>
    </w:tbl>
    <w:p w14:paraId="7F9B5DDE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8068257">
      <w:pPr>
        <w:pStyle w:val="4"/>
      </w:pPr>
      <w:bookmarkStart w:id="12" w:name="创新性与特色"/>
      <w:r>
        <w:t>11. 创新性与特色</w:t>
      </w:r>
      <w:bookmarkEnd w:id="12"/>
    </w:p>
    <w:p w14:paraId="5EF35C25">
      <w:pPr>
        <w:pStyle w:val="23"/>
      </w:pPr>
      <w:r>
        <w:rPr>
          <w:b/>
        </w:rPr>
        <w:t>11.1 任务针对性设计</w:t>
      </w:r>
      <w:r>
        <w:br w:type="textWrapping"/>
      </w:r>
      <w:r>
        <w:t>针对 1B 组亚洲主食类“类间差异小”的特点，设计了强化数据增强策略（裁剪+翻转+颜色抖动+旋转）。</w:t>
      </w:r>
    </w:p>
    <w:p w14:paraId="366C0CF5">
      <w:pPr>
        <w:pStyle w:val="3"/>
      </w:pPr>
      <w:r>
        <w:rPr>
          <w:b/>
        </w:rPr>
        <w:t>11.2 模型对比覆盖全面</w:t>
      </w:r>
      <w:r>
        <w:br w:type="textWrapping"/>
      </w:r>
      <w:r>
        <w:t>同时对比“预训练深层(ResNet18) / 预训练轻量(MobileNetV2) / 从零训练浅层(Shallow-CNN)”三种极端情况。</w:t>
      </w:r>
    </w:p>
    <w:p w14:paraId="437096BA">
      <w:pPr>
        <w:pStyle w:val="3"/>
      </w:pPr>
      <w:r>
        <w:rPr>
          <w:b/>
        </w:rPr>
        <w:t>11.3 扩展挑战双完成</w:t>
      </w:r>
      <w:r>
        <w:br w:type="textWrapping"/>
      </w:r>
      <w:r>
        <w:t>- Grad-CAM：验证模型关注食物主体而非背景</w:t>
      </w:r>
      <w:r>
        <w:br w:type="textWrapping"/>
      </w:r>
      <w:r>
        <w:t>- Web Demo：实现上传图片实时预测（Streamlit）</w:t>
      </w:r>
    </w:p>
    <w:p w14:paraId="1843DF56">
      <w:pPr>
        <w:pStyle w:val="3"/>
      </w:pPr>
      <w:r>
        <w:rPr>
          <w:b/>
        </w:rPr>
        <w:t>11.4 细粒度错误语义分析</w:t>
      </w:r>
      <w:r>
        <w:br w:type="textWrapping"/>
      </w:r>
      <w:r>
        <w:t>不仅报告数字，还解释了 dumplings↔gyoza、ramen↔pho 等混淆的视觉原因。</w:t>
      </w:r>
    </w:p>
    <w:p w14:paraId="7C16B7F2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3536C26">
      <w:pPr>
        <w:pStyle w:val="4"/>
      </w:pPr>
      <w:bookmarkStart w:id="13" w:name="附录团队成员贡献声明"/>
      <w:r>
        <w:t>附录：团队成员贡献声明</w:t>
      </w:r>
      <w:bookmarkEnd w:id="13"/>
    </w:p>
    <w:tbl>
      <w:tblPr>
        <w:tblStyle w:val="28"/>
        <w:tblW w:w="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9"/>
        <w:gridCol w:w="928"/>
        <w:gridCol w:w="4386"/>
        <w:gridCol w:w="1416"/>
      </w:tblGrid>
      <w:tr w14:paraId="6AE6AB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 w14:paraId="1AFB3E8D">
            <w:pPr>
              <w:pStyle w:val="24"/>
              <w:jc w:val="left"/>
            </w:pPr>
            <w:r>
              <w:t>成员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70BB1615">
            <w:pPr>
              <w:pStyle w:val="24"/>
              <w:jc w:val="left"/>
            </w:pPr>
            <w:r>
              <w:t>学号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3E037E2E">
            <w:pPr>
              <w:pStyle w:val="24"/>
              <w:jc w:val="left"/>
            </w:pPr>
            <w:r>
              <w:t>贡献内容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 w14:paraId="0AD91CF8">
            <w:pPr>
              <w:pStyle w:val="24"/>
              <w:jc w:val="center"/>
            </w:pPr>
            <w:r>
              <w:t>工作量占比</w:t>
            </w:r>
          </w:p>
        </w:tc>
      </w:tr>
      <w:tr w14:paraId="201B24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B64050">
            <w:pPr>
              <w:pStyle w:val="24"/>
              <w:jc w:val="left"/>
            </w:pPr>
            <w:r>
              <w:t>成员1</w:t>
            </w:r>
          </w:p>
        </w:tc>
        <w:tc>
          <w:p w14:paraId="3AFB257C">
            <w:pPr>
              <w:pStyle w:val="24"/>
              <w:jc w:val="left"/>
            </w:pPr>
            <w:r>
              <w:t>________</w:t>
            </w:r>
          </w:p>
        </w:tc>
        <w:tc>
          <w:p w14:paraId="3BCB57C7">
            <w:pPr>
              <w:pStyle w:val="24"/>
              <w:jc w:val="left"/>
            </w:pPr>
            <w:r>
              <w:t>数据预处理、ResNet18 训练、环境配置</w:t>
            </w:r>
          </w:p>
        </w:tc>
        <w:tc>
          <w:p w14:paraId="235A3EC6">
            <w:pPr>
              <w:pStyle w:val="24"/>
              <w:jc w:val="center"/>
            </w:pPr>
            <w:r>
              <w:t>25%</w:t>
            </w:r>
          </w:p>
        </w:tc>
      </w:tr>
      <w:tr w14:paraId="6FE53A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E9AE65">
            <w:pPr>
              <w:pStyle w:val="24"/>
              <w:jc w:val="left"/>
            </w:pPr>
            <w:r>
              <w:t>成员2</w:t>
            </w:r>
          </w:p>
        </w:tc>
        <w:tc>
          <w:p w14:paraId="67AC6454">
            <w:pPr>
              <w:pStyle w:val="24"/>
              <w:jc w:val="left"/>
            </w:pPr>
            <w:r>
              <w:t>________</w:t>
            </w:r>
          </w:p>
        </w:tc>
        <w:tc>
          <w:p w14:paraId="06BFDAA6">
            <w:pPr>
              <w:pStyle w:val="24"/>
              <w:jc w:val="left"/>
            </w:pPr>
            <w:r>
              <w:t>MobileNetV2 调优、Grad-CAM 实现</w:t>
            </w:r>
          </w:p>
        </w:tc>
        <w:tc>
          <w:p w14:paraId="198E29CD">
            <w:pPr>
              <w:pStyle w:val="24"/>
              <w:jc w:val="center"/>
            </w:pPr>
            <w:r>
              <w:t>25%</w:t>
            </w:r>
          </w:p>
        </w:tc>
      </w:tr>
      <w:tr w14:paraId="282D6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2548DC">
            <w:pPr>
              <w:pStyle w:val="24"/>
              <w:jc w:val="left"/>
            </w:pPr>
            <w:r>
              <w:t>成员3</w:t>
            </w:r>
          </w:p>
        </w:tc>
        <w:tc>
          <w:p w14:paraId="501B3960">
            <w:pPr>
              <w:pStyle w:val="24"/>
              <w:jc w:val="left"/>
            </w:pPr>
            <w:r>
              <w:t>________</w:t>
            </w:r>
          </w:p>
        </w:tc>
        <w:tc>
          <w:p w14:paraId="4E609927">
            <w:pPr>
              <w:pStyle w:val="24"/>
              <w:jc w:val="left"/>
            </w:pPr>
            <w:r>
              <w:t>混淆矩阵分析、报告撰写</w:t>
            </w:r>
          </w:p>
        </w:tc>
        <w:tc>
          <w:p w14:paraId="76CABEDA">
            <w:pPr>
              <w:pStyle w:val="24"/>
              <w:jc w:val="center"/>
            </w:pPr>
            <w:r>
              <w:t>20%</w:t>
            </w:r>
          </w:p>
        </w:tc>
      </w:tr>
      <w:tr w14:paraId="50A7EA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25D1F3">
            <w:pPr>
              <w:pStyle w:val="24"/>
              <w:jc w:val="left"/>
            </w:pPr>
            <w:r>
              <w:t>成员4</w:t>
            </w:r>
          </w:p>
        </w:tc>
        <w:tc>
          <w:p w14:paraId="343CF87E">
            <w:pPr>
              <w:pStyle w:val="24"/>
              <w:jc w:val="left"/>
            </w:pPr>
            <w:r>
              <w:t>________</w:t>
            </w:r>
          </w:p>
        </w:tc>
        <w:tc>
          <w:p w14:paraId="51F86F6B">
            <w:pPr>
              <w:pStyle w:val="24"/>
              <w:jc w:val="left"/>
            </w:pPr>
            <w:r>
              <w:t>Web Demo 开发、答辩准备</w:t>
            </w:r>
          </w:p>
        </w:tc>
        <w:tc>
          <w:p w14:paraId="730C8E70">
            <w:pPr>
              <w:pStyle w:val="24"/>
              <w:jc w:val="center"/>
            </w:pPr>
            <w:r>
              <w:t>20%</w:t>
            </w:r>
          </w:p>
        </w:tc>
      </w:tr>
      <w:tr w14:paraId="0D4AAB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470F56">
            <w:pPr>
              <w:pStyle w:val="24"/>
              <w:jc w:val="left"/>
            </w:pPr>
            <w:r>
              <w:t>成员5</w:t>
            </w:r>
          </w:p>
        </w:tc>
        <w:tc>
          <w:p w14:paraId="34CC436C">
            <w:pPr>
              <w:pStyle w:val="24"/>
              <w:jc w:val="left"/>
            </w:pPr>
            <w:r>
              <w:t>________</w:t>
            </w:r>
          </w:p>
        </w:tc>
        <w:tc>
          <w:p w14:paraId="406D44A5">
            <w:pPr>
              <w:pStyle w:val="24"/>
              <w:jc w:val="left"/>
            </w:pPr>
            <w:r>
              <w:t>Shallow-CNN 实现、实验记录</w:t>
            </w:r>
          </w:p>
        </w:tc>
        <w:tc>
          <w:p w14:paraId="047E4AB3">
            <w:pPr>
              <w:pStyle w:val="24"/>
              <w:jc w:val="center"/>
            </w:pPr>
            <w:r>
              <w:t>10%</w:t>
            </w:r>
          </w:p>
        </w:tc>
      </w:tr>
    </w:tbl>
    <w:p w14:paraId="75F18BA6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6D3AB0"/>
    <w:multiLevelType w:val="singleLevel"/>
    <w:tmpl w:val="3C6D3AB0"/>
    <w:lvl w:ilvl="0" w:tentative="0">
      <w:start w:val="2"/>
      <w:numFmt w:val="decimal"/>
      <w:suff w:val="space"/>
      <w:lvlText w:val="%1."/>
      <w:lvlJc w:val="left"/>
      <w:pPr>
        <w:ind w:left="52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10BA159D"/>
    <w:rsid w:val="78DB0684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paragraph" w:customStyle="1" w:styleId="37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</w:rPr>
  </w:style>
  <w:style w:type="character" w:customStyle="1" w:styleId="38">
    <w:name w:val="KeywordTok"/>
    <w:basedOn w:val="35"/>
    <w:qFormat/>
    <w:uiPriority w:val="0"/>
    <w:rPr>
      <w:b/>
      <w:color w:val="007020"/>
    </w:rPr>
  </w:style>
  <w:style w:type="character" w:customStyle="1" w:styleId="39">
    <w:name w:val="DataTypeTok"/>
    <w:basedOn w:val="35"/>
    <w:qFormat/>
    <w:uiPriority w:val="0"/>
    <w:rPr>
      <w:color w:val="902000"/>
    </w:rPr>
  </w:style>
  <w:style w:type="character" w:customStyle="1" w:styleId="40">
    <w:name w:val="DecValTok"/>
    <w:basedOn w:val="35"/>
    <w:qFormat/>
    <w:uiPriority w:val="0"/>
    <w:rPr>
      <w:color w:val="40A070"/>
    </w:rPr>
  </w:style>
  <w:style w:type="character" w:customStyle="1" w:styleId="41">
    <w:name w:val="BaseNTok"/>
    <w:basedOn w:val="35"/>
    <w:qFormat/>
    <w:uiPriority w:val="0"/>
    <w:rPr>
      <w:color w:val="40A070"/>
    </w:rPr>
  </w:style>
  <w:style w:type="character" w:customStyle="1" w:styleId="42">
    <w:name w:val="FloatTok"/>
    <w:basedOn w:val="35"/>
    <w:qFormat/>
    <w:uiPriority w:val="0"/>
    <w:rPr>
      <w:color w:val="40A070"/>
    </w:rPr>
  </w:style>
  <w:style w:type="character" w:customStyle="1" w:styleId="43">
    <w:name w:val="ConstantTok"/>
    <w:basedOn w:val="35"/>
    <w:qFormat/>
    <w:uiPriority w:val="0"/>
    <w:rPr>
      <w:color w:val="880000"/>
    </w:rPr>
  </w:style>
  <w:style w:type="character" w:customStyle="1" w:styleId="44">
    <w:name w:val="CharTok"/>
    <w:basedOn w:val="35"/>
    <w:qFormat/>
    <w:uiPriority w:val="0"/>
    <w:rPr>
      <w:color w:val="4070A0"/>
    </w:rPr>
  </w:style>
  <w:style w:type="character" w:customStyle="1" w:styleId="45">
    <w:name w:val="SpecialCharTok"/>
    <w:basedOn w:val="35"/>
    <w:qFormat/>
    <w:uiPriority w:val="0"/>
    <w:rPr>
      <w:color w:val="4070A0"/>
    </w:rPr>
  </w:style>
  <w:style w:type="character" w:customStyle="1" w:styleId="46">
    <w:name w:val="StringTok"/>
    <w:basedOn w:val="35"/>
    <w:qFormat/>
    <w:uiPriority w:val="0"/>
    <w:rPr>
      <w:color w:val="4070A0"/>
    </w:rPr>
  </w:style>
  <w:style w:type="character" w:customStyle="1" w:styleId="47">
    <w:name w:val="VerbatimStringTok"/>
    <w:basedOn w:val="35"/>
    <w:qFormat/>
    <w:uiPriority w:val="0"/>
    <w:rPr>
      <w:color w:val="4070A0"/>
    </w:rPr>
  </w:style>
  <w:style w:type="character" w:customStyle="1" w:styleId="48">
    <w:name w:val="SpecialStringTok"/>
    <w:basedOn w:val="35"/>
    <w:qFormat/>
    <w:uiPriority w:val="0"/>
    <w:rPr>
      <w:color w:val="BB6688"/>
    </w:rPr>
  </w:style>
  <w:style w:type="character" w:customStyle="1" w:styleId="49">
    <w:name w:val="ImportTok"/>
    <w:basedOn w:val="35"/>
    <w:qFormat/>
    <w:uiPriority w:val="0"/>
  </w:style>
  <w:style w:type="character" w:customStyle="1" w:styleId="50">
    <w:name w:val="CommentTok"/>
    <w:basedOn w:val="35"/>
    <w:qFormat/>
    <w:uiPriority w:val="0"/>
    <w:rPr>
      <w:i/>
      <w:color w:val="60A0B0"/>
    </w:rPr>
  </w:style>
  <w:style w:type="character" w:customStyle="1" w:styleId="51">
    <w:name w:val="DocumentationTok"/>
    <w:basedOn w:val="35"/>
    <w:qFormat/>
    <w:uiPriority w:val="0"/>
    <w:rPr>
      <w:i/>
      <w:color w:val="BA2121"/>
    </w:rPr>
  </w:style>
  <w:style w:type="character" w:customStyle="1" w:styleId="52">
    <w:name w:val="AnnotationTok"/>
    <w:basedOn w:val="35"/>
    <w:qFormat/>
    <w:uiPriority w:val="0"/>
    <w:rPr>
      <w:b/>
      <w:i/>
      <w:color w:val="60A0B0"/>
    </w:rPr>
  </w:style>
  <w:style w:type="character" w:customStyle="1" w:styleId="53">
    <w:name w:val="CommentVarTok"/>
    <w:basedOn w:val="35"/>
    <w:qFormat/>
    <w:uiPriority w:val="0"/>
    <w:rPr>
      <w:b/>
      <w:i/>
      <w:color w:val="60A0B0"/>
    </w:rPr>
  </w:style>
  <w:style w:type="character" w:customStyle="1" w:styleId="54">
    <w:name w:val="OtherTok"/>
    <w:basedOn w:val="35"/>
    <w:qFormat/>
    <w:uiPriority w:val="0"/>
    <w:rPr>
      <w:color w:val="007020"/>
    </w:rPr>
  </w:style>
  <w:style w:type="character" w:customStyle="1" w:styleId="55">
    <w:name w:val="FunctionTok"/>
    <w:basedOn w:val="35"/>
    <w:qFormat/>
    <w:uiPriority w:val="0"/>
    <w:rPr>
      <w:color w:val="06287E"/>
    </w:rPr>
  </w:style>
  <w:style w:type="character" w:customStyle="1" w:styleId="56">
    <w:name w:val="VariableTok"/>
    <w:basedOn w:val="35"/>
    <w:qFormat/>
    <w:uiPriority w:val="0"/>
    <w:rPr>
      <w:color w:val="19177C"/>
    </w:rPr>
  </w:style>
  <w:style w:type="character" w:customStyle="1" w:styleId="57">
    <w:name w:val="ControlFlowTok"/>
    <w:basedOn w:val="35"/>
    <w:qFormat/>
    <w:uiPriority w:val="0"/>
    <w:rPr>
      <w:b/>
      <w:color w:val="007020"/>
    </w:rPr>
  </w:style>
  <w:style w:type="character" w:customStyle="1" w:styleId="58">
    <w:name w:val="OperatorTok"/>
    <w:basedOn w:val="35"/>
    <w:qFormat/>
    <w:uiPriority w:val="0"/>
    <w:rPr>
      <w:color w:val="666666"/>
    </w:rPr>
  </w:style>
  <w:style w:type="character" w:customStyle="1" w:styleId="59">
    <w:name w:val="BuiltInTok"/>
    <w:basedOn w:val="35"/>
    <w:qFormat/>
    <w:uiPriority w:val="0"/>
  </w:style>
  <w:style w:type="character" w:customStyle="1" w:styleId="60">
    <w:name w:val="ExtensionTok"/>
    <w:basedOn w:val="35"/>
    <w:qFormat/>
    <w:uiPriority w:val="0"/>
  </w:style>
  <w:style w:type="character" w:customStyle="1" w:styleId="61">
    <w:name w:val="PreprocessorTok"/>
    <w:basedOn w:val="35"/>
    <w:qFormat/>
    <w:uiPriority w:val="0"/>
    <w:rPr>
      <w:color w:val="BC7A00"/>
    </w:rPr>
  </w:style>
  <w:style w:type="character" w:customStyle="1" w:styleId="62">
    <w:name w:val="AttributeTok"/>
    <w:basedOn w:val="35"/>
    <w:qFormat/>
    <w:uiPriority w:val="0"/>
    <w:rPr>
      <w:color w:val="7D9029"/>
    </w:rPr>
  </w:style>
  <w:style w:type="character" w:customStyle="1" w:styleId="63">
    <w:name w:val="RegionMarkerTok"/>
    <w:basedOn w:val="35"/>
    <w:qFormat/>
    <w:uiPriority w:val="0"/>
  </w:style>
  <w:style w:type="character" w:customStyle="1" w:styleId="64">
    <w:name w:val="InformationTok"/>
    <w:basedOn w:val="35"/>
    <w:qFormat/>
    <w:uiPriority w:val="0"/>
    <w:rPr>
      <w:b/>
      <w:i/>
      <w:color w:val="60A0B0"/>
    </w:rPr>
  </w:style>
  <w:style w:type="character" w:customStyle="1" w:styleId="65">
    <w:name w:val="WarningTok"/>
    <w:basedOn w:val="35"/>
    <w:qFormat/>
    <w:uiPriority w:val="0"/>
    <w:rPr>
      <w:b/>
      <w:i/>
      <w:color w:val="60A0B0"/>
    </w:rPr>
  </w:style>
  <w:style w:type="character" w:customStyle="1" w:styleId="66">
    <w:name w:val="AlertTok"/>
    <w:basedOn w:val="35"/>
    <w:qFormat/>
    <w:uiPriority w:val="0"/>
    <w:rPr>
      <w:b/>
      <w:color w:val="FF0000"/>
    </w:rPr>
  </w:style>
  <w:style w:type="character" w:customStyle="1" w:styleId="67">
    <w:name w:val="ErrorTok"/>
    <w:basedOn w:val="35"/>
    <w:qFormat/>
    <w:uiPriority w:val="0"/>
    <w:rPr>
      <w:b/>
      <w:color w:val="FF0000"/>
    </w:rPr>
  </w:style>
  <w:style w:type="character" w:customStyle="1" w:styleId="68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886</Words>
  <Characters>1554</Characters>
  <Lines>12</Lines>
  <Paragraphs>8</Paragraphs>
  <TotalTime>0</TotalTime>
  <ScaleCrop>false</ScaleCrop>
  <LinksUpToDate>false</LinksUpToDate>
  <CharactersWithSpaces>1652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2026-06-08T13:38:00Z</dcterms:created>
  <dc:creator>WPS_1729316045</dc:creator>
  <cp:lastModifiedBy>WPS_1729316045</cp:lastModifiedBy>
  <dcterms:modified xsi:type="dcterms:W3CDTF">2026-06-08T14:05:09Z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eyJoZGlkIjoiYjA5MTFhMTgyNGFmNjNjNDk0MTBjM2M2MzM4ZmNjMjAiLCJ1c2VySWQiOiIxNjQ3NDgwNjEyIn0=</vt:lpwstr>
  </property>
  <property fmtid="{D5CDD505-2E9C-101B-9397-08002B2CF9AE}" pid="3" name="KSOProductBuildVer">
    <vt:lpwstr>2052-12.1.0.26895</vt:lpwstr>
  </property>
  <property fmtid="{D5CDD505-2E9C-101B-9397-08002B2CF9AE}" pid="4" name="ICV">
    <vt:lpwstr>5041A4C702A7412CB75989AD505A46C1_13</vt:lpwstr>
  </property>
</Properties>
</file>