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03FB5E12" w:rsidR="004F2A8B" w:rsidRDefault="00AC0F5E" w:rsidP="3D28A338">
            <w:pPr>
              <w:jc w:val="both"/>
              <w:rPr>
                <w:rFonts w:eastAsiaTheme="majorEastAsia"/>
                <w:color w:val="767171" w:themeColor="background2" w:themeShade="80"/>
                <w:sz w:val="24"/>
                <w:szCs w:val="24"/>
              </w:rPr>
            </w:pPr>
            <w:r w:rsidRPr="00AC0F5E">
              <w:rPr>
                <w:rFonts w:eastAsiaTheme="majorEastAsia"/>
                <w:color w:val="767171" w:themeColor="background2" w:themeShade="80"/>
                <w:sz w:val="24"/>
                <w:szCs w:val="24"/>
              </w:rPr>
              <w:t>En términos generales, hemos logrado avanzar conforme a la ruta crítica establecida, logrando concretar el diseño del modelo de persistencia y la arquitectura backend de la Épica 5. Sin embargo, algunas tareas asociadas al refinamiento del versionado y los contratos de API han tomado un poco más del tiempo estimado inicialmente para asegurar la robustez del sistema.</w:t>
            </w:r>
          </w:p>
          <w:p w14:paraId="4D2B878F" w14:textId="77777777" w:rsidR="00AC0F5E" w:rsidRDefault="00AC0F5E" w:rsidP="3D28A338">
            <w:pPr>
              <w:jc w:val="both"/>
              <w:rPr>
                <w:rFonts w:eastAsiaTheme="majorEastAsia"/>
                <w:color w:val="767171" w:themeColor="background2" w:themeShade="80"/>
                <w:sz w:val="24"/>
                <w:szCs w:val="24"/>
              </w:rPr>
            </w:pPr>
          </w:p>
          <w:p w14:paraId="1B0663A3" w14:textId="36FAE1B2" w:rsidR="004F2A8B" w:rsidRDefault="00AC0F5E" w:rsidP="3D28A338">
            <w:pPr>
              <w:pStyle w:val="Prrafodelista"/>
              <w:numPr>
                <w:ilvl w:val="0"/>
                <w:numId w:val="41"/>
              </w:numPr>
              <w:jc w:val="both"/>
              <w:rPr>
                <w:rFonts w:eastAsiaTheme="majorEastAsia"/>
                <w:color w:val="767171" w:themeColor="background2" w:themeShade="80"/>
                <w:sz w:val="24"/>
                <w:szCs w:val="24"/>
              </w:rPr>
            </w:pPr>
            <w:r w:rsidRPr="00AC0F5E">
              <w:rPr>
                <w:rFonts w:eastAsiaTheme="majorEastAsia"/>
                <w:b/>
                <w:bCs/>
                <w:color w:val="767171" w:themeColor="background2" w:themeShade="80"/>
                <w:sz w:val="24"/>
                <w:szCs w:val="24"/>
              </w:rPr>
              <w:t>Factores facilitadores:</w:t>
            </w:r>
            <w:r w:rsidRPr="00AC0F5E">
              <w:rPr>
                <w:rFonts w:eastAsiaTheme="majorEastAsia"/>
                <w:color w:val="767171" w:themeColor="background2" w:themeShade="80"/>
                <w:sz w:val="24"/>
                <w:szCs w:val="24"/>
              </w:rPr>
              <w:t xml:space="preserve"> La excelente coordinación interna del equipo, la claridad en la taxonomía de las dimensiones del diagnóstico y el dominio de las herramientas tecnológicas seleccionadas han facilitado enormemente la ejecución de las tareas técnicas.</w:t>
            </w:r>
          </w:p>
          <w:p w14:paraId="159A7E84" w14:textId="5FF7CB79" w:rsidR="00AC0F5E" w:rsidRPr="00AC0F5E" w:rsidRDefault="00AC0F5E" w:rsidP="3D28A338">
            <w:pPr>
              <w:pStyle w:val="Prrafodelista"/>
              <w:numPr>
                <w:ilvl w:val="0"/>
                <w:numId w:val="41"/>
              </w:numPr>
              <w:jc w:val="both"/>
              <w:rPr>
                <w:rFonts w:eastAsiaTheme="majorEastAsia"/>
                <w:color w:val="767171" w:themeColor="background2" w:themeShade="80"/>
                <w:sz w:val="24"/>
                <w:szCs w:val="24"/>
              </w:rPr>
            </w:pPr>
            <w:r w:rsidRPr="00AC0F5E">
              <w:rPr>
                <w:rFonts w:eastAsiaTheme="majorEastAsia"/>
                <w:b/>
                <w:bCs/>
                <w:color w:val="767171" w:themeColor="background2" w:themeShade="80"/>
                <w:sz w:val="24"/>
                <w:szCs w:val="24"/>
              </w:rPr>
              <w:t>Factores dificultadores:</w:t>
            </w:r>
            <w:r w:rsidRPr="00AC0F5E">
              <w:rPr>
                <w:rFonts w:eastAsiaTheme="majorEastAsia"/>
                <w:color w:val="767171" w:themeColor="background2" w:themeShade="80"/>
                <w:sz w:val="24"/>
                <w:szCs w:val="24"/>
              </w:rPr>
              <w:t xml:space="preserve"> La principal dificultad ha radicado en diseñar una estrategia de versionado y ciclo de vida de las preguntas que garantice que las modificaciones futuras no alteren ni corrompan los diagnósticos históricos que los usuarios ya se encuentran respondiendo.</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7B491035" w14:textId="77777777" w:rsidR="004F2A8B" w:rsidRDefault="00843578" w:rsidP="3D28A338">
            <w:pPr>
              <w:jc w:val="both"/>
              <w:rPr>
                <w:rFonts w:ascii="Calibri" w:hAnsi="Calibri"/>
                <w:color w:val="767171" w:themeColor="background2" w:themeShade="80"/>
              </w:rPr>
            </w:pPr>
            <w:r w:rsidRPr="00843578">
              <w:rPr>
                <w:rFonts w:ascii="Calibri" w:hAnsi="Calibri"/>
                <w:color w:val="767171" w:themeColor="background2" w:themeShade="80"/>
              </w:rPr>
              <w:t>He enfrentado estas situaciones manteniendo un monitoreo más constante del avance mediante reuniones de coordinación breves, asegurando que los cambios técnicos se reflejen de manera oportuna en los registros de la planificación, actas y en el control de riesgos del proyecto.</w:t>
            </w:r>
          </w:p>
          <w:p w14:paraId="7BC4D618" w14:textId="2929D400" w:rsidR="00843578" w:rsidRPr="00874D16" w:rsidRDefault="00843578" w:rsidP="3D28A338">
            <w:pPr>
              <w:jc w:val="both"/>
              <w:rPr>
                <w:rFonts w:ascii="Calibri" w:hAnsi="Calibri"/>
                <w:b/>
                <w:bCs/>
                <w:color w:val="1F4E79" w:themeColor="accent1" w:themeShade="80"/>
              </w:rPr>
            </w:pPr>
          </w:p>
        </w:tc>
      </w:tr>
    </w:tbl>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2D447046" w14:textId="77777777" w:rsidR="00843578" w:rsidRPr="003B466F" w:rsidRDefault="00843578" w:rsidP="3D28A338">
            <w:pPr>
              <w:jc w:val="both"/>
              <w:rPr>
                <w:rFonts w:eastAsiaTheme="majorEastAsia"/>
                <w:color w:val="767171" w:themeColor="background2" w:themeShade="80"/>
                <w:sz w:val="24"/>
                <w:szCs w:val="24"/>
              </w:rPr>
            </w:pPr>
          </w:p>
          <w:p w14:paraId="60BB41B1" w14:textId="43B86061" w:rsidR="004F2A8B" w:rsidRPr="00843578" w:rsidRDefault="00843578" w:rsidP="3D28A338">
            <w:pPr>
              <w:jc w:val="both"/>
              <w:rPr>
                <w:rFonts w:ascii="Calibri" w:hAnsi="Calibri"/>
                <w:color w:val="767171" w:themeColor="background2" w:themeShade="80"/>
              </w:rPr>
            </w:pPr>
            <w:r w:rsidRPr="00843578">
              <w:rPr>
                <w:rFonts w:ascii="Calibri" w:hAnsi="Calibri"/>
                <w:color w:val="767171" w:themeColor="background2" w:themeShade="80"/>
              </w:rPr>
              <w:t>Me gustaría consultar si el nivel de profundidad y detalle que estamos aplicando en los documentos de gestión y en el plan de seguimiento de esta Fase 2 se ajusta por completo a lo esperado por la rúbrica de la asignatura.</w:t>
            </w: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4CFC9745" w:rsidR="004F2A8B" w:rsidRDefault="00843578" w:rsidP="3D28A338">
            <w:pPr>
              <w:jc w:val="both"/>
              <w:rPr>
                <w:rFonts w:eastAsiaTheme="majorEastAsia"/>
                <w:color w:val="767171" w:themeColor="background2" w:themeShade="80"/>
                <w:sz w:val="24"/>
                <w:szCs w:val="24"/>
              </w:rPr>
            </w:pPr>
            <w:r w:rsidRPr="00843578">
              <w:rPr>
                <w:rFonts w:eastAsiaTheme="majorEastAsia"/>
                <w:color w:val="767171" w:themeColor="background2" w:themeShade="80"/>
                <w:sz w:val="24"/>
                <w:szCs w:val="24"/>
              </w:rPr>
              <w:t>Por el momento, la distribución de roles ha funcionado de forma eficiente. No considero necesario una redistribución drástica de tareas, ya que cada integrante mantiene un dominio claro de sus responsabilidades</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6BDE3A0B" w14:textId="122E139A" w:rsidR="00843578" w:rsidRPr="00843578" w:rsidRDefault="00843578" w:rsidP="00843578">
            <w:pPr>
              <w:pStyle w:val="Prrafodelista"/>
              <w:numPr>
                <w:ilvl w:val="0"/>
                <w:numId w:val="42"/>
              </w:numPr>
              <w:jc w:val="both"/>
              <w:rPr>
                <w:rFonts w:eastAsiaTheme="majorEastAsia"/>
                <w:color w:val="767171" w:themeColor="background2" w:themeShade="80"/>
                <w:sz w:val="24"/>
                <w:szCs w:val="24"/>
              </w:rPr>
            </w:pPr>
            <w:r w:rsidRPr="00843578">
              <w:rPr>
                <w:rFonts w:eastAsiaTheme="majorEastAsia"/>
                <w:b/>
                <w:bCs/>
                <w:color w:val="767171" w:themeColor="background2" w:themeShade="80"/>
                <w:sz w:val="24"/>
                <w:szCs w:val="24"/>
              </w:rPr>
              <w:t>Evaluación grupal:</w:t>
            </w:r>
            <w:r w:rsidRPr="00843578">
              <w:rPr>
                <w:rFonts w:eastAsiaTheme="majorEastAsia"/>
                <w:color w:val="767171" w:themeColor="background2" w:themeShade="80"/>
                <w:sz w:val="24"/>
                <w:szCs w:val="24"/>
              </w:rPr>
              <w:t xml:space="preserve"> Evaluamos el trabajo en equipo de manera muy favorable.</w:t>
            </w:r>
          </w:p>
          <w:p w14:paraId="4765A757" w14:textId="19DA367C" w:rsidR="00843578" w:rsidRPr="00843578" w:rsidRDefault="00843578" w:rsidP="00843578">
            <w:pPr>
              <w:pStyle w:val="Prrafodelista"/>
              <w:numPr>
                <w:ilvl w:val="0"/>
                <w:numId w:val="42"/>
              </w:numPr>
              <w:jc w:val="both"/>
              <w:rPr>
                <w:rFonts w:eastAsiaTheme="majorEastAsia"/>
                <w:color w:val="767171" w:themeColor="background2" w:themeShade="80"/>
                <w:sz w:val="24"/>
                <w:szCs w:val="24"/>
              </w:rPr>
            </w:pPr>
            <w:r w:rsidRPr="00843578">
              <w:rPr>
                <w:rFonts w:eastAsiaTheme="majorEastAsia"/>
                <w:b/>
                <w:bCs/>
                <w:color w:val="767171" w:themeColor="background2" w:themeShade="80"/>
                <w:sz w:val="24"/>
                <w:szCs w:val="24"/>
              </w:rPr>
              <w:t>Aspectos positivos:</w:t>
            </w:r>
            <w:r w:rsidRPr="00843578">
              <w:rPr>
                <w:rFonts w:eastAsiaTheme="majorEastAsia"/>
                <w:color w:val="767171" w:themeColor="background2" w:themeShade="80"/>
                <w:sz w:val="24"/>
                <w:szCs w:val="24"/>
              </w:rPr>
              <w:t xml:space="preserve"> Destacamos la disposición constante a colaborar, el apoyo mutuo ante los bloqueos técnicos y la responsabilidad individual.</w:t>
            </w:r>
          </w:p>
          <w:p w14:paraId="7D4356BF" w14:textId="530787BD" w:rsidR="004F2A8B" w:rsidRPr="00843578" w:rsidRDefault="00843578" w:rsidP="00843578">
            <w:pPr>
              <w:pStyle w:val="Prrafodelista"/>
              <w:numPr>
                <w:ilvl w:val="0"/>
                <w:numId w:val="42"/>
              </w:numPr>
              <w:jc w:val="both"/>
              <w:rPr>
                <w:rFonts w:eastAsiaTheme="majorEastAsia"/>
                <w:color w:val="767171" w:themeColor="background2" w:themeShade="80"/>
                <w:sz w:val="24"/>
                <w:szCs w:val="24"/>
              </w:rPr>
            </w:pPr>
            <w:r w:rsidRPr="00843578">
              <w:rPr>
                <w:rFonts w:eastAsiaTheme="majorEastAsia"/>
                <w:b/>
                <w:bCs/>
                <w:color w:val="767171" w:themeColor="background2" w:themeShade="80"/>
                <w:sz w:val="24"/>
                <w:szCs w:val="24"/>
              </w:rPr>
              <w:t>Aspectos a mejorar:</w:t>
            </w:r>
            <w:r w:rsidRPr="00843578">
              <w:rPr>
                <w:rFonts w:eastAsiaTheme="majorEastAsia"/>
                <w:color w:val="767171" w:themeColor="background2" w:themeShade="80"/>
                <w:sz w:val="24"/>
                <w:szCs w:val="24"/>
              </w:rPr>
              <w:t xml:space="preserve"> Podríamos formalizar con mayor rapidez los acuerdos tomados en las coordinaciones informales para que queden documentados de inmediato.</w:t>
            </w: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5BFCE" w14:textId="77777777" w:rsidR="00F50DF7" w:rsidRDefault="00F50DF7" w:rsidP="00DF38AE">
      <w:pPr>
        <w:spacing w:after="0" w:line="240" w:lineRule="auto"/>
      </w:pPr>
      <w:r>
        <w:separator/>
      </w:r>
    </w:p>
  </w:endnote>
  <w:endnote w:type="continuationSeparator" w:id="0">
    <w:p w14:paraId="23E8578D" w14:textId="77777777" w:rsidR="00F50DF7" w:rsidRDefault="00F50DF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A2554" w14:textId="77777777" w:rsidR="00F50DF7" w:rsidRDefault="00F50DF7" w:rsidP="00DF38AE">
      <w:pPr>
        <w:spacing w:after="0" w:line="240" w:lineRule="auto"/>
      </w:pPr>
      <w:r>
        <w:separator/>
      </w:r>
    </w:p>
  </w:footnote>
  <w:footnote w:type="continuationSeparator" w:id="0">
    <w:p w14:paraId="7FA0A81B" w14:textId="77777777" w:rsidR="00F50DF7" w:rsidRDefault="00F50DF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79379F6"/>
    <w:multiLevelType w:val="hybridMultilevel"/>
    <w:tmpl w:val="94C833C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abstractNum w:abstractNumId="41" w15:restartNumberingAfterBreak="0">
    <w:nsid w:val="7F702F8B"/>
    <w:multiLevelType w:val="hybridMultilevel"/>
    <w:tmpl w:val="5AFE532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425420904">
    <w:abstractNumId w:val="3"/>
  </w:num>
  <w:num w:numId="2" w16cid:durableId="89934391">
    <w:abstractNumId w:val="8"/>
  </w:num>
  <w:num w:numId="3" w16cid:durableId="333842096">
    <w:abstractNumId w:val="13"/>
  </w:num>
  <w:num w:numId="4" w16cid:durableId="499319662">
    <w:abstractNumId w:val="29"/>
  </w:num>
  <w:num w:numId="5" w16cid:durableId="1375233629">
    <w:abstractNumId w:val="31"/>
  </w:num>
  <w:num w:numId="6" w16cid:durableId="1331449876">
    <w:abstractNumId w:val="4"/>
  </w:num>
  <w:num w:numId="7" w16cid:durableId="292291998">
    <w:abstractNumId w:val="11"/>
  </w:num>
  <w:num w:numId="8" w16cid:durableId="1822500318">
    <w:abstractNumId w:val="20"/>
  </w:num>
  <w:num w:numId="9" w16cid:durableId="1177111283">
    <w:abstractNumId w:val="16"/>
  </w:num>
  <w:num w:numId="10" w16cid:durableId="1872955826">
    <w:abstractNumId w:val="9"/>
  </w:num>
  <w:num w:numId="11" w16cid:durableId="842203876">
    <w:abstractNumId w:val="25"/>
  </w:num>
  <w:num w:numId="12" w16cid:durableId="561407008">
    <w:abstractNumId w:val="36"/>
  </w:num>
  <w:num w:numId="13" w16cid:durableId="1058749297">
    <w:abstractNumId w:val="30"/>
  </w:num>
  <w:num w:numId="14" w16cid:durableId="1169710104">
    <w:abstractNumId w:val="1"/>
  </w:num>
  <w:num w:numId="15" w16cid:durableId="1434859981">
    <w:abstractNumId w:val="37"/>
  </w:num>
  <w:num w:numId="16" w16cid:durableId="551699165">
    <w:abstractNumId w:val="22"/>
  </w:num>
  <w:num w:numId="17" w16cid:durableId="239870967">
    <w:abstractNumId w:val="18"/>
  </w:num>
  <w:num w:numId="18" w16cid:durableId="1488201523">
    <w:abstractNumId w:val="32"/>
  </w:num>
  <w:num w:numId="19" w16cid:durableId="1066143994">
    <w:abstractNumId w:val="10"/>
  </w:num>
  <w:num w:numId="20" w16cid:durableId="288977190">
    <w:abstractNumId w:val="40"/>
  </w:num>
  <w:num w:numId="21" w16cid:durableId="1655641777">
    <w:abstractNumId w:val="35"/>
  </w:num>
  <w:num w:numId="22" w16cid:durableId="313989467">
    <w:abstractNumId w:val="14"/>
  </w:num>
  <w:num w:numId="23" w16cid:durableId="196548106">
    <w:abstractNumId w:val="15"/>
  </w:num>
  <w:num w:numId="24" w16cid:durableId="981539628">
    <w:abstractNumId w:val="5"/>
  </w:num>
  <w:num w:numId="25" w16cid:durableId="1364162668">
    <w:abstractNumId w:val="17"/>
  </w:num>
  <w:num w:numId="26" w16cid:durableId="803809894">
    <w:abstractNumId w:val="21"/>
  </w:num>
  <w:num w:numId="27" w16cid:durableId="172649862">
    <w:abstractNumId w:val="24"/>
  </w:num>
  <w:num w:numId="28" w16cid:durableId="1364285161">
    <w:abstractNumId w:val="0"/>
  </w:num>
  <w:num w:numId="29" w16cid:durableId="562985542">
    <w:abstractNumId w:val="19"/>
  </w:num>
  <w:num w:numId="30" w16cid:durableId="1695308578">
    <w:abstractNumId w:val="23"/>
  </w:num>
  <w:num w:numId="31" w16cid:durableId="781151273">
    <w:abstractNumId w:val="2"/>
  </w:num>
  <w:num w:numId="32" w16cid:durableId="1585608116">
    <w:abstractNumId w:val="7"/>
  </w:num>
  <w:num w:numId="33" w16cid:durableId="1855533094">
    <w:abstractNumId w:val="33"/>
  </w:num>
  <w:num w:numId="34" w16cid:durableId="1703094395">
    <w:abstractNumId w:val="39"/>
  </w:num>
  <w:num w:numId="35" w16cid:durableId="694891190">
    <w:abstractNumId w:val="6"/>
  </w:num>
  <w:num w:numId="36" w16cid:durableId="2071225691">
    <w:abstractNumId w:val="26"/>
  </w:num>
  <w:num w:numId="37" w16cid:durableId="384721726">
    <w:abstractNumId w:val="38"/>
  </w:num>
  <w:num w:numId="38" w16cid:durableId="546260742">
    <w:abstractNumId w:val="28"/>
  </w:num>
  <w:num w:numId="39" w16cid:durableId="1936353470">
    <w:abstractNumId w:val="27"/>
  </w:num>
  <w:num w:numId="40" w16cid:durableId="1402143361">
    <w:abstractNumId w:val="34"/>
  </w:num>
  <w:num w:numId="41" w16cid:durableId="1597516528">
    <w:abstractNumId w:val="41"/>
  </w:num>
  <w:num w:numId="42" w16cid:durableId="1274941868">
    <w:abstractNumId w:val="1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1635"/>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3578"/>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0F5E"/>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0DF7"/>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540</Words>
  <Characters>2973</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MATIAS . GONZALEZ MARDONES</cp:lastModifiedBy>
  <cp:revision>43</cp:revision>
  <cp:lastPrinted>2019-12-16T20:10:00Z</cp:lastPrinted>
  <dcterms:created xsi:type="dcterms:W3CDTF">2021-12-31T12:50:00Z</dcterms:created>
  <dcterms:modified xsi:type="dcterms:W3CDTF">2026-10-20T21:16:00Z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