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17365D"/>
          <w:sz w:val="58"/>
        </w:rPr>
        <w:t>GS1-Based Offline Packing</w:t>
        <w:br/>
        <w:t>and Parent-Child Aggregation</w:t>
      </w:r>
    </w:p>
    <w:p>
      <w:pPr>
        <w:jc w:val="center"/>
      </w:pPr>
      <w:r>
        <w:rPr>
          <w:color w:val="44546A"/>
          <w:sz w:val="28"/>
        </w:rPr>
        <w:t>Factory implementation guide for SKU-mix prevention, QR scanning and offline mobile validation</w:t>
      </w:r>
    </w:p>
    <w:p>
      <w:pPr>
        <w:spacing w:before="480"/>
        <w:jc w:val="center"/>
      </w:pPr>
      <w:r>
        <w:rPr>
          <w:b/>
          <w:sz w:val="22"/>
        </w:rPr>
        <w:t>Implementation focus</w:t>
      </w:r>
    </w:p>
    <w:p>
      <w:pPr>
        <w:pStyle w:val="ListBullet"/>
        <w:ind w:left="2880" w:right="2304"/>
      </w:pPr>
      <w:r>
        <w:t>GTIN + internal SKU (AI 240)</w:t>
      </w:r>
    </w:p>
    <w:p>
      <w:pPr>
        <w:pStyle w:val="ListBullet"/>
        <w:ind w:left="2880" w:right="2304"/>
      </w:pPr>
      <w:r>
        <w:t>Serialized child identification (AI 01 + AI 21)</w:t>
      </w:r>
    </w:p>
    <w:p>
      <w:pPr>
        <w:pStyle w:val="ListBullet"/>
        <w:ind w:left="2880" w:right="2304"/>
      </w:pPr>
      <w:r>
        <w:t>SSCC master/pallet identification (AI 00)</w:t>
      </w:r>
    </w:p>
    <w:p>
      <w:pPr>
        <w:pStyle w:val="ListBullet"/>
        <w:ind w:left="2880" w:right="2304"/>
      </w:pPr>
      <w:r>
        <w:t>Contained item + count (AI 02 + AI 37)</w:t>
      </w:r>
    </w:p>
    <w:p>
      <w:pPr>
        <w:pStyle w:val="ListBullet"/>
        <w:ind w:left="2880" w:right="2304"/>
      </w:pPr>
      <w:r>
        <w:t>Offline parent-child validation without backend dependency</w:t>
      </w:r>
    </w:p>
    <w:tbl>
      <w:tblPr>
        <w:tblW w:type="auto" w:w="0"/>
        <w:jc w:val="center"/>
        <w:tblLook w:firstColumn="1" w:firstRow="1" w:lastColumn="0" w:lastRow="0" w:noHBand="0" w:noVBand="1" w:val="04A0"/>
      </w:tblPr>
      <w:tblGrid>
        <w:gridCol w:w="9936"/>
      </w:tblGrid>
      <w:tr>
        <w:tc>
          <w:tcPr>
            <w:tcW w:type="dxa" w:w="9936"/>
            <w:shd w:fill="FFF4CE"/>
            <w:tcMar>
              <w:top w:w="160" w:type="dxa"/>
              <w:start w:w="190" w:type="dxa"/>
              <w:bottom w:w="160" w:type="dxa"/>
              <w:end w:w="190" w:type="dxa"/>
            </w:tcMar>
          </w:tcPr>
          <w:p>
            <w:pPr>
              <w:spacing w:after="0"/>
            </w:pPr>
            <w:r>
              <w:rPr>
                <w:b/>
                <w:sz w:val="22"/>
              </w:rPr>
              <w:t>Important</w:t>
              <w:br/>
            </w:r>
            <w:r>
              <w:rPr>
                <w:sz w:val="21"/>
              </w:rPr>
              <w:t>All identifiers and URLs in this guide are fictitious examples. Replace them with identifiers allocated under your GS1 Company Prefix and a domain you control. Validate final production labels against the current GS1 General Specifications and your trading-partner requirements.</w:t>
            </w:r>
          </w:p>
        </w:tc>
      </w:tr>
    </w:tbl>
    <w:p>
      <w:pPr>
        <w:spacing w:before="400"/>
        <w:jc w:val="center"/>
      </w:pPr>
      <w:r>
        <w:rPr>
          <w:i/>
          <w:color w:val="646464"/>
          <w:sz w:val="19"/>
        </w:rPr>
        <w:t>Prepared as a technical design / SOP reference</w:t>
      </w:r>
    </w:p>
    <w:p>
      <w:r>
        <w:br w:type="page"/>
      </w:r>
    </w:p>
    <w:p>
      <w:pPr>
        <w:pStyle w:val="Heading1"/>
      </w:pPr>
      <w:r>
        <w:t>1. Executive summary</w:t>
      </w:r>
    </w:p>
    <w:p>
      <w:r>
        <w:t>The recommended design is to keep the packing decision local to the mobile application. Each scanned code contains enough standardized identity information for the app to determine what is being packed. The backend remains useful for master data, audit history and enterprise traceability, but it is not required for every scan in the critical packing loop.</w:t>
      </w:r>
    </w:p>
    <w:tbl>
      <w:tblPr>
        <w:tblW w:type="auto" w:w="0"/>
        <w:jc w:val="center"/>
        <w:tblLook w:firstColumn="1" w:firstRow="1" w:lastColumn="0" w:lastRow="0" w:noHBand="0" w:noVBand="1" w:val="04A0"/>
      </w:tblPr>
      <w:tblGrid>
        <w:gridCol w:w="9936"/>
      </w:tblGrid>
      <w:tr>
        <w:tc>
          <w:tcPr>
            <w:tcW w:type="dxa" w:w="9936"/>
            <w:shd w:fill="E2F0D9"/>
            <w:tcMar>
              <w:top w:w="160" w:type="dxa"/>
              <w:start w:w="190" w:type="dxa"/>
              <w:bottom w:w="160" w:type="dxa"/>
              <w:end w:w="190" w:type="dxa"/>
            </w:tcMar>
          </w:tcPr>
          <w:p>
            <w:pPr>
              <w:spacing w:after="0"/>
            </w:pPr>
            <w:r>
              <w:rPr>
                <w:b/>
                <w:sz w:val="22"/>
              </w:rPr>
              <w:t>Core rule</w:t>
              <w:br/>
            </w:r>
            <w:r>
              <w:rPr>
                <w:sz w:val="21"/>
              </w:rPr>
              <w:t>The master or packing session defines the expected child GTIN (and optionally lot). Every child scan is accepted only when its locally decoded GTIN/lot matches the master. A wrong SKU is rejected immediately with a red screen, vibration and/or buzzer.</w:t>
            </w:r>
          </w:p>
        </w:tc>
      </w:tr>
    </w:tbl>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968"/>
        <w:gridCol w:w="4968"/>
      </w:tblGrid>
      <w:tr>
        <w:trPr>
          <w:tblHeader w:val="true"/>
        </w:trPr>
        <w:tc>
          <w:tcPr>
            <w:tcW w:type="dxa" w:w="2880"/>
            <w:shd w:fill="1F4E78"/>
            <w:tcMar>
              <w:top w:w="120" w:type="dxa"/>
              <w:start w:w="140" w:type="dxa"/>
              <w:bottom w:w="120" w:type="dxa"/>
              <w:end w:w="140" w:type="dxa"/>
            </w:tcMar>
            <w:vAlign w:val="center"/>
          </w:tcPr>
          <w:p>
            <w:pPr>
              <w:jc w:val="center"/>
            </w:pPr>
            <w:r>
              <w:rPr>
                <w:b/>
                <w:color w:val="FFFFFF"/>
                <w:sz w:val="19"/>
              </w:rPr>
              <w:t>Question</w:t>
            </w:r>
          </w:p>
        </w:tc>
        <w:tc>
          <w:tcPr>
            <w:tcW w:type="dxa" w:w="6480"/>
            <w:shd w:fill="1F4E78"/>
            <w:tcMar>
              <w:top w:w="120" w:type="dxa"/>
              <w:start w:w="140" w:type="dxa"/>
              <w:bottom w:w="120" w:type="dxa"/>
              <w:end w:w="140" w:type="dxa"/>
            </w:tcMar>
            <w:vAlign w:val="center"/>
          </w:tcPr>
          <w:p>
            <w:pPr>
              <w:jc w:val="center"/>
            </w:pPr>
            <w:r>
              <w:rPr>
                <w:b/>
                <w:color w:val="FFFFFF"/>
                <w:sz w:val="19"/>
              </w:rPr>
              <w:t>Recommended answer</w:t>
            </w:r>
          </w:p>
        </w:tc>
      </w:tr>
      <w:tr>
        <w:tc>
          <w:tcPr>
            <w:tcW w:type="dxa" w:w="4968"/>
            <w:tcMar>
              <w:top w:w="120" w:type="dxa"/>
              <w:start w:w="140" w:type="dxa"/>
              <w:bottom w:w="120" w:type="dxa"/>
              <w:end w:w="140" w:type="dxa"/>
            </w:tcMar>
            <w:vAlign w:val="center"/>
          </w:tcPr>
          <w:p>
            <w:r>
              <w:rPr>
                <w:sz w:val="18"/>
              </w:rPr>
              <w:t>Can SKU be put in a GS1 barcode?</w:t>
            </w:r>
          </w:p>
        </w:tc>
        <w:tc>
          <w:tcPr>
            <w:tcW w:type="dxa" w:w="4968"/>
            <w:tcMar>
              <w:top w:w="120" w:type="dxa"/>
              <w:start w:w="140" w:type="dxa"/>
              <w:bottom w:w="120" w:type="dxa"/>
              <w:end w:w="140" w:type="dxa"/>
            </w:tcMar>
            <w:vAlign w:val="center"/>
          </w:tcPr>
          <w:p>
            <w:r>
              <w:rPr>
                <w:sz w:val="18"/>
              </w:rPr>
              <w:t>Yes. Use GTIN as the primary product identity; AI (240) may carry an additional manufacturer-assigned product identifier such as an internal SKU. It must not replace GTIN.</w:t>
            </w:r>
          </w:p>
        </w:tc>
      </w:tr>
      <w:tr>
        <w:tc>
          <w:tcPr>
            <w:tcW w:type="dxa" w:w="4968"/>
            <w:tcMar>
              <w:top w:w="120" w:type="dxa"/>
              <w:start w:w="140" w:type="dxa"/>
              <w:bottom w:w="120" w:type="dxa"/>
              <w:end w:w="140" w:type="dxa"/>
            </w:tcMar>
            <w:vAlign w:val="center"/>
          </w:tcPr>
          <w:p>
            <w:r>
              <w:rPr>
                <w:sz w:val="18"/>
              </w:rPr>
              <w:t>Can a master identify what child product belongs inside?</w:t>
            </w:r>
          </w:p>
        </w:tc>
        <w:tc>
          <w:tcPr>
            <w:tcW w:type="dxa" w:w="4968"/>
            <w:tcMar>
              <w:top w:w="120" w:type="dxa"/>
              <w:start w:w="140" w:type="dxa"/>
              <w:bottom w:w="120" w:type="dxa"/>
              <w:end w:w="140" w:type="dxa"/>
            </w:tcMar>
            <w:vAlign w:val="center"/>
          </w:tcPr>
          <w:p>
            <w:r>
              <w:rPr>
                <w:sz w:val="18"/>
              </w:rPr>
              <w:t>Yes for homogeneous contents: use SSCC (00) for the logistic unit, plus contained GTIN (02) and count (37); lot (10) may also be carried when applicable.</w:t>
            </w:r>
          </w:p>
        </w:tc>
      </w:tr>
      <w:tr>
        <w:tc>
          <w:tcPr>
            <w:tcW w:type="dxa" w:w="4968"/>
            <w:tcMar>
              <w:top w:w="120" w:type="dxa"/>
              <w:start w:w="140" w:type="dxa"/>
              <w:bottom w:w="120" w:type="dxa"/>
              <w:end w:w="140" w:type="dxa"/>
            </w:tcMar>
            <w:vAlign w:val="center"/>
          </w:tcPr>
          <w:p>
            <w:r>
              <w:rPr>
                <w:sz w:val="18"/>
              </w:rPr>
              <w:t>Can the app validate without backend access?</w:t>
            </w:r>
          </w:p>
        </w:tc>
        <w:tc>
          <w:tcPr>
            <w:tcW w:type="dxa" w:w="4968"/>
            <w:tcMar>
              <w:top w:w="120" w:type="dxa"/>
              <w:start w:w="140" w:type="dxa"/>
              <w:bottom w:w="120" w:type="dxa"/>
              <w:end w:w="140" w:type="dxa"/>
            </w:tcMar>
            <w:vAlign w:val="center"/>
          </w:tcPr>
          <w:p>
            <w:r>
              <w:rPr>
                <w:sz w:val="18"/>
              </w:rPr>
              <w:t>Yes. Decode the QR/GS1 data locally and compare child GTIN/lot/serial against the locally active master/packing session.</w:t>
            </w:r>
          </w:p>
        </w:tc>
      </w:tr>
      <w:tr>
        <w:tc>
          <w:tcPr>
            <w:tcW w:type="dxa" w:w="4968"/>
            <w:tcMar>
              <w:top w:w="120" w:type="dxa"/>
              <w:start w:w="140" w:type="dxa"/>
              <w:bottom w:w="120" w:type="dxa"/>
              <w:end w:w="140" w:type="dxa"/>
            </w:tcMar>
            <w:vAlign w:val="center"/>
          </w:tcPr>
          <w:p>
            <w:r>
              <w:rPr>
                <w:sz w:val="18"/>
              </w:rPr>
              <w:t>How do I know the exact children in a master?</w:t>
            </w:r>
          </w:p>
        </w:tc>
        <w:tc>
          <w:tcPr>
            <w:tcW w:type="dxa" w:w="4968"/>
            <w:tcMar>
              <w:top w:w="120" w:type="dxa"/>
              <w:start w:w="140" w:type="dxa"/>
              <w:bottom w:w="120" w:type="dxa"/>
              <w:end w:w="140" w:type="dxa"/>
            </w:tcMar>
            <w:vAlign w:val="center"/>
          </w:tcPr>
          <w:p>
            <w:r>
              <w:rPr>
                <w:sz w:val="18"/>
              </w:rPr>
              <w:t>Serialize children with GTIN + serial (01 + 21), and create an aggregation record locally: parent SSCC -&gt; child serialized identities. Sync it to the backend later.</w:t>
            </w:r>
          </w:p>
        </w:tc>
      </w:tr>
    </w:tbl>
    <w:p>
      <w:pPr>
        <w:pStyle w:val="Heading1"/>
      </w:pPr>
      <w:r>
        <w:t>2. GS1 identifiers used in the design</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84"/>
        <w:gridCol w:w="2484"/>
        <w:gridCol w:w="2484"/>
        <w:gridCol w:w="2484"/>
      </w:tblGrid>
      <w:tr>
        <w:trPr>
          <w:tblHeader w:val="true"/>
        </w:trPr>
        <w:tc>
          <w:tcPr>
            <w:tcW w:type="dxa" w:w="936"/>
            <w:shd w:fill="1F4E78"/>
            <w:tcMar>
              <w:top w:w="120" w:type="dxa"/>
              <w:start w:w="140" w:type="dxa"/>
              <w:bottom w:w="120" w:type="dxa"/>
              <w:end w:w="140" w:type="dxa"/>
            </w:tcMar>
            <w:vAlign w:val="center"/>
          </w:tcPr>
          <w:p>
            <w:pPr>
              <w:jc w:val="center"/>
            </w:pPr>
            <w:r>
              <w:rPr>
                <w:b/>
                <w:color w:val="FFFFFF"/>
                <w:sz w:val="19"/>
              </w:rPr>
              <w:t>AI</w:t>
            </w:r>
          </w:p>
        </w:tc>
        <w:tc>
          <w:tcPr>
            <w:tcW w:type="dxa" w:w="2016"/>
            <w:shd w:fill="1F4E78"/>
            <w:tcMar>
              <w:top w:w="120" w:type="dxa"/>
              <w:start w:w="140" w:type="dxa"/>
              <w:bottom w:w="120" w:type="dxa"/>
              <w:end w:w="140" w:type="dxa"/>
            </w:tcMar>
            <w:vAlign w:val="center"/>
          </w:tcPr>
          <w:p>
            <w:pPr>
              <w:jc w:val="center"/>
            </w:pPr>
            <w:r>
              <w:rPr>
                <w:b/>
                <w:color w:val="FFFFFF"/>
                <w:sz w:val="19"/>
              </w:rPr>
              <w:t>Meaning</w:t>
            </w:r>
          </w:p>
        </w:tc>
        <w:tc>
          <w:tcPr>
            <w:tcW w:type="dxa" w:w="4464"/>
            <w:shd w:fill="1F4E78"/>
            <w:tcMar>
              <w:top w:w="120" w:type="dxa"/>
              <w:start w:w="140" w:type="dxa"/>
              <w:bottom w:w="120" w:type="dxa"/>
              <w:end w:w="140" w:type="dxa"/>
            </w:tcMar>
            <w:vAlign w:val="center"/>
          </w:tcPr>
          <w:p>
            <w:pPr>
              <w:jc w:val="center"/>
            </w:pPr>
            <w:r>
              <w:rPr>
                <w:b/>
                <w:color w:val="FFFFFF"/>
                <w:sz w:val="19"/>
              </w:rPr>
              <w:t>Use in this solution</w:t>
            </w:r>
          </w:p>
        </w:tc>
        <w:tc>
          <w:tcPr>
            <w:tcW w:type="dxa" w:w="1944"/>
            <w:shd w:fill="1F4E78"/>
            <w:tcMar>
              <w:top w:w="120" w:type="dxa"/>
              <w:start w:w="140" w:type="dxa"/>
              <w:bottom w:w="120" w:type="dxa"/>
              <w:end w:w="140" w:type="dxa"/>
            </w:tcMar>
            <w:vAlign w:val="center"/>
          </w:tcPr>
          <w:p>
            <w:pPr>
              <w:jc w:val="center"/>
            </w:pPr>
            <w:r>
              <w:rPr>
                <w:b/>
                <w:color w:val="FFFFFF"/>
                <w:sz w:val="19"/>
              </w:rPr>
              <w:t>Example</w:t>
            </w:r>
          </w:p>
        </w:tc>
      </w:tr>
      <w:tr>
        <w:tc>
          <w:tcPr>
            <w:tcW w:type="dxa" w:w="2484"/>
            <w:tcMar>
              <w:top w:w="120" w:type="dxa"/>
              <w:start w:w="140" w:type="dxa"/>
              <w:bottom w:w="120" w:type="dxa"/>
              <w:end w:w="140" w:type="dxa"/>
            </w:tcMar>
            <w:vAlign w:val="center"/>
          </w:tcPr>
          <w:p>
            <w:r>
              <w:rPr>
                <w:sz w:val="18"/>
              </w:rPr>
              <w:t>(00)</w:t>
            </w:r>
          </w:p>
        </w:tc>
        <w:tc>
          <w:tcPr>
            <w:tcW w:type="dxa" w:w="2484"/>
            <w:tcMar>
              <w:top w:w="120" w:type="dxa"/>
              <w:start w:w="140" w:type="dxa"/>
              <w:bottom w:w="120" w:type="dxa"/>
              <w:end w:w="140" w:type="dxa"/>
            </w:tcMar>
            <w:vAlign w:val="center"/>
          </w:tcPr>
          <w:p>
            <w:pPr>
              <w:jc w:val="center"/>
            </w:pPr>
            <w:r>
              <w:rPr>
                <w:sz w:val="18"/>
              </w:rPr>
              <w:t>SSCC</w:t>
            </w:r>
          </w:p>
        </w:tc>
        <w:tc>
          <w:tcPr>
            <w:tcW w:type="dxa" w:w="2484"/>
            <w:tcMar>
              <w:top w:w="120" w:type="dxa"/>
              <w:start w:w="140" w:type="dxa"/>
              <w:bottom w:w="120" w:type="dxa"/>
              <w:end w:w="140" w:type="dxa"/>
            </w:tcMar>
            <w:vAlign w:val="center"/>
          </w:tcPr>
          <w:p>
            <w:r>
              <w:rPr>
                <w:sz w:val="18"/>
              </w:rPr>
              <w:t>Unique identity of a logistic unit such as a master carton or pallet</w:t>
            </w:r>
          </w:p>
        </w:tc>
        <w:tc>
          <w:tcPr>
            <w:tcW w:type="dxa" w:w="2484"/>
            <w:tcMar>
              <w:top w:w="120" w:type="dxa"/>
              <w:start w:w="140" w:type="dxa"/>
              <w:bottom w:w="120" w:type="dxa"/>
              <w:end w:w="140" w:type="dxa"/>
            </w:tcMar>
            <w:vAlign w:val="center"/>
          </w:tcPr>
          <w:p>
            <w:r>
              <w:rPr>
                <w:sz w:val="18"/>
              </w:rPr>
              <w:t>952012345678912345</w:t>
            </w:r>
          </w:p>
        </w:tc>
      </w:tr>
      <w:tr>
        <w:tc>
          <w:tcPr>
            <w:tcW w:type="dxa" w:w="2484"/>
            <w:tcMar>
              <w:top w:w="120" w:type="dxa"/>
              <w:start w:w="140" w:type="dxa"/>
              <w:bottom w:w="120" w:type="dxa"/>
              <w:end w:w="140" w:type="dxa"/>
            </w:tcMar>
            <w:vAlign w:val="center"/>
          </w:tcPr>
          <w:p>
            <w:r>
              <w:rPr>
                <w:sz w:val="18"/>
              </w:rPr>
              <w:t>(01)</w:t>
            </w:r>
          </w:p>
        </w:tc>
        <w:tc>
          <w:tcPr>
            <w:tcW w:type="dxa" w:w="2484"/>
            <w:tcMar>
              <w:top w:w="120" w:type="dxa"/>
              <w:start w:w="140" w:type="dxa"/>
              <w:bottom w:w="120" w:type="dxa"/>
              <w:end w:w="140" w:type="dxa"/>
            </w:tcMar>
            <w:vAlign w:val="center"/>
          </w:tcPr>
          <w:p>
            <w:pPr>
              <w:jc w:val="center"/>
            </w:pPr>
            <w:r>
              <w:rPr>
                <w:sz w:val="18"/>
              </w:rPr>
              <w:t>GTIN</w:t>
            </w:r>
          </w:p>
        </w:tc>
        <w:tc>
          <w:tcPr>
            <w:tcW w:type="dxa" w:w="2484"/>
            <w:tcMar>
              <w:top w:w="120" w:type="dxa"/>
              <w:start w:w="140" w:type="dxa"/>
              <w:bottom w:w="120" w:type="dxa"/>
              <w:end w:w="140" w:type="dxa"/>
            </w:tcMar>
            <w:vAlign w:val="center"/>
          </w:tcPr>
          <w:p>
            <w:r>
              <w:rPr>
                <w:sz w:val="18"/>
              </w:rPr>
              <w:t>Primary identity of a trade item / product packaging level</w:t>
            </w:r>
          </w:p>
        </w:tc>
        <w:tc>
          <w:tcPr>
            <w:tcW w:type="dxa" w:w="2484"/>
            <w:tcMar>
              <w:top w:w="120" w:type="dxa"/>
              <w:start w:w="140" w:type="dxa"/>
              <w:bottom w:w="120" w:type="dxa"/>
              <w:end w:w="140" w:type="dxa"/>
            </w:tcMar>
            <w:vAlign w:val="center"/>
          </w:tcPr>
          <w:p>
            <w:pPr>
              <w:jc w:val="center"/>
            </w:pPr>
            <w:r>
              <w:rPr>
                <w:sz w:val="18"/>
              </w:rPr>
              <w:t>09520123456788</w:t>
            </w:r>
          </w:p>
        </w:tc>
      </w:tr>
      <w:tr>
        <w:tc>
          <w:tcPr>
            <w:tcW w:type="dxa" w:w="2484"/>
            <w:tcMar>
              <w:top w:w="120" w:type="dxa"/>
              <w:start w:w="140" w:type="dxa"/>
              <w:bottom w:w="120" w:type="dxa"/>
              <w:end w:w="140" w:type="dxa"/>
            </w:tcMar>
            <w:vAlign w:val="center"/>
          </w:tcPr>
          <w:p>
            <w:r>
              <w:rPr>
                <w:sz w:val="18"/>
              </w:rPr>
              <w:t>(02)</w:t>
            </w:r>
          </w:p>
        </w:tc>
        <w:tc>
          <w:tcPr>
            <w:tcW w:type="dxa" w:w="2484"/>
            <w:tcMar>
              <w:top w:w="120" w:type="dxa"/>
              <w:start w:w="140" w:type="dxa"/>
              <w:bottom w:w="120" w:type="dxa"/>
              <w:end w:w="140" w:type="dxa"/>
            </w:tcMar>
            <w:vAlign w:val="center"/>
          </w:tcPr>
          <w:p>
            <w:pPr>
              <w:jc w:val="center"/>
            </w:pPr>
            <w:r>
              <w:rPr>
                <w:sz w:val="18"/>
              </w:rPr>
              <w:t>Contained GTIN</w:t>
            </w:r>
          </w:p>
        </w:tc>
        <w:tc>
          <w:tcPr>
            <w:tcW w:type="dxa" w:w="2484"/>
            <w:tcMar>
              <w:top w:w="120" w:type="dxa"/>
              <w:start w:w="140" w:type="dxa"/>
              <w:bottom w:w="120" w:type="dxa"/>
              <w:end w:w="140" w:type="dxa"/>
            </w:tcMar>
            <w:vAlign w:val="center"/>
          </w:tcPr>
          <w:p>
            <w:r>
              <w:rPr>
                <w:sz w:val="18"/>
              </w:rPr>
              <w:t>Identifies trade items contained in a logistic unit</w:t>
            </w:r>
          </w:p>
        </w:tc>
        <w:tc>
          <w:tcPr>
            <w:tcW w:type="dxa" w:w="2484"/>
            <w:tcMar>
              <w:top w:w="120" w:type="dxa"/>
              <w:start w:w="140" w:type="dxa"/>
              <w:bottom w:w="120" w:type="dxa"/>
              <w:end w:w="140" w:type="dxa"/>
            </w:tcMar>
            <w:vAlign w:val="center"/>
          </w:tcPr>
          <w:p>
            <w:pPr>
              <w:jc w:val="center"/>
            </w:pPr>
            <w:r>
              <w:rPr>
                <w:sz w:val="18"/>
              </w:rPr>
              <w:t>09520123456856</w:t>
            </w:r>
          </w:p>
        </w:tc>
      </w:tr>
      <w:tr>
        <w:tc>
          <w:tcPr>
            <w:tcW w:type="dxa" w:w="2484"/>
            <w:tcMar>
              <w:top w:w="120" w:type="dxa"/>
              <w:start w:w="140" w:type="dxa"/>
              <w:bottom w:w="120" w:type="dxa"/>
              <w:end w:w="140" w:type="dxa"/>
            </w:tcMar>
            <w:vAlign w:val="center"/>
          </w:tcPr>
          <w:p>
            <w:r>
              <w:rPr>
                <w:sz w:val="18"/>
              </w:rPr>
              <w:t>(10)</w:t>
            </w:r>
          </w:p>
        </w:tc>
        <w:tc>
          <w:tcPr>
            <w:tcW w:type="dxa" w:w="2484"/>
            <w:tcMar>
              <w:top w:w="120" w:type="dxa"/>
              <w:start w:w="140" w:type="dxa"/>
              <w:bottom w:w="120" w:type="dxa"/>
              <w:end w:w="140" w:type="dxa"/>
            </w:tcMar>
            <w:vAlign w:val="center"/>
          </w:tcPr>
          <w:p>
            <w:pPr>
              <w:jc w:val="center"/>
            </w:pPr>
            <w:r>
              <w:rPr>
                <w:sz w:val="18"/>
              </w:rPr>
              <w:t>Batch / lot</w:t>
            </w:r>
          </w:p>
        </w:tc>
        <w:tc>
          <w:tcPr>
            <w:tcW w:type="dxa" w:w="2484"/>
            <w:tcMar>
              <w:top w:w="120" w:type="dxa"/>
              <w:start w:w="140" w:type="dxa"/>
              <w:bottom w:w="120" w:type="dxa"/>
              <w:end w:w="140" w:type="dxa"/>
            </w:tcMar>
            <w:vAlign w:val="center"/>
          </w:tcPr>
          <w:p>
            <w:r>
              <w:rPr>
                <w:sz w:val="18"/>
              </w:rPr>
              <w:t>Optional lot-level traceability</w:t>
            </w:r>
          </w:p>
        </w:tc>
        <w:tc>
          <w:tcPr>
            <w:tcW w:type="dxa" w:w="2484"/>
            <w:tcMar>
              <w:top w:w="120" w:type="dxa"/>
              <w:start w:w="140" w:type="dxa"/>
              <w:bottom w:w="120" w:type="dxa"/>
              <w:end w:w="140" w:type="dxa"/>
            </w:tcMar>
            <w:vAlign w:val="center"/>
          </w:tcPr>
          <w:p>
            <w:pPr>
              <w:jc w:val="center"/>
            </w:pPr>
            <w:r>
              <w:rPr>
                <w:sz w:val="18"/>
              </w:rPr>
              <w:t>B260813</w:t>
            </w:r>
          </w:p>
        </w:tc>
      </w:tr>
      <w:tr>
        <w:tc>
          <w:tcPr>
            <w:tcW w:type="dxa" w:w="2484"/>
            <w:tcMar>
              <w:top w:w="120" w:type="dxa"/>
              <w:start w:w="140" w:type="dxa"/>
              <w:bottom w:w="120" w:type="dxa"/>
              <w:end w:w="140" w:type="dxa"/>
            </w:tcMar>
            <w:vAlign w:val="center"/>
          </w:tcPr>
          <w:p>
            <w:r>
              <w:rPr>
                <w:sz w:val="18"/>
              </w:rPr>
              <w:t>(21)</w:t>
            </w:r>
          </w:p>
        </w:tc>
        <w:tc>
          <w:tcPr>
            <w:tcW w:type="dxa" w:w="2484"/>
            <w:tcMar>
              <w:top w:w="120" w:type="dxa"/>
              <w:start w:w="140" w:type="dxa"/>
              <w:bottom w:w="120" w:type="dxa"/>
              <w:end w:w="140" w:type="dxa"/>
            </w:tcMar>
            <w:vAlign w:val="center"/>
          </w:tcPr>
          <w:p>
            <w:pPr>
              <w:jc w:val="center"/>
            </w:pPr>
            <w:r>
              <w:rPr>
                <w:sz w:val="18"/>
              </w:rPr>
              <w:t>Serial number</w:t>
            </w:r>
          </w:p>
        </w:tc>
        <w:tc>
          <w:tcPr>
            <w:tcW w:type="dxa" w:w="2484"/>
            <w:tcMar>
              <w:top w:w="120" w:type="dxa"/>
              <w:start w:w="140" w:type="dxa"/>
              <w:bottom w:w="120" w:type="dxa"/>
              <w:end w:w="140" w:type="dxa"/>
            </w:tcMar>
            <w:vAlign w:val="center"/>
          </w:tcPr>
          <w:p>
            <w:r>
              <w:rPr>
                <w:sz w:val="18"/>
              </w:rPr>
              <w:t>Creates an instance-level identity when combined with GTIN</w:t>
            </w:r>
          </w:p>
        </w:tc>
        <w:tc>
          <w:tcPr>
            <w:tcW w:type="dxa" w:w="2484"/>
            <w:tcMar>
              <w:top w:w="120" w:type="dxa"/>
              <w:start w:w="140" w:type="dxa"/>
              <w:bottom w:w="120" w:type="dxa"/>
              <w:end w:w="140" w:type="dxa"/>
            </w:tcMar>
            <w:vAlign w:val="center"/>
          </w:tcPr>
          <w:p>
            <w:pPr>
              <w:jc w:val="center"/>
            </w:pPr>
            <w:r>
              <w:rPr>
                <w:sz w:val="18"/>
              </w:rPr>
              <w:t>C00001234</w:t>
            </w:r>
          </w:p>
        </w:tc>
      </w:tr>
      <w:tr>
        <w:tc>
          <w:tcPr>
            <w:tcW w:type="dxa" w:w="2484"/>
            <w:tcMar>
              <w:top w:w="120" w:type="dxa"/>
              <w:start w:w="140" w:type="dxa"/>
              <w:bottom w:w="120" w:type="dxa"/>
              <w:end w:w="140" w:type="dxa"/>
            </w:tcMar>
            <w:vAlign w:val="center"/>
          </w:tcPr>
          <w:p>
            <w:r>
              <w:rPr>
                <w:sz w:val="18"/>
              </w:rPr>
              <w:t>(37)</w:t>
            </w:r>
          </w:p>
        </w:tc>
        <w:tc>
          <w:tcPr>
            <w:tcW w:type="dxa" w:w="2484"/>
            <w:tcMar>
              <w:top w:w="120" w:type="dxa"/>
              <w:start w:w="140" w:type="dxa"/>
              <w:bottom w:w="120" w:type="dxa"/>
              <w:end w:w="140" w:type="dxa"/>
            </w:tcMar>
            <w:vAlign w:val="center"/>
          </w:tcPr>
          <w:p>
            <w:pPr>
              <w:jc w:val="center"/>
            </w:pPr>
            <w:r>
              <w:rPr>
                <w:sz w:val="18"/>
              </w:rPr>
              <w:t>Count</w:t>
            </w:r>
          </w:p>
        </w:tc>
        <w:tc>
          <w:tcPr>
            <w:tcW w:type="dxa" w:w="2484"/>
            <w:tcMar>
              <w:top w:w="120" w:type="dxa"/>
              <w:start w:w="140" w:type="dxa"/>
              <w:bottom w:w="120" w:type="dxa"/>
              <w:end w:w="140" w:type="dxa"/>
            </w:tcMar>
            <w:vAlign w:val="center"/>
          </w:tcPr>
          <w:p>
            <w:r>
              <w:rPr>
                <w:sz w:val="18"/>
              </w:rPr>
              <w:t>Count of trade items identified by AI (02)</w:t>
            </w:r>
          </w:p>
        </w:tc>
        <w:tc>
          <w:tcPr>
            <w:tcW w:type="dxa" w:w="2484"/>
            <w:tcMar>
              <w:top w:w="120" w:type="dxa"/>
              <w:start w:w="140" w:type="dxa"/>
              <w:bottom w:w="120" w:type="dxa"/>
              <w:end w:w="140" w:type="dxa"/>
            </w:tcMar>
            <w:vAlign w:val="center"/>
          </w:tcPr>
          <w:p>
            <w:pPr>
              <w:jc w:val="center"/>
            </w:pPr>
            <w:r>
              <w:rPr>
                <w:sz w:val="18"/>
              </w:rPr>
              <w:t>10</w:t>
            </w:r>
          </w:p>
        </w:tc>
      </w:tr>
      <w:tr>
        <w:tc>
          <w:tcPr>
            <w:tcW w:type="dxa" w:w="2484"/>
            <w:tcMar>
              <w:top w:w="120" w:type="dxa"/>
              <w:start w:w="140" w:type="dxa"/>
              <w:bottom w:w="120" w:type="dxa"/>
              <w:end w:w="140" w:type="dxa"/>
            </w:tcMar>
            <w:vAlign w:val="center"/>
          </w:tcPr>
          <w:p>
            <w:r>
              <w:rPr>
                <w:sz w:val="18"/>
              </w:rPr>
              <w:t>(240)</w:t>
            </w:r>
          </w:p>
        </w:tc>
        <w:tc>
          <w:tcPr>
            <w:tcW w:type="dxa" w:w="2484"/>
            <w:tcMar>
              <w:top w:w="120" w:type="dxa"/>
              <w:start w:w="140" w:type="dxa"/>
              <w:bottom w:w="120" w:type="dxa"/>
              <w:end w:w="140" w:type="dxa"/>
            </w:tcMar>
            <w:vAlign w:val="center"/>
          </w:tcPr>
          <w:p>
            <w:r>
              <w:rPr>
                <w:sz w:val="18"/>
              </w:rPr>
              <w:t>Additional product identification</w:t>
            </w:r>
          </w:p>
        </w:tc>
        <w:tc>
          <w:tcPr>
            <w:tcW w:type="dxa" w:w="2484"/>
            <w:tcMar>
              <w:top w:w="120" w:type="dxa"/>
              <w:start w:w="140" w:type="dxa"/>
              <w:bottom w:w="120" w:type="dxa"/>
              <w:end w:w="140" w:type="dxa"/>
            </w:tcMar>
            <w:vAlign w:val="center"/>
          </w:tcPr>
          <w:p>
            <w:r>
              <w:rPr>
                <w:sz w:val="18"/>
              </w:rPr>
              <w:t>Optional internal SKU/catalogue cross-reference</w:t>
            </w:r>
          </w:p>
        </w:tc>
        <w:tc>
          <w:tcPr>
            <w:tcW w:type="dxa" w:w="2484"/>
            <w:tcMar>
              <w:top w:w="120" w:type="dxa"/>
              <w:start w:w="140" w:type="dxa"/>
              <w:bottom w:w="120" w:type="dxa"/>
              <w:end w:w="140" w:type="dxa"/>
            </w:tcMar>
            <w:vAlign w:val="center"/>
          </w:tcPr>
          <w:p>
            <w:pPr>
              <w:jc w:val="center"/>
            </w:pPr>
            <w:r>
              <w:rPr>
                <w:sz w:val="18"/>
              </w:rPr>
              <w:t>SKU-A-001</w:t>
            </w:r>
          </w:p>
        </w:tc>
      </w:tr>
    </w:tbl>
    <w:p>
      <w:pPr>
        <w:pStyle w:val="Heading2"/>
      </w:pPr>
      <w:r>
        <w:t>2.1 GTIN versus SKU</w:t>
      </w:r>
    </w:p>
    <w:p>
      <w:r>
        <w:t>A SKU is normally an internal business identifier. In a GS1 implementation, the GTIN should be the primary standardized product identifier. If the mobile application also needs the internal SKU directly from the symbol, AI (240) can carry an additional manufacturer-assigned product identifier. This is useful for offline display and cross-reference, but it should be treated as an attribute of the GTIN rather than a replacement for it.</w:t>
      </w:r>
    </w:p>
    <w:p>
      <w:pPr>
        <w:pStyle w:val="Heading2"/>
      </w:pPr>
      <w:r>
        <w:t>2.2 Packaging-level identity</w:t>
      </w:r>
    </w:p>
    <w:p>
      <w:r>
        <w:t>When different packaging levels are trade items in their own right, each packaging level normally receives its own GTIN. A logistic unit such as a shipment carton or pallet is uniquely identified with an SSCC. A physical object may therefore have a trade-item identity and, when used as a logistic unit, a separate logistic-unit identity depending on the business process and applicable GS1 rules.</w:t>
      </w:r>
    </w:p>
    <w:p>
      <w:pPr>
        <w:pStyle w:val="Heading1"/>
      </w:pPr>
      <w:r>
        <w:t>3. Recommended factory hierarchy</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84"/>
        <w:gridCol w:w="2484"/>
        <w:gridCol w:w="2484"/>
        <w:gridCol w:w="2484"/>
      </w:tblGrid>
      <w:tr>
        <w:trPr>
          <w:tblHeader w:val="true"/>
        </w:trPr>
        <w:tc>
          <w:tcPr>
            <w:tcW w:type="dxa" w:w="1800"/>
            <w:shd w:fill="1F4E78"/>
            <w:tcMar>
              <w:top w:w="120" w:type="dxa"/>
              <w:start w:w="140" w:type="dxa"/>
              <w:bottom w:w="120" w:type="dxa"/>
              <w:end w:w="140" w:type="dxa"/>
            </w:tcMar>
            <w:vAlign w:val="center"/>
          </w:tcPr>
          <w:p>
            <w:pPr>
              <w:jc w:val="center"/>
            </w:pPr>
            <w:r>
              <w:rPr>
                <w:b/>
                <w:color w:val="FFFFFF"/>
                <w:sz w:val="19"/>
              </w:rPr>
              <w:t>Level</w:t>
            </w:r>
          </w:p>
        </w:tc>
        <w:tc>
          <w:tcPr>
            <w:tcW w:type="dxa" w:w="2592"/>
            <w:shd w:fill="1F4E78"/>
            <w:tcMar>
              <w:top w:w="120" w:type="dxa"/>
              <w:start w:w="140" w:type="dxa"/>
              <w:bottom w:w="120" w:type="dxa"/>
              <w:end w:w="140" w:type="dxa"/>
            </w:tcMar>
            <w:vAlign w:val="center"/>
          </w:tcPr>
          <w:p>
            <w:pPr>
              <w:jc w:val="center"/>
            </w:pPr>
            <w:r>
              <w:rPr>
                <w:b/>
                <w:color w:val="FFFFFF"/>
                <w:sz w:val="19"/>
              </w:rPr>
              <w:t>Example identity</w:t>
            </w:r>
          </w:p>
        </w:tc>
        <w:tc>
          <w:tcPr>
            <w:tcW w:type="dxa" w:w="3672"/>
            <w:shd w:fill="1F4E78"/>
            <w:tcMar>
              <w:top w:w="120" w:type="dxa"/>
              <w:start w:w="140" w:type="dxa"/>
              <w:bottom w:w="120" w:type="dxa"/>
              <w:end w:w="140" w:type="dxa"/>
            </w:tcMar>
            <w:vAlign w:val="center"/>
          </w:tcPr>
          <w:p>
            <w:pPr>
              <w:jc w:val="center"/>
            </w:pPr>
            <w:r>
              <w:rPr>
                <w:b/>
                <w:color w:val="FFFFFF"/>
                <w:sz w:val="19"/>
              </w:rPr>
              <w:t>What the app learns offline</w:t>
            </w:r>
          </w:p>
        </w:tc>
        <w:tc>
          <w:tcPr>
            <w:tcW w:type="dxa" w:w="1440"/>
            <w:shd w:fill="1F4E78"/>
            <w:tcMar>
              <w:top w:w="120" w:type="dxa"/>
              <w:start w:w="140" w:type="dxa"/>
              <w:bottom w:w="120" w:type="dxa"/>
              <w:end w:w="140" w:type="dxa"/>
            </w:tcMar>
            <w:vAlign w:val="center"/>
          </w:tcPr>
          <w:p>
            <w:pPr>
              <w:jc w:val="center"/>
            </w:pPr>
            <w:r>
              <w:rPr>
                <w:b/>
                <w:color w:val="FFFFFF"/>
                <w:sz w:val="19"/>
              </w:rPr>
              <w:t>Primary purpose</w:t>
            </w:r>
          </w:p>
        </w:tc>
      </w:tr>
      <w:tr>
        <w:tc>
          <w:tcPr>
            <w:tcW w:type="dxa" w:w="2484"/>
            <w:tcMar>
              <w:top w:w="120" w:type="dxa"/>
              <w:start w:w="140" w:type="dxa"/>
              <w:bottom w:w="120" w:type="dxa"/>
              <w:end w:w="140" w:type="dxa"/>
            </w:tcMar>
            <w:vAlign w:val="center"/>
          </w:tcPr>
          <w:p>
            <w:r>
              <w:rPr>
                <w:sz w:val="18"/>
              </w:rPr>
              <w:t>Piece / each</w:t>
            </w:r>
          </w:p>
        </w:tc>
        <w:tc>
          <w:tcPr>
            <w:tcW w:type="dxa" w:w="2484"/>
            <w:tcMar>
              <w:top w:w="120" w:type="dxa"/>
              <w:start w:w="140" w:type="dxa"/>
              <w:bottom w:w="120" w:type="dxa"/>
              <w:end w:w="140" w:type="dxa"/>
            </w:tcMar>
            <w:vAlign w:val="center"/>
          </w:tcPr>
          <w:p>
            <w:r>
              <w:rPr>
                <w:sz w:val="18"/>
              </w:rPr>
              <w:t>GTIN 09520123456788</w:t>
            </w:r>
          </w:p>
        </w:tc>
        <w:tc>
          <w:tcPr>
            <w:tcW w:type="dxa" w:w="2484"/>
            <w:tcMar>
              <w:top w:w="120" w:type="dxa"/>
              <w:start w:w="140" w:type="dxa"/>
              <w:bottom w:w="120" w:type="dxa"/>
              <w:end w:w="140" w:type="dxa"/>
            </w:tcMar>
            <w:vAlign w:val="center"/>
          </w:tcPr>
          <w:p>
            <w:r>
              <w:rPr>
                <w:sz w:val="18"/>
              </w:rPr>
              <w:t>SKU class; optional lot and serial</w:t>
            </w:r>
          </w:p>
        </w:tc>
        <w:tc>
          <w:tcPr>
            <w:tcW w:type="dxa" w:w="2484"/>
            <w:tcMar>
              <w:top w:w="120" w:type="dxa"/>
              <w:start w:w="140" w:type="dxa"/>
              <w:bottom w:w="120" w:type="dxa"/>
              <w:end w:w="140" w:type="dxa"/>
            </w:tcMar>
            <w:vAlign w:val="center"/>
          </w:tcPr>
          <w:p>
            <w:r>
              <w:rPr>
                <w:sz w:val="18"/>
              </w:rPr>
              <w:t>Identify a single sellable/manufactured item</w:t>
            </w:r>
          </w:p>
        </w:tc>
      </w:tr>
      <w:tr>
        <w:tc>
          <w:tcPr>
            <w:tcW w:type="dxa" w:w="2484"/>
            <w:tcMar>
              <w:top w:w="120" w:type="dxa"/>
              <w:start w:w="140" w:type="dxa"/>
              <w:bottom w:w="120" w:type="dxa"/>
              <w:end w:w="140" w:type="dxa"/>
            </w:tcMar>
            <w:vAlign w:val="center"/>
          </w:tcPr>
          <w:p>
            <w:r>
              <w:rPr>
                <w:sz w:val="18"/>
              </w:rPr>
              <w:t>Inner box</w:t>
            </w:r>
          </w:p>
        </w:tc>
        <w:tc>
          <w:tcPr>
            <w:tcW w:type="dxa" w:w="2484"/>
            <w:tcMar>
              <w:top w:w="120" w:type="dxa"/>
              <w:start w:w="140" w:type="dxa"/>
              <w:bottom w:w="120" w:type="dxa"/>
              <w:end w:w="140" w:type="dxa"/>
            </w:tcMar>
            <w:vAlign w:val="center"/>
          </w:tcPr>
          <w:p>
            <w:r>
              <w:rPr>
                <w:sz w:val="18"/>
              </w:rPr>
              <w:t>GTIN 09520123456856</w:t>
            </w:r>
          </w:p>
        </w:tc>
        <w:tc>
          <w:tcPr>
            <w:tcW w:type="dxa" w:w="2484"/>
            <w:tcMar>
              <w:top w:w="120" w:type="dxa"/>
              <w:start w:w="140" w:type="dxa"/>
              <w:bottom w:w="120" w:type="dxa"/>
              <w:end w:w="140" w:type="dxa"/>
            </w:tcMar>
            <w:vAlign w:val="center"/>
          </w:tcPr>
          <w:p>
            <w:r>
              <w:rPr>
                <w:sz w:val="18"/>
              </w:rPr>
              <w:t>Packaging level / expected product</w:t>
            </w:r>
          </w:p>
        </w:tc>
        <w:tc>
          <w:tcPr>
            <w:tcW w:type="dxa" w:w="2484"/>
            <w:tcMar>
              <w:top w:w="120" w:type="dxa"/>
              <w:start w:w="140" w:type="dxa"/>
              <w:bottom w:w="120" w:type="dxa"/>
              <w:end w:w="140" w:type="dxa"/>
            </w:tcMar>
            <w:vAlign w:val="center"/>
          </w:tcPr>
          <w:p>
            <w:r>
              <w:rPr>
                <w:sz w:val="18"/>
              </w:rPr>
              <w:t>Trade-item packaging level</w:t>
            </w:r>
          </w:p>
        </w:tc>
      </w:tr>
      <w:tr>
        <w:tc>
          <w:tcPr>
            <w:tcW w:type="dxa" w:w="2484"/>
            <w:tcMar>
              <w:top w:w="120" w:type="dxa"/>
              <w:start w:w="140" w:type="dxa"/>
              <w:bottom w:w="120" w:type="dxa"/>
              <w:end w:w="140" w:type="dxa"/>
            </w:tcMar>
            <w:vAlign w:val="center"/>
          </w:tcPr>
          <w:p>
            <w:r>
              <w:rPr>
                <w:sz w:val="18"/>
              </w:rPr>
              <w:t>Master carton</w:t>
            </w:r>
          </w:p>
        </w:tc>
        <w:tc>
          <w:tcPr>
            <w:tcW w:type="dxa" w:w="2484"/>
            <w:tcMar>
              <w:top w:w="120" w:type="dxa"/>
              <w:start w:w="140" w:type="dxa"/>
              <w:bottom w:w="120" w:type="dxa"/>
              <w:end w:w="140" w:type="dxa"/>
            </w:tcMar>
            <w:vAlign w:val="center"/>
          </w:tcPr>
          <w:p>
            <w:r>
              <w:rPr>
                <w:sz w:val="18"/>
              </w:rPr>
              <w:t>SSCC 952012345678912345</w:t>
            </w:r>
          </w:p>
        </w:tc>
        <w:tc>
          <w:tcPr>
            <w:tcW w:type="dxa" w:w="2484"/>
            <w:tcMar>
              <w:top w:w="120" w:type="dxa"/>
              <w:start w:w="140" w:type="dxa"/>
              <w:bottom w:w="120" w:type="dxa"/>
              <w:end w:w="140" w:type="dxa"/>
            </w:tcMar>
            <w:vAlign w:val="center"/>
          </w:tcPr>
          <w:p>
            <w:r>
              <w:rPr>
                <w:sz w:val="18"/>
              </w:rPr>
              <w:t>Contained GTIN 09520123456856; qty 10; lot B260813</w:t>
            </w:r>
          </w:p>
        </w:tc>
        <w:tc>
          <w:tcPr>
            <w:tcW w:type="dxa" w:w="2484"/>
            <w:tcMar>
              <w:top w:w="120" w:type="dxa"/>
              <w:start w:w="140" w:type="dxa"/>
              <w:bottom w:w="120" w:type="dxa"/>
              <w:end w:w="140" w:type="dxa"/>
            </w:tcMar>
            <w:vAlign w:val="center"/>
          </w:tcPr>
          <w:p>
            <w:r>
              <w:rPr>
                <w:sz w:val="18"/>
              </w:rPr>
              <w:t>Packing / logistics unit and offline acceptance rule</w:t>
            </w:r>
          </w:p>
        </w:tc>
      </w:tr>
      <w:tr>
        <w:tc>
          <w:tcPr>
            <w:tcW w:type="dxa" w:w="2484"/>
            <w:tcMar>
              <w:top w:w="120" w:type="dxa"/>
              <w:start w:w="140" w:type="dxa"/>
              <w:bottom w:w="120" w:type="dxa"/>
              <w:end w:w="140" w:type="dxa"/>
            </w:tcMar>
            <w:vAlign w:val="center"/>
          </w:tcPr>
          <w:p>
            <w:r>
              <w:rPr>
                <w:sz w:val="18"/>
              </w:rPr>
              <w:t>Pallet</w:t>
            </w:r>
          </w:p>
        </w:tc>
        <w:tc>
          <w:tcPr>
            <w:tcW w:type="dxa" w:w="2484"/>
            <w:tcMar>
              <w:top w:w="120" w:type="dxa"/>
              <w:start w:w="140" w:type="dxa"/>
              <w:bottom w:w="120" w:type="dxa"/>
              <w:end w:w="140" w:type="dxa"/>
            </w:tcMar>
            <w:vAlign w:val="center"/>
          </w:tcPr>
          <w:p>
            <w:r>
              <w:rPr>
                <w:sz w:val="18"/>
              </w:rPr>
              <w:t>SSCC 952012345678912352</w:t>
            </w:r>
          </w:p>
        </w:tc>
        <w:tc>
          <w:tcPr>
            <w:tcW w:type="dxa" w:w="2484"/>
            <w:tcMar>
              <w:top w:w="120" w:type="dxa"/>
              <w:start w:w="140" w:type="dxa"/>
              <w:bottom w:w="120" w:type="dxa"/>
              <w:end w:w="140" w:type="dxa"/>
            </w:tcMar>
            <w:vAlign w:val="center"/>
          </w:tcPr>
          <w:p>
            <w:r>
              <w:rPr>
                <w:sz w:val="18"/>
              </w:rPr>
              <w:t>Contained master GTIN 09520123456924; qty 20; lot B260813</w:t>
            </w:r>
          </w:p>
        </w:tc>
        <w:tc>
          <w:tcPr>
            <w:tcW w:type="dxa" w:w="2484"/>
            <w:tcMar>
              <w:top w:w="120" w:type="dxa"/>
              <w:start w:w="140" w:type="dxa"/>
              <w:bottom w:w="120" w:type="dxa"/>
              <w:end w:w="140" w:type="dxa"/>
            </w:tcMar>
            <w:vAlign w:val="center"/>
          </w:tcPr>
          <w:p>
            <w:r>
              <w:rPr>
                <w:sz w:val="18"/>
              </w:rPr>
              <w:t>Higher-level aggregation and shipping</w:t>
            </w:r>
          </w:p>
        </w:tc>
      </w:tr>
    </w:tbl>
    <w:tbl>
      <w:tblPr>
        <w:tblW w:type="auto" w:w="0"/>
        <w:jc w:val="center"/>
        <w:tblLook w:firstColumn="1" w:firstRow="1" w:lastColumn="0" w:lastRow="0" w:noHBand="0" w:noVBand="1" w:val="04A0"/>
      </w:tblPr>
      <w:tblGrid>
        <w:gridCol w:w="9936"/>
      </w:tblGrid>
      <w:tr>
        <w:tc>
          <w:tcPr>
            <w:tcW w:type="dxa" w:w="9936"/>
            <w:shd w:fill="EAF2F8"/>
            <w:tcMar>
              <w:top w:w="160" w:type="dxa"/>
              <w:start w:w="190" w:type="dxa"/>
              <w:bottom w:w="160" w:type="dxa"/>
              <w:end w:w="190" w:type="dxa"/>
            </w:tcMar>
          </w:tcPr>
          <w:p>
            <w:pPr>
              <w:spacing w:after="0"/>
            </w:pPr>
            <w:r>
              <w:rPr>
                <w:b/>
                <w:sz w:val="22"/>
              </w:rPr>
              <w:t>Design note</w:t>
              <w:br/>
            </w:r>
            <w:r>
              <w:rPr>
                <w:sz w:val="21"/>
              </w:rPr>
              <w:t>If your master carton is itself a trade item, give that packaging level its own GTIN as well. If the carton is being treated as a logistic unit for a specific shipment/packing event, identify that logistic unit with an SSCC. The exact label configuration should follow your commercial process and GS1 application standard.</w:t>
            </w:r>
          </w:p>
        </w:tc>
      </w:tr>
    </w:tbl>
    <w:p>
      <w:pPr>
        <w:pStyle w:val="Heading1"/>
      </w:pPr>
      <w:r>
        <w:t>4. Sample GS1 Digital Link QR URLs</w:t>
      </w:r>
    </w:p>
    <w:p>
      <w:r>
        <w:t>The following QR codes are scannable examples. The domain id.example.com is reserved for documentation and is not a production resolver. A dedicated mobile application can decode these URI strings locally; network access is not required merely to parse the identifiers.</w:t>
      </w:r>
    </w:p>
    <w:p>
      <w:pPr>
        <w:pStyle w:val="Heading3"/>
      </w:pPr>
      <w:r>
        <w:t>4.1. Each / product GTIN only</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952"/>
        <w:gridCol w:w="6408"/>
      </w:tblGrid>
      <w:tr>
        <w:tc>
          <w:tcPr>
            <w:tcW w:type="dxa" w:w="4968"/>
            <w:tcMar>
              <w:top w:w="150" w:type="dxa"/>
              <w:start w:w="160" w:type="dxa"/>
              <w:bottom w:w="150" w:type="dxa"/>
              <w:end w:w="160" w:type="dxa"/>
            </w:tcMar>
            <w:vAlign w:val="center"/>
          </w:tcPr>
          <w:p>
            <w:pPr>
              <w:jc w:val="center"/>
            </w:pPr>
            <w:r>
              <w:drawing>
                <wp:inline xmlns:a="http://schemas.openxmlformats.org/drawingml/2006/main" xmlns:pic="http://schemas.openxmlformats.org/drawingml/2006/picture">
                  <wp:extent cx="1508760" cy="1508760"/>
                  <wp:docPr id="1" name="Picture 1"/>
                  <wp:cNvGraphicFramePr>
                    <a:graphicFrameLocks noChangeAspect="1"/>
                  </wp:cNvGraphicFramePr>
                  <a:graphic>
                    <a:graphicData uri="http://schemas.openxmlformats.org/drawingml/2006/picture">
                      <pic:pic>
                        <pic:nvPicPr>
                          <pic:cNvPr id="0" name="example_4_1.png"/>
                          <pic:cNvPicPr/>
                        </pic:nvPicPr>
                        <pic:blipFill>
                          <a:blip r:embed="rId9"/>
                          <a:stretch>
                            <a:fillRect/>
                          </a:stretch>
                        </pic:blipFill>
                        <pic:spPr>
                          <a:xfrm>
                            <a:off x="0" y="0"/>
                            <a:ext cx="1508760" cy="1508760"/>
                          </a:xfrm>
                          <a:prstGeom prst="rect"/>
                        </pic:spPr>
                      </pic:pic>
                    </a:graphicData>
                  </a:graphic>
                </wp:inline>
              </w:drawing>
            </w:r>
          </w:p>
          <w:p>
            <w:pPr>
              <w:jc w:val="center"/>
            </w:pPr>
            <w:r>
              <w:rPr>
                <w:i/>
                <w:sz w:val="17"/>
              </w:rPr>
              <w:t>Scan sample</w:t>
            </w:r>
          </w:p>
        </w:tc>
        <w:tc>
          <w:tcPr>
            <w:tcW w:type="dxa" w:w="4968"/>
            <w:tcMar>
              <w:top w:w="150" w:type="dxa"/>
              <w:start w:w="160" w:type="dxa"/>
              <w:bottom w:w="150" w:type="dxa"/>
              <w:end w:w="160" w:type="dxa"/>
            </w:tcMar>
            <w:vAlign w:val="center"/>
          </w:tcPr>
          <w:p>
            <w:r>
              <w:rPr>
                <w:b/>
              </w:rPr>
              <w:t xml:space="preserve">Purpose: </w:t>
            </w:r>
            <w:r>
              <w:t>Identify the product class.</w:t>
            </w:r>
          </w:p>
          <w:p>
            <w:r>
              <w:rPr>
                <w:b/>
              </w:rPr>
              <w:t>GS1 Digital Link URI:</w:t>
            </w:r>
          </w:p>
          <w:p>
            <w:pPr>
              <w:ind w:left="173"/>
            </w:pPr>
            <w:r>
              <w:rPr>
                <w:rFonts w:ascii="Courier New" w:hAnsi="Courier New"/>
                <w:sz w:val="17"/>
              </w:rPr>
              <w:t>https://id.example.com/01/09520123456788</w:t>
            </w:r>
          </w:p>
          <w:p>
            <w:r>
              <w:rPr>
                <w:b/>
              </w:rPr>
              <w:t>Equivalent GS1 element string:</w:t>
            </w:r>
          </w:p>
          <w:p>
            <w:pPr>
              <w:ind w:left="173"/>
            </w:pPr>
            <w:r>
              <w:rPr>
                <w:rFonts w:ascii="Courier New" w:hAnsi="Courier New"/>
                <w:sz w:val="17"/>
              </w:rPr>
              <w:t>(01)09520123456788</w:t>
            </w:r>
          </w:p>
          <w:p>
            <w:r>
              <w:rPr>
                <w:b/>
              </w:rPr>
              <w:t xml:space="preserve">Notes: </w:t>
            </w:r>
            <w:r>
              <w:t>Use when the app only needs product identity and additional attributes are not required in the symbol.</w:t>
            </w:r>
          </w:p>
        </w:tc>
      </w:tr>
    </w:tbl>
    <w:p>
      <w:pPr>
        <w:pStyle w:val="Heading3"/>
      </w:pPr>
      <w:r>
        <w:t>4.2. Each GTIN + internal SKU</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952"/>
        <w:gridCol w:w="6408"/>
      </w:tblGrid>
      <w:tr>
        <w:tc>
          <w:tcPr>
            <w:tcW w:type="dxa" w:w="4968"/>
            <w:tcMar>
              <w:top w:w="150" w:type="dxa"/>
              <w:start w:w="160" w:type="dxa"/>
              <w:bottom w:w="150" w:type="dxa"/>
              <w:end w:w="160" w:type="dxa"/>
            </w:tcMar>
            <w:vAlign w:val="center"/>
          </w:tcPr>
          <w:p>
            <w:pPr>
              <w:jc w:val="center"/>
            </w:pPr>
            <w:r>
              <w:drawing>
                <wp:inline xmlns:a="http://schemas.openxmlformats.org/drawingml/2006/main" xmlns:pic="http://schemas.openxmlformats.org/drawingml/2006/picture">
                  <wp:extent cx="1508760" cy="1508760"/>
                  <wp:docPr id="2" name="Picture 2"/>
                  <wp:cNvGraphicFramePr>
                    <a:graphicFrameLocks noChangeAspect="1"/>
                  </wp:cNvGraphicFramePr>
                  <a:graphic>
                    <a:graphicData uri="http://schemas.openxmlformats.org/drawingml/2006/picture">
                      <pic:pic>
                        <pic:nvPicPr>
                          <pic:cNvPr id="0" name="example_4_2.png"/>
                          <pic:cNvPicPr/>
                        </pic:nvPicPr>
                        <pic:blipFill>
                          <a:blip r:embed="rId10"/>
                          <a:stretch>
                            <a:fillRect/>
                          </a:stretch>
                        </pic:blipFill>
                        <pic:spPr>
                          <a:xfrm>
                            <a:off x="0" y="0"/>
                            <a:ext cx="1508760" cy="1508760"/>
                          </a:xfrm>
                          <a:prstGeom prst="rect"/>
                        </pic:spPr>
                      </pic:pic>
                    </a:graphicData>
                  </a:graphic>
                </wp:inline>
              </w:drawing>
            </w:r>
          </w:p>
          <w:p>
            <w:pPr>
              <w:jc w:val="center"/>
            </w:pPr>
            <w:r>
              <w:rPr>
                <w:i/>
                <w:sz w:val="17"/>
              </w:rPr>
              <w:t>Scan sample</w:t>
            </w:r>
          </w:p>
        </w:tc>
        <w:tc>
          <w:tcPr>
            <w:tcW w:type="dxa" w:w="4968"/>
            <w:tcMar>
              <w:top w:w="150" w:type="dxa"/>
              <w:start w:w="160" w:type="dxa"/>
              <w:bottom w:w="150" w:type="dxa"/>
              <w:end w:w="160" w:type="dxa"/>
            </w:tcMar>
            <w:vAlign w:val="center"/>
          </w:tcPr>
          <w:p>
            <w:r>
              <w:rPr>
                <w:b/>
              </w:rPr>
              <w:t xml:space="preserve">Purpose: </w:t>
            </w:r>
            <w:r>
              <w:t>Carry the standardized GTIN plus your internal SKU for local display/cross-reference.</w:t>
            </w:r>
          </w:p>
          <w:p>
            <w:r>
              <w:rPr>
                <w:b/>
              </w:rPr>
              <w:t>GS1 Digital Link URI:</w:t>
            </w:r>
          </w:p>
          <w:p>
            <w:pPr>
              <w:ind w:left="173"/>
            </w:pPr>
            <w:r>
              <w:rPr>
                <w:rFonts w:ascii="Courier New" w:hAnsi="Courier New"/>
                <w:sz w:val="17"/>
              </w:rPr>
              <w:t>https://id.example.com/01/09520123456788?240=SKU-A-001</w:t>
            </w:r>
          </w:p>
          <w:p>
            <w:r>
              <w:rPr>
                <w:b/>
              </w:rPr>
              <w:t>Equivalent GS1 element string:</w:t>
            </w:r>
          </w:p>
          <w:p>
            <w:pPr>
              <w:ind w:left="173"/>
            </w:pPr>
            <w:r>
              <w:rPr>
                <w:rFonts w:ascii="Courier New" w:hAnsi="Courier New"/>
                <w:sz w:val="17"/>
              </w:rPr>
              <w:t>(01)09520123456788(240)SKU-A-001</w:t>
            </w:r>
          </w:p>
          <w:p>
            <w:r>
              <w:rPr>
                <w:b/>
              </w:rPr>
              <w:t xml:space="preserve">Notes: </w:t>
            </w:r>
            <w:r>
              <w:t>AI (240) is optional additional product identification; GTIN remains the primary identifier.</w:t>
            </w:r>
          </w:p>
        </w:tc>
      </w:tr>
    </w:tbl>
    <w:p>
      <w:pPr>
        <w:pStyle w:val="Heading3"/>
      </w:pPr>
      <w:r>
        <w:t>4.3. Each GTIN + batch/lot</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952"/>
        <w:gridCol w:w="6408"/>
      </w:tblGrid>
      <w:tr>
        <w:tc>
          <w:tcPr>
            <w:tcW w:type="dxa" w:w="4968"/>
            <w:tcMar>
              <w:top w:w="150" w:type="dxa"/>
              <w:start w:w="160" w:type="dxa"/>
              <w:bottom w:w="150" w:type="dxa"/>
              <w:end w:w="160" w:type="dxa"/>
            </w:tcMar>
            <w:vAlign w:val="center"/>
          </w:tcPr>
          <w:p>
            <w:pPr>
              <w:jc w:val="center"/>
            </w:pPr>
            <w:r>
              <w:drawing>
                <wp:inline xmlns:a="http://schemas.openxmlformats.org/drawingml/2006/main" xmlns:pic="http://schemas.openxmlformats.org/drawingml/2006/picture">
                  <wp:extent cx="1508760" cy="1508760"/>
                  <wp:docPr id="3" name="Picture 3"/>
                  <wp:cNvGraphicFramePr>
                    <a:graphicFrameLocks noChangeAspect="1"/>
                  </wp:cNvGraphicFramePr>
                  <a:graphic>
                    <a:graphicData uri="http://schemas.openxmlformats.org/drawingml/2006/picture">
                      <pic:pic>
                        <pic:nvPicPr>
                          <pic:cNvPr id="0" name="example_4_3.png"/>
                          <pic:cNvPicPr/>
                        </pic:nvPicPr>
                        <pic:blipFill>
                          <a:blip r:embed="rId11"/>
                          <a:stretch>
                            <a:fillRect/>
                          </a:stretch>
                        </pic:blipFill>
                        <pic:spPr>
                          <a:xfrm>
                            <a:off x="0" y="0"/>
                            <a:ext cx="1508760" cy="1508760"/>
                          </a:xfrm>
                          <a:prstGeom prst="rect"/>
                        </pic:spPr>
                      </pic:pic>
                    </a:graphicData>
                  </a:graphic>
                </wp:inline>
              </w:drawing>
            </w:r>
          </w:p>
          <w:p>
            <w:pPr>
              <w:jc w:val="center"/>
            </w:pPr>
            <w:r>
              <w:rPr>
                <w:i/>
                <w:sz w:val="17"/>
              </w:rPr>
              <w:t>Scan sample</w:t>
            </w:r>
          </w:p>
        </w:tc>
        <w:tc>
          <w:tcPr>
            <w:tcW w:type="dxa" w:w="4968"/>
            <w:tcMar>
              <w:top w:w="150" w:type="dxa"/>
              <w:start w:w="160" w:type="dxa"/>
              <w:bottom w:w="150" w:type="dxa"/>
              <w:end w:w="160" w:type="dxa"/>
            </w:tcMar>
            <w:vAlign w:val="center"/>
          </w:tcPr>
          <w:p>
            <w:r>
              <w:rPr>
                <w:b/>
              </w:rPr>
              <w:t xml:space="preserve">Purpose: </w:t>
            </w:r>
            <w:r>
              <w:t>Identify a batch-specific product occurrence.</w:t>
            </w:r>
          </w:p>
          <w:p>
            <w:r>
              <w:rPr>
                <w:b/>
              </w:rPr>
              <w:t>GS1 Digital Link URI:</w:t>
            </w:r>
          </w:p>
          <w:p>
            <w:pPr>
              <w:ind w:left="173"/>
            </w:pPr>
            <w:r>
              <w:rPr>
                <w:rFonts w:ascii="Courier New" w:hAnsi="Courier New"/>
                <w:sz w:val="17"/>
              </w:rPr>
              <w:t>https://id.example.com/01/09520123456788/10/B260813</w:t>
            </w:r>
          </w:p>
          <w:p>
            <w:r>
              <w:rPr>
                <w:b/>
              </w:rPr>
              <w:t>Equivalent GS1 element string:</w:t>
            </w:r>
          </w:p>
          <w:p>
            <w:pPr>
              <w:ind w:left="173"/>
            </w:pPr>
            <w:r>
              <w:rPr>
                <w:rFonts w:ascii="Courier New" w:hAnsi="Courier New"/>
                <w:sz w:val="17"/>
              </w:rPr>
              <w:t>(01)09520123456788(10)B260813</w:t>
            </w:r>
          </w:p>
          <w:p>
            <w:r>
              <w:rPr>
                <w:b/>
              </w:rPr>
              <w:t xml:space="preserve">Notes: </w:t>
            </w:r>
            <w:r>
              <w:t>Batch/lot is a key qualifier of GTIN in GS1 Digital Link.</w:t>
            </w:r>
          </w:p>
        </w:tc>
      </w:tr>
    </w:tbl>
    <w:p>
      <w:pPr>
        <w:pStyle w:val="Heading3"/>
      </w:pPr>
      <w:r>
        <w:t>4.4. Serialized child: GTIN + serial</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952"/>
        <w:gridCol w:w="6408"/>
      </w:tblGrid>
      <w:tr>
        <w:tc>
          <w:tcPr>
            <w:tcW w:type="dxa" w:w="4968"/>
            <w:tcMar>
              <w:top w:w="150" w:type="dxa"/>
              <w:start w:w="160" w:type="dxa"/>
              <w:bottom w:w="150" w:type="dxa"/>
              <w:end w:w="160" w:type="dxa"/>
            </w:tcMar>
            <w:vAlign w:val="center"/>
          </w:tcPr>
          <w:p>
            <w:pPr>
              <w:jc w:val="center"/>
            </w:pPr>
            <w:r>
              <w:drawing>
                <wp:inline xmlns:a="http://schemas.openxmlformats.org/drawingml/2006/main" xmlns:pic="http://schemas.openxmlformats.org/drawingml/2006/picture">
                  <wp:extent cx="1508760" cy="1508760"/>
                  <wp:docPr id="4" name="Picture 4"/>
                  <wp:cNvGraphicFramePr>
                    <a:graphicFrameLocks noChangeAspect="1"/>
                  </wp:cNvGraphicFramePr>
                  <a:graphic>
                    <a:graphicData uri="http://schemas.openxmlformats.org/drawingml/2006/picture">
                      <pic:pic>
                        <pic:nvPicPr>
                          <pic:cNvPr id="0" name="example_4_4.png"/>
                          <pic:cNvPicPr/>
                        </pic:nvPicPr>
                        <pic:blipFill>
                          <a:blip r:embed="rId12"/>
                          <a:stretch>
                            <a:fillRect/>
                          </a:stretch>
                        </pic:blipFill>
                        <pic:spPr>
                          <a:xfrm>
                            <a:off x="0" y="0"/>
                            <a:ext cx="1508760" cy="1508760"/>
                          </a:xfrm>
                          <a:prstGeom prst="rect"/>
                        </pic:spPr>
                      </pic:pic>
                    </a:graphicData>
                  </a:graphic>
                </wp:inline>
              </w:drawing>
            </w:r>
          </w:p>
          <w:p>
            <w:pPr>
              <w:jc w:val="center"/>
            </w:pPr>
            <w:r>
              <w:rPr>
                <w:i/>
                <w:sz w:val="17"/>
              </w:rPr>
              <w:t>Scan sample</w:t>
            </w:r>
          </w:p>
        </w:tc>
        <w:tc>
          <w:tcPr>
            <w:tcW w:type="dxa" w:w="4968"/>
            <w:tcMar>
              <w:top w:w="150" w:type="dxa"/>
              <w:start w:w="160" w:type="dxa"/>
              <w:bottom w:w="150" w:type="dxa"/>
              <w:end w:w="160" w:type="dxa"/>
            </w:tcMar>
            <w:vAlign w:val="center"/>
          </w:tcPr>
          <w:p>
            <w:r>
              <w:rPr>
                <w:b/>
              </w:rPr>
              <w:t xml:space="preserve">Purpose: </w:t>
            </w:r>
            <w:r>
              <w:t>Uniquely identify an individual child unit for exact aggregation.</w:t>
            </w:r>
          </w:p>
          <w:p>
            <w:r>
              <w:rPr>
                <w:b/>
              </w:rPr>
              <w:t>GS1 Digital Link URI:</w:t>
            </w:r>
          </w:p>
          <w:p>
            <w:pPr>
              <w:ind w:left="173"/>
            </w:pPr>
            <w:r>
              <w:rPr>
                <w:rFonts w:ascii="Courier New" w:hAnsi="Courier New"/>
                <w:sz w:val="17"/>
              </w:rPr>
              <w:t>https://id.example.com/01/09520123456788/21/C00001234</w:t>
            </w:r>
          </w:p>
          <w:p>
            <w:r>
              <w:rPr>
                <w:b/>
              </w:rPr>
              <w:t>Equivalent GS1 element string:</w:t>
            </w:r>
          </w:p>
          <w:p>
            <w:pPr>
              <w:ind w:left="173"/>
            </w:pPr>
            <w:r>
              <w:rPr>
                <w:rFonts w:ascii="Courier New" w:hAnsi="Courier New"/>
                <w:sz w:val="17"/>
              </w:rPr>
              <w:t>(01)09520123456788(21)C00001234</w:t>
            </w:r>
          </w:p>
          <w:p>
            <w:r>
              <w:rPr>
                <w:b/>
              </w:rPr>
              <w:t xml:space="preserve">Notes: </w:t>
            </w:r>
            <w:r>
              <w:t>GTIN + serial creates a serialized trade-item identity (often referred to as SGTIN).</w:t>
            </w:r>
          </w:p>
        </w:tc>
      </w:tr>
    </w:tbl>
    <w:p>
      <w:pPr>
        <w:pStyle w:val="Heading3"/>
      </w:pPr>
      <w:r>
        <w:t>4.5. Serialized child with lot</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952"/>
        <w:gridCol w:w="6408"/>
      </w:tblGrid>
      <w:tr>
        <w:tc>
          <w:tcPr>
            <w:tcW w:type="dxa" w:w="4968"/>
            <w:tcMar>
              <w:top w:w="150" w:type="dxa"/>
              <w:start w:w="160" w:type="dxa"/>
              <w:bottom w:w="150" w:type="dxa"/>
              <w:end w:w="160" w:type="dxa"/>
            </w:tcMar>
            <w:vAlign w:val="center"/>
          </w:tcPr>
          <w:p>
            <w:pPr>
              <w:jc w:val="center"/>
            </w:pPr>
            <w:r>
              <w:drawing>
                <wp:inline xmlns:a="http://schemas.openxmlformats.org/drawingml/2006/main" xmlns:pic="http://schemas.openxmlformats.org/drawingml/2006/picture">
                  <wp:extent cx="1508760" cy="1508760"/>
                  <wp:docPr id="5" name="Picture 5"/>
                  <wp:cNvGraphicFramePr>
                    <a:graphicFrameLocks noChangeAspect="1"/>
                  </wp:cNvGraphicFramePr>
                  <a:graphic>
                    <a:graphicData uri="http://schemas.openxmlformats.org/drawingml/2006/picture">
                      <pic:pic>
                        <pic:nvPicPr>
                          <pic:cNvPr id="0" name="example_4_5.png"/>
                          <pic:cNvPicPr/>
                        </pic:nvPicPr>
                        <pic:blipFill>
                          <a:blip r:embed="rId13"/>
                          <a:stretch>
                            <a:fillRect/>
                          </a:stretch>
                        </pic:blipFill>
                        <pic:spPr>
                          <a:xfrm>
                            <a:off x="0" y="0"/>
                            <a:ext cx="1508760" cy="1508760"/>
                          </a:xfrm>
                          <a:prstGeom prst="rect"/>
                        </pic:spPr>
                      </pic:pic>
                    </a:graphicData>
                  </a:graphic>
                </wp:inline>
              </w:drawing>
            </w:r>
          </w:p>
          <w:p>
            <w:pPr>
              <w:jc w:val="center"/>
            </w:pPr>
            <w:r>
              <w:rPr>
                <w:i/>
                <w:sz w:val="17"/>
              </w:rPr>
              <w:t>Scan sample</w:t>
            </w:r>
          </w:p>
        </w:tc>
        <w:tc>
          <w:tcPr>
            <w:tcW w:type="dxa" w:w="4968"/>
            <w:tcMar>
              <w:top w:w="150" w:type="dxa"/>
              <w:start w:w="160" w:type="dxa"/>
              <w:bottom w:w="150" w:type="dxa"/>
              <w:end w:w="160" w:type="dxa"/>
            </w:tcMar>
            <w:vAlign w:val="center"/>
          </w:tcPr>
          <w:p>
            <w:r>
              <w:rPr>
                <w:b/>
              </w:rPr>
              <w:t xml:space="preserve">Purpose: </w:t>
            </w:r>
            <w:r>
              <w:t>Identify exact unit plus production lot.</w:t>
            </w:r>
          </w:p>
          <w:p>
            <w:r>
              <w:rPr>
                <w:b/>
              </w:rPr>
              <w:t>GS1 Digital Link URI:</w:t>
            </w:r>
          </w:p>
          <w:p>
            <w:pPr>
              <w:ind w:left="173"/>
            </w:pPr>
            <w:r>
              <w:rPr>
                <w:rFonts w:ascii="Courier New" w:hAnsi="Courier New"/>
                <w:sz w:val="17"/>
              </w:rPr>
              <w:t>https://id.example.com/01/09520123456788/10/B260813/21/C00001234</w:t>
            </w:r>
          </w:p>
          <w:p>
            <w:r>
              <w:rPr>
                <w:b/>
              </w:rPr>
              <w:t>Equivalent GS1 element string:</w:t>
            </w:r>
          </w:p>
          <w:p>
            <w:pPr>
              <w:ind w:left="173"/>
            </w:pPr>
            <w:r>
              <w:rPr>
                <w:rFonts w:ascii="Courier New" w:hAnsi="Courier New"/>
                <w:sz w:val="17"/>
              </w:rPr>
              <w:t>(01)09520123456788(10)B260813(21)C00001234</w:t>
            </w:r>
          </w:p>
          <w:p>
            <w:r>
              <w:rPr>
                <w:b/>
              </w:rPr>
              <w:t xml:space="preserve">Notes: </w:t>
            </w:r>
            <w:r>
              <w:t>Useful when both instance traceability and batch validation are required.</w:t>
            </w:r>
          </w:p>
        </w:tc>
      </w:tr>
    </w:tbl>
    <w:p>
      <w:pPr>
        <w:pStyle w:val="Heading3"/>
      </w:pPr>
      <w:r>
        <w:t>4.6. Inner-box GTIN</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952"/>
        <w:gridCol w:w="6408"/>
      </w:tblGrid>
      <w:tr>
        <w:tc>
          <w:tcPr>
            <w:tcW w:type="dxa" w:w="4968"/>
            <w:tcMar>
              <w:top w:w="150" w:type="dxa"/>
              <w:start w:w="160" w:type="dxa"/>
              <w:bottom w:w="150" w:type="dxa"/>
              <w:end w:w="160" w:type="dxa"/>
            </w:tcMar>
            <w:vAlign w:val="center"/>
          </w:tcPr>
          <w:p>
            <w:pPr>
              <w:jc w:val="center"/>
            </w:pPr>
            <w:r>
              <w:drawing>
                <wp:inline xmlns:a="http://schemas.openxmlformats.org/drawingml/2006/main" xmlns:pic="http://schemas.openxmlformats.org/drawingml/2006/picture">
                  <wp:extent cx="1508760" cy="1508760"/>
                  <wp:docPr id="6" name="Picture 6"/>
                  <wp:cNvGraphicFramePr>
                    <a:graphicFrameLocks noChangeAspect="1"/>
                  </wp:cNvGraphicFramePr>
                  <a:graphic>
                    <a:graphicData uri="http://schemas.openxmlformats.org/drawingml/2006/picture">
                      <pic:pic>
                        <pic:nvPicPr>
                          <pic:cNvPr id="0" name="example_4_6.png"/>
                          <pic:cNvPicPr/>
                        </pic:nvPicPr>
                        <pic:blipFill>
                          <a:blip r:embed="rId14"/>
                          <a:stretch>
                            <a:fillRect/>
                          </a:stretch>
                        </pic:blipFill>
                        <pic:spPr>
                          <a:xfrm>
                            <a:off x="0" y="0"/>
                            <a:ext cx="1508760" cy="1508760"/>
                          </a:xfrm>
                          <a:prstGeom prst="rect"/>
                        </pic:spPr>
                      </pic:pic>
                    </a:graphicData>
                  </a:graphic>
                </wp:inline>
              </w:drawing>
            </w:r>
          </w:p>
          <w:p>
            <w:pPr>
              <w:jc w:val="center"/>
            </w:pPr>
            <w:r>
              <w:rPr>
                <w:i/>
                <w:sz w:val="17"/>
              </w:rPr>
              <w:t>Scan sample</w:t>
            </w:r>
          </w:p>
        </w:tc>
        <w:tc>
          <w:tcPr>
            <w:tcW w:type="dxa" w:w="4968"/>
            <w:tcMar>
              <w:top w:w="150" w:type="dxa"/>
              <w:start w:w="160" w:type="dxa"/>
              <w:bottom w:w="150" w:type="dxa"/>
              <w:end w:w="160" w:type="dxa"/>
            </w:tcMar>
            <w:vAlign w:val="center"/>
          </w:tcPr>
          <w:p>
            <w:r>
              <w:rPr>
                <w:b/>
              </w:rPr>
              <w:t xml:space="preserve">Purpose: </w:t>
            </w:r>
            <w:r>
              <w:t>Identify the inner packaging level as a trade item.</w:t>
            </w:r>
          </w:p>
          <w:p>
            <w:r>
              <w:rPr>
                <w:b/>
              </w:rPr>
              <w:t>GS1 Digital Link URI:</w:t>
            </w:r>
          </w:p>
          <w:p>
            <w:pPr>
              <w:ind w:left="173"/>
            </w:pPr>
            <w:r>
              <w:rPr>
                <w:rFonts w:ascii="Courier New" w:hAnsi="Courier New"/>
                <w:sz w:val="17"/>
              </w:rPr>
              <w:t>https://id.example.com/01/09520123456856</w:t>
            </w:r>
          </w:p>
          <w:p>
            <w:r>
              <w:rPr>
                <w:b/>
              </w:rPr>
              <w:t>Equivalent GS1 element string:</w:t>
            </w:r>
          </w:p>
          <w:p>
            <w:pPr>
              <w:ind w:left="173"/>
            </w:pPr>
            <w:r>
              <w:rPr>
                <w:rFonts w:ascii="Courier New" w:hAnsi="Courier New"/>
                <w:sz w:val="17"/>
              </w:rPr>
              <w:t>(01)09520123456856</w:t>
            </w:r>
          </w:p>
          <w:p>
            <w:r>
              <w:rPr>
                <w:b/>
              </w:rPr>
              <w:t xml:space="preserve">Notes: </w:t>
            </w:r>
            <w:r>
              <w:t>Use a packaging-level GTIN when the inner box is a distinct trade item under your GTIN allocation rules.</w:t>
            </w:r>
          </w:p>
        </w:tc>
      </w:tr>
    </w:tbl>
    <w:p>
      <w:pPr>
        <w:pStyle w:val="Heading3"/>
      </w:pPr>
      <w:r>
        <w:t>4.7. Master-carton trade-item GTIN</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952"/>
        <w:gridCol w:w="6408"/>
      </w:tblGrid>
      <w:tr>
        <w:tc>
          <w:tcPr>
            <w:tcW w:type="dxa" w:w="4968"/>
            <w:tcMar>
              <w:top w:w="150" w:type="dxa"/>
              <w:start w:w="160" w:type="dxa"/>
              <w:bottom w:w="150" w:type="dxa"/>
              <w:end w:w="160" w:type="dxa"/>
            </w:tcMar>
            <w:vAlign w:val="center"/>
          </w:tcPr>
          <w:p>
            <w:pPr>
              <w:jc w:val="center"/>
            </w:pPr>
            <w:r>
              <w:drawing>
                <wp:inline xmlns:a="http://schemas.openxmlformats.org/drawingml/2006/main" xmlns:pic="http://schemas.openxmlformats.org/drawingml/2006/picture">
                  <wp:extent cx="1508760" cy="1508760"/>
                  <wp:docPr id="7" name="Picture 7"/>
                  <wp:cNvGraphicFramePr>
                    <a:graphicFrameLocks noChangeAspect="1"/>
                  </wp:cNvGraphicFramePr>
                  <a:graphic>
                    <a:graphicData uri="http://schemas.openxmlformats.org/drawingml/2006/picture">
                      <pic:pic>
                        <pic:nvPicPr>
                          <pic:cNvPr id="0" name="example_4_7.png"/>
                          <pic:cNvPicPr/>
                        </pic:nvPicPr>
                        <pic:blipFill>
                          <a:blip r:embed="rId15"/>
                          <a:stretch>
                            <a:fillRect/>
                          </a:stretch>
                        </pic:blipFill>
                        <pic:spPr>
                          <a:xfrm>
                            <a:off x="0" y="0"/>
                            <a:ext cx="1508760" cy="1508760"/>
                          </a:xfrm>
                          <a:prstGeom prst="rect"/>
                        </pic:spPr>
                      </pic:pic>
                    </a:graphicData>
                  </a:graphic>
                </wp:inline>
              </w:drawing>
            </w:r>
          </w:p>
          <w:p>
            <w:pPr>
              <w:jc w:val="center"/>
            </w:pPr>
            <w:r>
              <w:rPr>
                <w:i/>
                <w:sz w:val="17"/>
              </w:rPr>
              <w:t>Scan sample</w:t>
            </w:r>
          </w:p>
        </w:tc>
        <w:tc>
          <w:tcPr>
            <w:tcW w:type="dxa" w:w="4968"/>
            <w:tcMar>
              <w:top w:w="150" w:type="dxa"/>
              <w:start w:w="160" w:type="dxa"/>
              <w:bottom w:w="150" w:type="dxa"/>
              <w:end w:w="160" w:type="dxa"/>
            </w:tcMar>
            <w:vAlign w:val="center"/>
          </w:tcPr>
          <w:p>
            <w:r>
              <w:rPr>
                <w:b/>
              </w:rPr>
              <w:t xml:space="preserve">Purpose: </w:t>
            </w:r>
            <w:r>
              <w:t>Identify the master packaging level as a trade item.</w:t>
            </w:r>
          </w:p>
          <w:p>
            <w:r>
              <w:rPr>
                <w:b/>
              </w:rPr>
              <w:t>GS1 Digital Link URI:</w:t>
            </w:r>
          </w:p>
          <w:p>
            <w:pPr>
              <w:ind w:left="173"/>
            </w:pPr>
            <w:r>
              <w:rPr>
                <w:rFonts w:ascii="Courier New" w:hAnsi="Courier New"/>
                <w:sz w:val="17"/>
              </w:rPr>
              <w:t>https://id.example.com/01/09520123456924</w:t>
            </w:r>
          </w:p>
          <w:p>
            <w:r>
              <w:rPr>
                <w:b/>
              </w:rPr>
              <w:t>Equivalent GS1 element string:</w:t>
            </w:r>
          </w:p>
          <w:p>
            <w:pPr>
              <w:ind w:left="173"/>
            </w:pPr>
            <w:r>
              <w:rPr>
                <w:rFonts w:ascii="Courier New" w:hAnsi="Courier New"/>
                <w:sz w:val="17"/>
              </w:rPr>
              <w:t>(01)09520123456924</w:t>
            </w:r>
          </w:p>
          <w:p>
            <w:r>
              <w:rPr>
                <w:b/>
              </w:rPr>
              <w:t xml:space="preserve">Notes: </w:t>
            </w:r>
            <w:r>
              <w:t>This is separate from SSCC. GTIN identifies what the trade item is; SSCC identifies a particular logistic unit.</w:t>
            </w:r>
          </w:p>
        </w:tc>
      </w:tr>
    </w:tbl>
    <w:p>
      <w:pPr>
        <w:pStyle w:val="Heading3"/>
      </w:pPr>
      <w:r>
        <w:t>4.8. Master logistic unit: SSCC + contained GTIN + count + lot</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952"/>
        <w:gridCol w:w="6408"/>
      </w:tblGrid>
      <w:tr>
        <w:tc>
          <w:tcPr>
            <w:tcW w:type="dxa" w:w="4968"/>
            <w:tcMar>
              <w:top w:w="150" w:type="dxa"/>
              <w:start w:w="160" w:type="dxa"/>
              <w:bottom w:w="150" w:type="dxa"/>
              <w:end w:w="160" w:type="dxa"/>
            </w:tcMar>
            <w:vAlign w:val="center"/>
          </w:tcPr>
          <w:p>
            <w:pPr>
              <w:jc w:val="center"/>
            </w:pPr>
            <w:r>
              <w:drawing>
                <wp:inline xmlns:a="http://schemas.openxmlformats.org/drawingml/2006/main" xmlns:pic="http://schemas.openxmlformats.org/drawingml/2006/picture">
                  <wp:extent cx="1508760" cy="1508760"/>
                  <wp:docPr id="8" name="Picture 8"/>
                  <wp:cNvGraphicFramePr>
                    <a:graphicFrameLocks noChangeAspect="1"/>
                  </wp:cNvGraphicFramePr>
                  <a:graphic>
                    <a:graphicData uri="http://schemas.openxmlformats.org/drawingml/2006/picture">
                      <pic:pic>
                        <pic:nvPicPr>
                          <pic:cNvPr id="0" name="example_4_8.png"/>
                          <pic:cNvPicPr/>
                        </pic:nvPicPr>
                        <pic:blipFill>
                          <a:blip r:embed="rId16"/>
                          <a:stretch>
                            <a:fillRect/>
                          </a:stretch>
                        </pic:blipFill>
                        <pic:spPr>
                          <a:xfrm>
                            <a:off x="0" y="0"/>
                            <a:ext cx="1508760" cy="1508760"/>
                          </a:xfrm>
                          <a:prstGeom prst="rect"/>
                        </pic:spPr>
                      </pic:pic>
                    </a:graphicData>
                  </a:graphic>
                </wp:inline>
              </w:drawing>
            </w:r>
          </w:p>
          <w:p>
            <w:pPr>
              <w:jc w:val="center"/>
            </w:pPr>
            <w:r>
              <w:rPr>
                <w:i/>
                <w:sz w:val="17"/>
              </w:rPr>
              <w:t>Scan sample</w:t>
            </w:r>
          </w:p>
        </w:tc>
        <w:tc>
          <w:tcPr>
            <w:tcW w:type="dxa" w:w="4968"/>
            <w:tcMar>
              <w:top w:w="150" w:type="dxa"/>
              <w:start w:w="160" w:type="dxa"/>
              <w:bottom w:w="150" w:type="dxa"/>
              <w:end w:w="160" w:type="dxa"/>
            </w:tcMar>
            <w:vAlign w:val="center"/>
          </w:tcPr>
          <w:p>
            <w:r>
              <w:rPr>
                <w:b/>
              </w:rPr>
              <w:t xml:space="preserve">Purpose: </w:t>
            </w:r>
            <w:r>
              <w:t>Let the mobile app know the master identity and exactly what homogeneous child product/count belongs inside.</w:t>
            </w:r>
          </w:p>
          <w:p>
            <w:r>
              <w:rPr>
                <w:b/>
              </w:rPr>
              <w:t>GS1 Digital Link URI:</w:t>
            </w:r>
          </w:p>
          <w:p>
            <w:pPr>
              <w:ind w:left="173"/>
            </w:pPr>
            <w:r>
              <w:rPr>
                <w:rFonts w:ascii="Courier New" w:hAnsi="Courier New"/>
                <w:sz w:val="17"/>
              </w:rPr>
              <w:t>https://id.example.com/00/952012345678912345?02=09520123456856&amp;37=10&amp;10=B260813</w:t>
            </w:r>
          </w:p>
          <w:p>
            <w:r>
              <w:rPr>
                <w:b/>
              </w:rPr>
              <w:t>Equivalent GS1 element string:</w:t>
            </w:r>
          </w:p>
          <w:p>
            <w:pPr>
              <w:ind w:left="173"/>
            </w:pPr>
            <w:r>
              <w:rPr>
                <w:rFonts w:ascii="Courier New" w:hAnsi="Courier New"/>
                <w:sz w:val="17"/>
              </w:rPr>
              <w:t>(00)952012345678912345(02)09520123456856(37)10(10)B260813</w:t>
            </w:r>
          </w:p>
          <w:p>
            <w:r>
              <w:rPr>
                <w:b/>
              </w:rPr>
              <w:t xml:space="preserve">Notes: </w:t>
            </w:r>
            <w:r>
              <w:t>For Digital Link, the SSCC is in the path; additional identifiers/attributes appear as query parameters. This form enables offline packing rules.</w:t>
            </w:r>
          </w:p>
        </w:tc>
      </w:tr>
    </w:tbl>
    <w:p>
      <w:pPr>
        <w:pStyle w:val="Heading3"/>
      </w:pPr>
      <w:r>
        <w:t>4.9. Pallet: SSCC + master GTIN + count + lot</w:t>
      </w:r>
    </w:p>
    <w:tbl>
      <w:tblPr>
        <w:tblW w:type="auto" w:w="0"/>
        <w:jc w:val="center"/>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952"/>
        <w:gridCol w:w="6408"/>
      </w:tblGrid>
      <w:tr>
        <w:tc>
          <w:tcPr>
            <w:tcW w:type="dxa" w:w="4968"/>
            <w:tcMar>
              <w:top w:w="150" w:type="dxa"/>
              <w:start w:w="160" w:type="dxa"/>
              <w:bottom w:w="150" w:type="dxa"/>
              <w:end w:w="160" w:type="dxa"/>
            </w:tcMar>
            <w:vAlign w:val="center"/>
          </w:tcPr>
          <w:p>
            <w:pPr>
              <w:jc w:val="center"/>
            </w:pPr>
            <w:r>
              <w:drawing>
                <wp:inline xmlns:a="http://schemas.openxmlformats.org/drawingml/2006/main" xmlns:pic="http://schemas.openxmlformats.org/drawingml/2006/picture">
                  <wp:extent cx="1508760" cy="1508760"/>
                  <wp:docPr id="9" name="Picture 9"/>
                  <wp:cNvGraphicFramePr>
                    <a:graphicFrameLocks noChangeAspect="1"/>
                  </wp:cNvGraphicFramePr>
                  <a:graphic>
                    <a:graphicData uri="http://schemas.openxmlformats.org/drawingml/2006/picture">
                      <pic:pic>
                        <pic:nvPicPr>
                          <pic:cNvPr id="0" name="example_4_9.png"/>
                          <pic:cNvPicPr/>
                        </pic:nvPicPr>
                        <pic:blipFill>
                          <a:blip r:embed="rId17"/>
                          <a:stretch>
                            <a:fillRect/>
                          </a:stretch>
                        </pic:blipFill>
                        <pic:spPr>
                          <a:xfrm>
                            <a:off x="0" y="0"/>
                            <a:ext cx="1508760" cy="1508760"/>
                          </a:xfrm>
                          <a:prstGeom prst="rect"/>
                        </pic:spPr>
                      </pic:pic>
                    </a:graphicData>
                  </a:graphic>
                </wp:inline>
              </w:drawing>
            </w:r>
          </w:p>
          <w:p>
            <w:pPr>
              <w:jc w:val="center"/>
            </w:pPr>
            <w:r>
              <w:rPr>
                <w:i/>
                <w:sz w:val="17"/>
              </w:rPr>
              <w:t>Scan sample</w:t>
            </w:r>
          </w:p>
        </w:tc>
        <w:tc>
          <w:tcPr>
            <w:tcW w:type="dxa" w:w="4968"/>
            <w:tcMar>
              <w:top w:w="150" w:type="dxa"/>
              <w:start w:w="160" w:type="dxa"/>
              <w:bottom w:w="150" w:type="dxa"/>
              <w:end w:w="160" w:type="dxa"/>
            </w:tcMar>
            <w:vAlign w:val="center"/>
          </w:tcPr>
          <w:p>
            <w:r>
              <w:rPr>
                <w:b/>
              </w:rPr>
              <w:t xml:space="preserve">Purpose: </w:t>
            </w:r>
            <w:r>
              <w:t>Represent a homogeneous pallet containing 20 master cartons of the same master-carton GTIN.</w:t>
            </w:r>
          </w:p>
          <w:p>
            <w:r>
              <w:rPr>
                <w:b/>
              </w:rPr>
              <w:t>GS1 Digital Link URI:</w:t>
            </w:r>
          </w:p>
          <w:p>
            <w:pPr>
              <w:ind w:left="173"/>
            </w:pPr>
            <w:r>
              <w:rPr>
                <w:rFonts w:ascii="Courier New" w:hAnsi="Courier New"/>
                <w:sz w:val="17"/>
              </w:rPr>
              <w:t>https://id.example.com/00/952012345678912352?02=09520123456924&amp;37=20&amp;10=B260813</w:t>
            </w:r>
          </w:p>
          <w:p>
            <w:r>
              <w:rPr>
                <w:b/>
              </w:rPr>
              <w:t>Equivalent GS1 element string:</w:t>
            </w:r>
          </w:p>
          <w:p>
            <w:pPr>
              <w:ind w:left="173"/>
            </w:pPr>
            <w:r>
              <w:rPr>
                <w:rFonts w:ascii="Courier New" w:hAnsi="Courier New"/>
                <w:sz w:val="17"/>
              </w:rPr>
              <w:t>(00)952012345678912352(02)09520123456924(37)20(10)B260813</w:t>
            </w:r>
          </w:p>
          <w:p>
            <w:r>
              <w:rPr>
                <w:b/>
              </w:rPr>
              <w:t xml:space="preserve">Notes: </w:t>
            </w:r>
            <w:r>
              <w:t>The pallet can be validated and aggregated using the same pattern as the master-carton process.</w:t>
            </w:r>
          </w:p>
        </w:tc>
      </w:tr>
    </w:tbl>
    <w:p>
      <w:pPr>
        <w:pStyle w:val="Heading1"/>
      </w:pPr>
      <w:r>
        <w:t>5. Offline mobile packing workflow</w:t>
      </w:r>
    </w:p>
    <w:p>
      <w:pPr>
        <w:pStyle w:val="Heading2"/>
      </w:pPr>
      <w:r>
        <w:t>5.1 Operator flow</w:t>
      </w:r>
    </w:p>
    <w:p>
      <w:pPr>
        <w:pStyle w:val="ListNumber"/>
      </w:pPr>
      <w:r>
        <w:t>Operator selects or starts a packing station/session.</w:t>
      </w:r>
    </w:p>
    <w:p>
      <w:pPr>
        <w:pStyle w:val="ListNumber"/>
      </w:pPr>
      <w:r>
        <w:t>Operator scans the master carton QR / GS1 symbol.</w:t>
      </w:r>
    </w:p>
    <w:p>
      <w:pPr>
        <w:pStyle w:val="ListNumber"/>
      </w:pPr>
      <w:r>
        <w:t>The app parses SSCC, contained GTIN, expected count and optional lot directly from the scan.</w:t>
      </w:r>
    </w:p>
    <w:p>
      <w:pPr>
        <w:pStyle w:val="ListNumber"/>
      </w:pPr>
      <w:r>
        <w:t>The app stores this as the active local packing rule.</w:t>
      </w:r>
    </w:p>
    <w:p>
      <w:pPr>
        <w:pStyle w:val="ListNumber"/>
      </w:pPr>
      <w:r>
        <w:t>Operator scans each child item or inner box.</w:t>
      </w:r>
    </w:p>
    <w:p>
      <w:pPr>
        <w:pStyle w:val="ListNumber"/>
      </w:pPr>
      <w:r>
        <w:t>The app parses child GTIN, lot and serial locally.</w:t>
      </w:r>
    </w:p>
    <w:p>
      <w:pPr>
        <w:pStyle w:val="ListNumber"/>
      </w:pPr>
      <w:r>
        <w:t>The app rejects a child immediately if GTIN does not match the master expected GTIN.</w:t>
      </w:r>
    </w:p>
    <w:p>
      <w:pPr>
        <w:pStyle w:val="ListNumber"/>
      </w:pPr>
      <w:r>
        <w:t>If lot control is enabled, the app also rejects a different lot.</w:t>
      </w:r>
    </w:p>
    <w:p>
      <w:pPr>
        <w:pStyle w:val="ListNumber"/>
      </w:pPr>
      <w:r>
        <w:t>If serialized tracking is enabled, the app rejects duplicate serial numbers and records accepted children under the parent SSCC.</w:t>
      </w:r>
    </w:p>
    <w:p>
      <w:pPr>
        <w:pStyle w:val="ListNumber"/>
      </w:pPr>
      <w:r>
        <w:t>When expected quantity is reached, the app marks the master complete and prevents further packing unless a supervisor reopens it.</w:t>
      </w:r>
    </w:p>
    <w:p>
      <w:pPr>
        <w:pStyle w:val="ListNumber"/>
      </w:pPr>
      <w:r>
        <w:t>The completed aggregation record is queued for backend synchronization whenever connectivity is available.</w:t>
      </w:r>
    </w:p>
    <w:tbl>
      <w:tblPr>
        <w:tblW w:type="auto" w:w="0"/>
        <w:jc w:val="center"/>
        <w:tblLayout w:type="fixed"/>
        <w:tblLook w:firstColumn="1" w:firstRow="1" w:lastColumn="0" w:lastRow="0" w:noHBand="0" w:noVBand="1" w:val="04A0"/>
      </w:tblPr>
      <w:tblGrid>
        <w:gridCol w:w="9432"/>
      </w:tblGrid>
      <w:tr>
        <w:tc>
          <w:tcPr>
            <w:tcW w:type="dxa" w:w="9936"/>
            <w:shd w:fill="F3F6FA"/>
            <w:tcMar>
              <w:top w:w="120" w:type="dxa"/>
              <w:start w:w="180" w:type="dxa"/>
              <w:bottom w:w="120" w:type="dxa"/>
              <w:end w:w="180" w:type="dxa"/>
            </w:tcMar>
          </w:tcPr>
          <w:p>
            <w:pPr>
              <w:spacing w:after="0"/>
            </w:pPr>
            <w:r>
              <w:rPr>
                <w:rFonts w:ascii="Courier New" w:hAnsi="Courier New"/>
                <w:color w:val="1F2937"/>
                <w:sz w:val="19"/>
              </w:rPr>
              <w:t>MASTER SCAN</w:t>
              <w:br/>
              <w:t>SSCC: 952012345678912345</w:t>
              <w:br/>
              <w:t>Expected child GTIN: 09520123456856</w:t>
              <w:br/>
              <w:t>Expected qty: 10</w:t>
              <w:br/>
              <w:t>Expected lot: B260813</w:t>
              <w:br/>
              <w:br/>
              <w:t>CHILD SCAN -&gt; decode locally</w:t>
              <w:br/>
              <w:t>IF child.GTIN != expectedGTIN  =&gt; REJECT</w:t>
              <w:br/>
              <w:t>IF lotRequired AND child.lot != expectedLot =&gt; REJECT</w:t>
              <w:br/>
              <w:t>IF serial already scanned =&gt; REJECT</w:t>
              <w:br/>
              <w:t>IF acceptedCount &gt;= expectedQty =&gt; REJECT</w:t>
              <w:br/>
              <w:t>ELSE =&gt; ACCEPT + store child under parent SSCC</w:t>
            </w:r>
          </w:p>
        </w:tc>
      </w:tr>
    </w:tbl>
    <w:p>
      <w:pPr>
        <w:pStyle w:val="Heading1"/>
      </w:pPr>
      <w:r>
        <w:t>6. Suggested local data model</w:t>
      </w:r>
    </w:p>
    <w:p>
      <w:r>
        <w:t>SQLite (or an equivalent embedded database) is sufficient for the offline transaction layer. The following structure keeps the packing decision deterministic and independent of network latency.</w:t>
      </w:r>
    </w:p>
    <w:tbl>
      <w:tblPr>
        <w:tblW w:type="auto" w:w="0"/>
        <w:jc w:val="center"/>
        <w:tblLayout w:type="fixed"/>
        <w:tblLook w:firstColumn="1" w:firstRow="1" w:lastColumn="0" w:lastRow="0" w:noHBand="0" w:noVBand="1" w:val="04A0"/>
      </w:tblPr>
      <w:tblGrid>
        <w:gridCol w:w="9432"/>
      </w:tblGrid>
      <w:tr>
        <w:tc>
          <w:tcPr>
            <w:tcW w:type="dxa" w:w="9936"/>
            <w:shd w:fill="F3F6FA"/>
            <w:tcMar>
              <w:top w:w="120" w:type="dxa"/>
              <w:start w:w="180" w:type="dxa"/>
              <w:bottom w:w="120" w:type="dxa"/>
              <w:end w:w="180" w:type="dxa"/>
            </w:tcMar>
          </w:tcPr>
          <w:p>
            <w:pPr>
              <w:spacing w:after="0"/>
            </w:pPr>
            <w:r>
              <w:rPr>
                <w:rFonts w:ascii="Courier New" w:hAnsi="Courier New"/>
                <w:color w:val="1F2937"/>
                <w:sz w:val="19"/>
              </w:rPr>
              <w:t>PackingSession</w:t>
              <w:br/>
              <w:t>{</w:t>
              <w:br/>
              <w:t xml:space="preserve">  parentSscc: "952012345678912345",</w:t>
              <w:br/>
              <w:t xml:space="preserve">  expectedChildGtin: "09520123456856",</w:t>
              <w:br/>
              <w:t xml:space="preserve">  expectedLot: "B260813",</w:t>
              <w:br/>
              <w:t xml:space="preserve">  expectedQty: 10,</w:t>
              <w:br/>
              <w:t xml:space="preserve">  acceptedQty: 3,</w:t>
              <w:br/>
              <w:t xml:space="preserve">  status: "OPEN"</w:t>
              <w:br/>
              <w:t>}</w:t>
              <w:br/>
              <w:br/>
              <w:t>PackedChild</w:t>
              <w:br/>
              <w:t>{</w:t>
              <w:br/>
              <w:t xml:space="preserve">  parentSscc: "952012345678912345",</w:t>
              <w:br/>
              <w:t xml:space="preserve">  childGtin: "09520123456788",</w:t>
              <w:br/>
              <w:t xml:space="preserve">  childSerial: "C00001234",</w:t>
              <w:br/>
              <w:t xml:space="preserve">  lot: "B260813",</w:t>
              <w:br/>
              <w:t xml:space="preserve">  scannedAt: "2026-08-13T13:20:00+05:30",</w:t>
              <w:br/>
              <w:t xml:space="preserve">  syncStatus: "PENDING"</w:t>
              <w:br/>
              <w:t>}</w:t>
            </w:r>
          </w:p>
        </w:tc>
      </w:tr>
    </w:tbl>
    <w:p>
      <w:pPr>
        <w:pStyle w:val="Heading2"/>
      </w:pPr>
      <w:r>
        <w:t>6.1 Recommended uniqueness constraints</w:t>
      </w:r>
    </w:p>
    <w:p>
      <w:pPr>
        <w:pStyle w:val="ListBullet"/>
      </w:pPr>
      <w:r>
        <w:t>SSCC must be unique for each logistic unit.</w:t>
      </w:r>
    </w:p>
    <w:p>
      <w:pPr>
        <w:pStyle w:val="ListBullet"/>
      </w:pPr>
      <w:r>
        <w:t>For serialized children, enforce uniqueness on (GTIN, serial) globally or within the appropriate traceability domain.</w:t>
      </w:r>
    </w:p>
    <w:p>
      <w:pPr>
        <w:pStyle w:val="ListBullet"/>
      </w:pPr>
      <w:r>
        <w:t>Prevent the same serialized child from being assigned to two open/closed parents.</w:t>
      </w:r>
    </w:p>
    <w:p>
      <w:pPr>
        <w:pStyle w:val="ListBullet"/>
      </w:pPr>
      <w:r>
        <w:t>Store an immutable scan/audit record for rejected scans as well as accepted scans if compliance or root-cause analysis is important.</w:t>
      </w:r>
    </w:p>
    <w:p>
      <w:pPr>
        <w:pStyle w:val="ListBullet"/>
      </w:pPr>
      <w:r>
        <w:t>Use an idempotency key for each completed aggregation transaction sent to the backend so retries do not create duplicate relationships.</w:t>
      </w:r>
    </w:p>
    <w:p>
      <w:pPr>
        <w:pStyle w:val="Heading1"/>
      </w:pPr>
      <w:r>
        <w:t>7. Local validation matrix</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12"/>
        <w:gridCol w:w="3312"/>
        <w:gridCol w:w="3312"/>
      </w:tblGrid>
      <w:tr>
        <w:trPr>
          <w:tblHeader w:val="true"/>
        </w:trPr>
        <w:tc>
          <w:tcPr>
            <w:tcW w:type="dxa" w:w="1944"/>
            <w:shd w:fill="1F4E78"/>
            <w:tcMar>
              <w:top w:w="120" w:type="dxa"/>
              <w:start w:w="140" w:type="dxa"/>
              <w:bottom w:w="120" w:type="dxa"/>
              <w:end w:w="140" w:type="dxa"/>
            </w:tcMar>
            <w:vAlign w:val="center"/>
          </w:tcPr>
          <w:p>
            <w:pPr>
              <w:jc w:val="center"/>
            </w:pPr>
            <w:r>
              <w:rPr>
                <w:b/>
                <w:color w:val="FFFFFF"/>
                <w:sz w:val="19"/>
              </w:rPr>
              <w:t>Check</w:t>
            </w:r>
          </w:p>
        </w:tc>
        <w:tc>
          <w:tcPr>
            <w:tcW w:type="dxa" w:w="4392"/>
            <w:shd w:fill="1F4E78"/>
            <w:tcMar>
              <w:top w:w="120" w:type="dxa"/>
              <w:start w:w="140" w:type="dxa"/>
              <w:bottom w:w="120" w:type="dxa"/>
              <w:end w:w="140" w:type="dxa"/>
            </w:tcMar>
            <w:vAlign w:val="center"/>
          </w:tcPr>
          <w:p>
            <w:pPr>
              <w:jc w:val="center"/>
            </w:pPr>
            <w:r>
              <w:rPr>
                <w:b/>
                <w:color w:val="FFFFFF"/>
                <w:sz w:val="19"/>
              </w:rPr>
              <w:t>Accept condition</w:t>
            </w:r>
          </w:p>
        </w:tc>
        <w:tc>
          <w:tcPr>
            <w:tcW w:type="dxa" w:w="3096"/>
            <w:shd w:fill="1F4E78"/>
            <w:tcMar>
              <w:top w:w="120" w:type="dxa"/>
              <w:start w:w="140" w:type="dxa"/>
              <w:bottom w:w="120" w:type="dxa"/>
              <w:end w:w="140" w:type="dxa"/>
            </w:tcMar>
            <w:vAlign w:val="center"/>
          </w:tcPr>
          <w:p>
            <w:pPr>
              <w:jc w:val="center"/>
            </w:pPr>
            <w:r>
              <w:rPr>
                <w:b/>
                <w:color w:val="FFFFFF"/>
                <w:sz w:val="19"/>
              </w:rPr>
              <w:t>Operator response on failure</w:t>
            </w:r>
          </w:p>
        </w:tc>
      </w:tr>
      <w:tr>
        <w:tc>
          <w:tcPr>
            <w:tcW w:type="dxa" w:w="3312"/>
            <w:tcMar>
              <w:top w:w="120" w:type="dxa"/>
              <w:start w:w="140" w:type="dxa"/>
              <w:bottom w:w="120" w:type="dxa"/>
              <w:end w:w="140" w:type="dxa"/>
            </w:tcMar>
            <w:vAlign w:val="center"/>
          </w:tcPr>
          <w:p>
            <w:r>
              <w:rPr>
                <w:sz w:val="18"/>
              </w:rPr>
              <w:t>GTIN match</w:t>
            </w:r>
          </w:p>
        </w:tc>
        <w:tc>
          <w:tcPr>
            <w:tcW w:type="dxa" w:w="3312"/>
            <w:tcMar>
              <w:top w:w="120" w:type="dxa"/>
              <w:start w:w="140" w:type="dxa"/>
              <w:bottom w:w="120" w:type="dxa"/>
              <w:end w:w="140" w:type="dxa"/>
            </w:tcMar>
            <w:vAlign w:val="center"/>
          </w:tcPr>
          <w:p>
            <w:r>
              <w:rPr>
                <w:sz w:val="18"/>
              </w:rPr>
              <w:t>Scanned child GTIN equals active master expected GTIN</w:t>
            </w:r>
          </w:p>
        </w:tc>
        <w:tc>
          <w:tcPr>
            <w:tcW w:type="dxa" w:w="3312"/>
            <w:tcMar>
              <w:top w:w="120" w:type="dxa"/>
              <w:start w:w="140" w:type="dxa"/>
              <w:bottom w:w="120" w:type="dxa"/>
              <w:end w:w="140" w:type="dxa"/>
            </w:tcMar>
            <w:vAlign w:val="center"/>
          </w:tcPr>
          <w:p>
            <w:r>
              <w:rPr>
                <w:sz w:val="18"/>
              </w:rPr>
              <w:t>Red screen + strong vibration/buzzer: WRONG SKU</w:t>
            </w:r>
          </w:p>
        </w:tc>
      </w:tr>
      <w:tr>
        <w:tc>
          <w:tcPr>
            <w:tcW w:type="dxa" w:w="3312"/>
            <w:tcMar>
              <w:top w:w="120" w:type="dxa"/>
              <w:start w:w="140" w:type="dxa"/>
              <w:bottom w:w="120" w:type="dxa"/>
              <w:end w:w="140" w:type="dxa"/>
            </w:tcMar>
            <w:vAlign w:val="center"/>
          </w:tcPr>
          <w:p>
            <w:r>
              <w:rPr>
                <w:sz w:val="18"/>
              </w:rPr>
              <w:t>Lot match</w:t>
            </w:r>
          </w:p>
        </w:tc>
        <w:tc>
          <w:tcPr>
            <w:tcW w:type="dxa" w:w="3312"/>
            <w:tcMar>
              <w:top w:w="120" w:type="dxa"/>
              <w:start w:w="140" w:type="dxa"/>
              <w:bottom w:w="120" w:type="dxa"/>
              <w:end w:w="140" w:type="dxa"/>
            </w:tcMar>
            <w:vAlign w:val="center"/>
          </w:tcPr>
          <w:p>
            <w:r>
              <w:rPr>
                <w:sz w:val="18"/>
              </w:rPr>
              <w:t>If lot-controlled, scanned lot equals active master lot</w:t>
            </w:r>
          </w:p>
        </w:tc>
        <w:tc>
          <w:tcPr>
            <w:tcW w:type="dxa" w:w="3312"/>
            <w:tcMar>
              <w:top w:w="120" w:type="dxa"/>
              <w:start w:w="140" w:type="dxa"/>
              <w:bottom w:w="120" w:type="dxa"/>
              <w:end w:w="140" w:type="dxa"/>
            </w:tcMar>
            <w:vAlign w:val="center"/>
          </w:tcPr>
          <w:p>
            <w:r>
              <w:rPr>
                <w:sz w:val="18"/>
              </w:rPr>
              <w:t>Red screen: WRONG LOT</w:t>
            </w:r>
          </w:p>
        </w:tc>
      </w:tr>
      <w:tr>
        <w:tc>
          <w:tcPr>
            <w:tcW w:type="dxa" w:w="3312"/>
            <w:tcMar>
              <w:top w:w="120" w:type="dxa"/>
              <w:start w:w="140" w:type="dxa"/>
              <w:bottom w:w="120" w:type="dxa"/>
              <w:end w:w="140" w:type="dxa"/>
            </w:tcMar>
            <w:vAlign w:val="center"/>
          </w:tcPr>
          <w:p>
            <w:r>
              <w:rPr>
                <w:sz w:val="18"/>
              </w:rPr>
              <w:t>Serial uniqueness</w:t>
            </w:r>
          </w:p>
        </w:tc>
        <w:tc>
          <w:tcPr>
            <w:tcW w:type="dxa" w:w="3312"/>
            <w:tcMar>
              <w:top w:w="120" w:type="dxa"/>
              <w:start w:w="140" w:type="dxa"/>
              <w:bottom w:w="120" w:type="dxa"/>
              <w:end w:w="140" w:type="dxa"/>
            </w:tcMar>
            <w:vAlign w:val="center"/>
          </w:tcPr>
          <w:p>
            <w:r>
              <w:rPr>
                <w:sz w:val="18"/>
              </w:rPr>
              <w:t>Serialized identity not already packed</w:t>
            </w:r>
          </w:p>
        </w:tc>
        <w:tc>
          <w:tcPr>
            <w:tcW w:type="dxa" w:w="3312"/>
            <w:tcMar>
              <w:top w:w="120" w:type="dxa"/>
              <w:start w:w="140" w:type="dxa"/>
              <w:bottom w:w="120" w:type="dxa"/>
              <w:end w:w="140" w:type="dxa"/>
            </w:tcMar>
            <w:vAlign w:val="center"/>
          </w:tcPr>
          <w:p>
            <w:r>
              <w:rPr>
                <w:sz w:val="18"/>
              </w:rPr>
              <w:t>Red screen: DUPLICATE SERIAL</w:t>
            </w:r>
          </w:p>
        </w:tc>
      </w:tr>
      <w:tr>
        <w:tc>
          <w:tcPr>
            <w:tcW w:type="dxa" w:w="3312"/>
            <w:tcMar>
              <w:top w:w="120" w:type="dxa"/>
              <w:start w:w="140" w:type="dxa"/>
              <w:bottom w:w="120" w:type="dxa"/>
              <w:end w:w="140" w:type="dxa"/>
            </w:tcMar>
            <w:vAlign w:val="center"/>
          </w:tcPr>
          <w:p>
            <w:r>
              <w:rPr>
                <w:sz w:val="18"/>
              </w:rPr>
              <w:t>Quantity</w:t>
            </w:r>
          </w:p>
        </w:tc>
        <w:tc>
          <w:tcPr>
            <w:tcW w:type="dxa" w:w="3312"/>
            <w:tcMar>
              <w:top w:w="120" w:type="dxa"/>
              <w:start w:w="140" w:type="dxa"/>
              <w:bottom w:w="120" w:type="dxa"/>
              <w:end w:w="140" w:type="dxa"/>
            </w:tcMar>
            <w:vAlign w:val="center"/>
          </w:tcPr>
          <w:p>
            <w:r>
              <w:rPr>
                <w:sz w:val="18"/>
              </w:rPr>
              <w:t>Accepted quantity is below expected quantity</w:t>
            </w:r>
          </w:p>
        </w:tc>
        <w:tc>
          <w:tcPr>
            <w:tcW w:type="dxa" w:w="3312"/>
            <w:tcMar>
              <w:top w:w="120" w:type="dxa"/>
              <w:start w:w="140" w:type="dxa"/>
              <w:bottom w:w="120" w:type="dxa"/>
              <w:end w:w="140" w:type="dxa"/>
            </w:tcMar>
            <w:vAlign w:val="center"/>
          </w:tcPr>
          <w:p>
            <w:r>
              <w:rPr>
                <w:sz w:val="18"/>
              </w:rPr>
              <w:t>Red screen: MASTER ALREADY FULL</w:t>
            </w:r>
          </w:p>
        </w:tc>
      </w:tr>
      <w:tr>
        <w:tc>
          <w:tcPr>
            <w:tcW w:type="dxa" w:w="3312"/>
            <w:tcMar>
              <w:top w:w="120" w:type="dxa"/>
              <w:start w:w="140" w:type="dxa"/>
              <w:bottom w:w="120" w:type="dxa"/>
              <w:end w:w="140" w:type="dxa"/>
            </w:tcMar>
            <w:vAlign w:val="center"/>
          </w:tcPr>
          <w:p>
            <w:r>
              <w:rPr>
                <w:sz w:val="18"/>
              </w:rPr>
              <w:t>Parent status</w:t>
            </w:r>
          </w:p>
        </w:tc>
        <w:tc>
          <w:tcPr>
            <w:tcW w:type="dxa" w:w="3312"/>
            <w:tcMar>
              <w:top w:w="120" w:type="dxa"/>
              <w:start w:w="140" w:type="dxa"/>
              <w:bottom w:w="120" w:type="dxa"/>
              <w:end w:w="140" w:type="dxa"/>
            </w:tcMar>
            <w:vAlign w:val="center"/>
          </w:tcPr>
          <w:p>
            <w:r>
              <w:rPr>
                <w:sz w:val="18"/>
              </w:rPr>
              <w:t>PackingSession status is OPEN</w:t>
            </w:r>
          </w:p>
        </w:tc>
        <w:tc>
          <w:tcPr>
            <w:tcW w:type="dxa" w:w="3312"/>
            <w:tcMar>
              <w:top w:w="120" w:type="dxa"/>
              <w:start w:w="140" w:type="dxa"/>
              <w:bottom w:w="120" w:type="dxa"/>
              <w:end w:w="140" w:type="dxa"/>
            </w:tcMar>
            <w:vAlign w:val="center"/>
          </w:tcPr>
          <w:p>
            <w:r>
              <w:rPr>
                <w:sz w:val="18"/>
              </w:rPr>
              <w:t>Red screen: MASTER CLOSED</w:t>
            </w:r>
          </w:p>
        </w:tc>
      </w:tr>
      <w:tr>
        <w:tc>
          <w:tcPr>
            <w:tcW w:type="dxa" w:w="3312"/>
            <w:tcMar>
              <w:top w:w="120" w:type="dxa"/>
              <w:start w:w="140" w:type="dxa"/>
              <w:bottom w:w="120" w:type="dxa"/>
              <w:end w:w="140" w:type="dxa"/>
            </w:tcMar>
            <w:vAlign w:val="center"/>
          </w:tcPr>
          <w:p>
            <w:r>
              <w:rPr>
                <w:sz w:val="18"/>
              </w:rPr>
              <w:t>Reassignment</w:t>
            </w:r>
          </w:p>
        </w:tc>
        <w:tc>
          <w:tcPr>
            <w:tcW w:type="dxa" w:w="3312"/>
            <w:tcMar>
              <w:top w:w="120" w:type="dxa"/>
              <w:start w:w="140" w:type="dxa"/>
              <w:bottom w:w="120" w:type="dxa"/>
              <w:end w:w="140" w:type="dxa"/>
            </w:tcMar>
            <w:vAlign w:val="center"/>
          </w:tcPr>
          <w:p>
            <w:r>
              <w:rPr>
                <w:sz w:val="18"/>
              </w:rPr>
              <w:t>Child is not already linked to another parent</w:t>
            </w:r>
          </w:p>
        </w:tc>
        <w:tc>
          <w:tcPr>
            <w:tcW w:type="dxa" w:w="3312"/>
            <w:tcMar>
              <w:top w:w="120" w:type="dxa"/>
              <w:start w:w="140" w:type="dxa"/>
              <w:bottom w:w="120" w:type="dxa"/>
              <w:end w:w="140" w:type="dxa"/>
            </w:tcMar>
            <w:vAlign w:val="center"/>
          </w:tcPr>
          <w:p>
            <w:r>
              <w:rPr>
                <w:sz w:val="18"/>
              </w:rPr>
              <w:t>Red screen: ALREADY PACKED</w:t>
            </w:r>
          </w:p>
        </w:tc>
      </w:tr>
    </w:tbl>
    <w:p>
      <w:pPr>
        <w:pStyle w:val="Heading1"/>
      </w:pPr>
      <w:r>
        <w:t>8. Parent-child aggregation patterns</w:t>
      </w:r>
    </w:p>
    <w:p>
      <w:pPr>
        <w:pStyle w:val="Heading2"/>
      </w:pPr>
      <w:r>
        <w:t>8.1 Homogeneous master without child serialization</w:t>
      </w:r>
    </w:p>
    <w:p>
      <w:r>
        <w:t>If the only requirement is to stop mixed SKUs, the master can carry SSCC + contained GTIN + count. The app does not need the identity of every individual child; it only verifies that every scan has the expected GTIN. This is the simplest and fastest factory implementation.</w:t>
      </w:r>
    </w:p>
    <w:tbl>
      <w:tblPr>
        <w:tblW w:type="auto" w:w="0"/>
        <w:jc w:val="center"/>
        <w:tblLayout w:type="fixed"/>
        <w:tblLook w:firstColumn="1" w:firstRow="1" w:lastColumn="0" w:lastRow="0" w:noHBand="0" w:noVBand="1" w:val="04A0"/>
      </w:tblPr>
      <w:tblGrid>
        <w:gridCol w:w="9432"/>
      </w:tblGrid>
      <w:tr>
        <w:tc>
          <w:tcPr>
            <w:tcW w:type="dxa" w:w="9936"/>
            <w:shd w:fill="F3F6FA"/>
            <w:tcMar>
              <w:top w:w="120" w:type="dxa"/>
              <w:start w:w="180" w:type="dxa"/>
              <w:bottom w:w="120" w:type="dxa"/>
              <w:end w:w="180" w:type="dxa"/>
            </w:tcMar>
          </w:tcPr>
          <w:p>
            <w:pPr>
              <w:spacing w:after="0"/>
            </w:pPr>
            <w:r>
              <w:rPr>
                <w:rFonts w:ascii="Courier New" w:hAnsi="Courier New"/>
                <w:color w:val="1F2937"/>
                <w:sz w:val="19"/>
              </w:rPr>
              <w:t>Parent 952012345678912345</w:t>
              <w:br/>
              <w:t xml:space="preserve">  expected content GTIN = 09520123456856</w:t>
              <w:br/>
              <w:t xml:space="preserve">  expected qty = 10</w:t>
              <w:br/>
              <w:t xml:space="preserve">  accepted scans = 10 matching items</w:t>
            </w:r>
          </w:p>
        </w:tc>
      </w:tr>
    </w:tbl>
    <w:p>
      <w:pPr>
        <w:pStyle w:val="Heading2"/>
      </w:pPr>
      <w:r>
        <w:t>8.2 Serialized child aggregation</w:t>
      </w:r>
    </w:p>
    <w:p>
      <w:r>
        <w:t>If you need exact genealogy or recall traceability, serialize the children. The application then creates the relationship itself during packing; that relationship does not need to be encoded in the parent QR.</w:t>
      </w:r>
    </w:p>
    <w:tbl>
      <w:tblPr>
        <w:tblW w:type="auto" w:w="0"/>
        <w:jc w:val="center"/>
        <w:tblLayout w:type="fixed"/>
        <w:tblLook w:firstColumn="1" w:firstRow="1" w:lastColumn="0" w:lastRow="0" w:noHBand="0" w:noVBand="1" w:val="04A0"/>
      </w:tblPr>
      <w:tblGrid>
        <w:gridCol w:w="9432"/>
      </w:tblGrid>
      <w:tr>
        <w:tc>
          <w:tcPr>
            <w:tcW w:type="dxa" w:w="9936"/>
            <w:shd w:fill="F3F6FA"/>
            <w:tcMar>
              <w:top w:w="120" w:type="dxa"/>
              <w:start w:w="180" w:type="dxa"/>
              <w:bottom w:w="120" w:type="dxa"/>
              <w:end w:w="180" w:type="dxa"/>
            </w:tcMar>
          </w:tcPr>
          <w:p>
            <w:pPr>
              <w:spacing w:after="0"/>
            </w:pPr>
            <w:r>
              <w:rPr>
                <w:rFonts w:ascii="Courier New" w:hAnsi="Courier New"/>
                <w:color w:val="1F2937"/>
                <w:sz w:val="19"/>
              </w:rPr>
              <w:t>Parent SSCC 952012345678912345</w:t>
              <w:br/>
              <w:t xml:space="preserve">  -&gt; (01)09520123456788(21)C00001234</w:t>
              <w:br/>
              <w:t xml:space="preserve">  -&gt; (01)09520123456788(21)C00001235</w:t>
              <w:br/>
              <w:t xml:space="preserve">  -&gt; (01)09520123456788(21)C00001236</w:t>
              <w:br/>
              <w:t xml:space="preserve">  ...</w:t>
              <w:br/>
              <w:t xml:space="preserve">  -&gt; quantity complete</w:t>
            </w:r>
          </w:p>
        </w:tc>
      </w:tr>
    </w:tbl>
    <w:p>
      <w:pPr>
        <w:pStyle w:val="Heading2"/>
      </w:pPr>
      <w:r>
        <w:t>8.3 Multi-level aggregation</w:t>
      </w:r>
    </w:p>
    <w:p>
      <w:r>
        <w:t>For piece -&gt; inner -&gt; master -&gt; pallet, apply the same relationship recursively. Each level can be validated locally and synchronized later.</w:t>
      </w:r>
    </w:p>
    <w:tbl>
      <w:tblPr>
        <w:tblW w:type="auto" w:w="0"/>
        <w:jc w:val="center"/>
        <w:tblLayout w:type="fixed"/>
        <w:tblLook w:firstColumn="1" w:firstRow="1" w:lastColumn="0" w:lastRow="0" w:noHBand="0" w:noVBand="1" w:val="04A0"/>
      </w:tblPr>
      <w:tblGrid>
        <w:gridCol w:w="9432"/>
      </w:tblGrid>
      <w:tr>
        <w:tc>
          <w:tcPr>
            <w:tcW w:type="dxa" w:w="9936"/>
            <w:shd w:fill="F3F6FA"/>
            <w:tcMar>
              <w:top w:w="120" w:type="dxa"/>
              <w:start w:w="180" w:type="dxa"/>
              <w:bottom w:w="120" w:type="dxa"/>
              <w:end w:w="180" w:type="dxa"/>
            </w:tcMar>
          </w:tcPr>
          <w:p>
            <w:pPr>
              <w:spacing w:after="0"/>
            </w:pPr>
            <w:r>
              <w:rPr>
                <w:rFonts w:ascii="Courier New" w:hAnsi="Courier New"/>
                <w:color w:val="1F2937"/>
                <w:sz w:val="19"/>
              </w:rPr>
              <w:t>Pallet SSCC 952012345678912352</w:t>
              <w:br/>
              <w:t xml:space="preserve">  -&gt; Master SSCC 952012345678912345</w:t>
              <w:br/>
              <w:t xml:space="preserve">       -&gt; Inner / child serialized identities</w:t>
              <w:br/>
              <w:t xml:space="preserve">            -&gt; Piece serialized identities (if required)</w:t>
            </w:r>
          </w:p>
        </w:tc>
      </w:tr>
    </w:tbl>
    <w:p>
      <w:pPr>
        <w:pStyle w:val="Heading1"/>
      </w:pPr>
      <w:r>
        <w:t>9. How to stay independent from the backend during packing</w:t>
      </w:r>
    </w:p>
    <w:p>
      <w:r>
        <w:t>The design should distinguish between data required to make an immediate packing decision and data useful for enterprise reporting. Put the minimum decision-critical data into the scanned identifier or into a locally preloaded configuration. Avoid calling the backend to resolve every SKU scan.</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12"/>
        <w:gridCol w:w="3312"/>
        <w:gridCol w:w="3312"/>
      </w:tblGrid>
      <w:tr>
        <w:trPr>
          <w:tblHeader w:val="true"/>
        </w:trPr>
        <w:tc>
          <w:tcPr>
            <w:tcW w:type="dxa" w:w="2880"/>
            <w:shd w:fill="1F4E78"/>
            <w:tcMar>
              <w:top w:w="120" w:type="dxa"/>
              <w:start w:w="140" w:type="dxa"/>
              <w:bottom w:w="120" w:type="dxa"/>
              <w:end w:w="140" w:type="dxa"/>
            </w:tcMar>
            <w:vAlign w:val="center"/>
          </w:tcPr>
          <w:p>
            <w:pPr>
              <w:jc w:val="center"/>
            </w:pPr>
            <w:r>
              <w:rPr>
                <w:b/>
                <w:color w:val="FFFFFF"/>
                <w:sz w:val="19"/>
              </w:rPr>
              <w:t>Data</w:t>
            </w:r>
          </w:p>
        </w:tc>
        <w:tc>
          <w:tcPr>
            <w:tcW w:type="dxa" w:w="2952"/>
            <w:shd w:fill="1F4E78"/>
            <w:tcMar>
              <w:top w:w="120" w:type="dxa"/>
              <w:start w:w="140" w:type="dxa"/>
              <w:bottom w:w="120" w:type="dxa"/>
              <w:end w:w="140" w:type="dxa"/>
            </w:tcMar>
            <w:vAlign w:val="center"/>
          </w:tcPr>
          <w:p>
            <w:pPr>
              <w:jc w:val="center"/>
            </w:pPr>
            <w:r>
              <w:rPr>
                <w:b/>
                <w:color w:val="FFFFFF"/>
                <w:sz w:val="19"/>
              </w:rPr>
              <w:t>Keep in QR / local session?</w:t>
            </w:r>
          </w:p>
        </w:tc>
        <w:tc>
          <w:tcPr>
            <w:tcW w:type="dxa" w:w="3600"/>
            <w:shd w:fill="1F4E78"/>
            <w:tcMar>
              <w:top w:w="120" w:type="dxa"/>
              <w:start w:w="140" w:type="dxa"/>
              <w:bottom w:w="120" w:type="dxa"/>
              <w:end w:w="140" w:type="dxa"/>
            </w:tcMar>
            <w:vAlign w:val="center"/>
          </w:tcPr>
          <w:p>
            <w:pPr>
              <w:jc w:val="center"/>
            </w:pPr>
            <w:r>
              <w:rPr>
                <w:b/>
                <w:color w:val="FFFFFF"/>
                <w:sz w:val="19"/>
              </w:rPr>
              <w:t>Backend role</w:t>
            </w:r>
          </w:p>
        </w:tc>
      </w:tr>
      <w:tr>
        <w:tc>
          <w:tcPr>
            <w:tcW w:type="dxa" w:w="3312"/>
            <w:tcMar>
              <w:top w:w="120" w:type="dxa"/>
              <w:start w:w="140" w:type="dxa"/>
              <w:bottom w:w="120" w:type="dxa"/>
              <w:end w:w="140" w:type="dxa"/>
            </w:tcMar>
            <w:vAlign w:val="center"/>
          </w:tcPr>
          <w:p>
            <w:r>
              <w:rPr>
                <w:sz w:val="18"/>
              </w:rPr>
              <w:t>Product identity (GTIN)</w:t>
            </w:r>
          </w:p>
        </w:tc>
        <w:tc>
          <w:tcPr>
            <w:tcW w:type="dxa" w:w="3312"/>
            <w:tcMar>
              <w:top w:w="120" w:type="dxa"/>
              <w:start w:w="140" w:type="dxa"/>
              <w:bottom w:w="120" w:type="dxa"/>
              <w:end w:w="140" w:type="dxa"/>
            </w:tcMar>
            <w:vAlign w:val="center"/>
          </w:tcPr>
          <w:p>
            <w:pPr>
              <w:jc w:val="center"/>
            </w:pPr>
            <w:r>
              <w:rPr>
                <w:sz w:val="18"/>
              </w:rPr>
              <w:t>Yes</w:t>
            </w:r>
          </w:p>
        </w:tc>
        <w:tc>
          <w:tcPr>
            <w:tcW w:type="dxa" w:w="3312"/>
            <w:tcMar>
              <w:top w:w="120" w:type="dxa"/>
              <w:start w:w="140" w:type="dxa"/>
              <w:bottom w:w="120" w:type="dxa"/>
              <w:end w:w="140" w:type="dxa"/>
            </w:tcMar>
            <w:vAlign w:val="center"/>
          </w:tcPr>
          <w:p>
            <w:r>
              <w:rPr>
                <w:sz w:val="18"/>
              </w:rPr>
              <w:t>Master-data enrichment, descriptions, images</w:t>
            </w:r>
          </w:p>
        </w:tc>
      </w:tr>
      <w:tr>
        <w:tc>
          <w:tcPr>
            <w:tcW w:type="dxa" w:w="3312"/>
            <w:tcMar>
              <w:top w:w="120" w:type="dxa"/>
              <w:start w:w="140" w:type="dxa"/>
              <w:bottom w:w="120" w:type="dxa"/>
              <w:end w:w="140" w:type="dxa"/>
            </w:tcMar>
            <w:vAlign w:val="center"/>
          </w:tcPr>
          <w:p>
            <w:r>
              <w:rPr>
                <w:sz w:val="18"/>
              </w:rPr>
              <w:t>Internal SKU (AI 240)</w:t>
            </w:r>
          </w:p>
        </w:tc>
        <w:tc>
          <w:tcPr>
            <w:tcW w:type="dxa" w:w="3312"/>
            <w:tcMar>
              <w:top w:w="120" w:type="dxa"/>
              <w:start w:w="140" w:type="dxa"/>
              <w:bottom w:w="120" w:type="dxa"/>
              <w:end w:w="140" w:type="dxa"/>
            </w:tcMar>
            <w:vAlign w:val="center"/>
          </w:tcPr>
          <w:p>
            <w:pPr>
              <w:jc w:val="center"/>
            </w:pPr>
            <w:r>
              <w:rPr>
                <w:sz w:val="18"/>
              </w:rPr>
              <w:t>Optional</w:t>
            </w:r>
          </w:p>
        </w:tc>
        <w:tc>
          <w:tcPr>
            <w:tcW w:type="dxa" w:w="3312"/>
            <w:tcMar>
              <w:top w:w="120" w:type="dxa"/>
              <w:start w:w="140" w:type="dxa"/>
              <w:bottom w:w="120" w:type="dxa"/>
              <w:end w:w="140" w:type="dxa"/>
            </w:tcMar>
            <w:vAlign w:val="center"/>
          </w:tcPr>
          <w:p>
            <w:r>
              <w:rPr>
                <w:sz w:val="18"/>
              </w:rPr>
              <w:t>Cross-reference / ERP mapping</w:t>
            </w:r>
          </w:p>
        </w:tc>
      </w:tr>
      <w:tr>
        <w:tc>
          <w:tcPr>
            <w:tcW w:type="dxa" w:w="3312"/>
            <w:tcMar>
              <w:top w:w="120" w:type="dxa"/>
              <w:start w:w="140" w:type="dxa"/>
              <w:bottom w:w="120" w:type="dxa"/>
              <w:end w:w="140" w:type="dxa"/>
            </w:tcMar>
            <w:vAlign w:val="center"/>
          </w:tcPr>
          <w:p>
            <w:r>
              <w:rPr>
                <w:sz w:val="18"/>
              </w:rPr>
              <w:t>Expected child GTIN</w:t>
            </w:r>
          </w:p>
        </w:tc>
        <w:tc>
          <w:tcPr>
            <w:tcW w:type="dxa" w:w="3312"/>
            <w:tcMar>
              <w:top w:w="120" w:type="dxa"/>
              <w:start w:w="140" w:type="dxa"/>
              <w:bottom w:w="120" w:type="dxa"/>
              <w:end w:w="140" w:type="dxa"/>
            </w:tcMar>
            <w:vAlign w:val="center"/>
          </w:tcPr>
          <w:p>
            <w:r>
              <w:rPr>
                <w:sz w:val="18"/>
              </w:rPr>
              <w:t>Yes on homogeneous master, e.g. AI 02</w:t>
            </w:r>
          </w:p>
        </w:tc>
        <w:tc>
          <w:tcPr>
            <w:tcW w:type="dxa" w:w="3312"/>
            <w:tcMar>
              <w:top w:w="120" w:type="dxa"/>
              <w:start w:w="140" w:type="dxa"/>
              <w:bottom w:w="120" w:type="dxa"/>
              <w:end w:w="140" w:type="dxa"/>
            </w:tcMar>
            <w:vAlign w:val="center"/>
          </w:tcPr>
          <w:p>
            <w:r>
              <w:rPr>
                <w:sz w:val="18"/>
              </w:rPr>
              <w:t>Audit and master-data checks</w:t>
            </w:r>
          </w:p>
        </w:tc>
      </w:tr>
      <w:tr>
        <w:tc>
          <w:tcPr>
            <w:tcW w:type="dxa" w:w="3312"/>
            <w:tcMar>
              <w:top w:w="120" w:type="dxa"/>
              <w:start w:w="140" w:type="dxa"/>
              <w:bottom w:w="120" w:type="dxa"/>
              <w:end w:w="140" w:type="dxa"/>
            </w:tcMar>
            <w:vAlign w:val="center"/>
          </w:tcPr>
          <w:p>
            <w:r>
              <w:rPr>
                <w:sz w:val="18"/>
              </w:rPr>
              <w:t>Expected quantity</w:t>
            </w:r>
          </w:p>
        </w:tc>
        <w:tc>
          <w:tcPr>
            <w:tcW w:type="dxa" w:w="3312"/>
            <w:tcMar>
              <w:top w:w="120" w:type="dxa"/>
              <w:start w:w="140" w:type="dxa"/>
              <w:bottom w:w="120" w:type="dxa"/>
              <w:end w:w="140" w:type="dxa"/>
            </w:tcMar>
            <w:vAlign w:val="center"/>
          </w:tcPr>
          <w:p>
            <w:r>
              <w:rPr>
                <w:sz w:val="18"/>
              </w:rPr>
              <w:t>Yes, e.g. AI 37 where applicable</w:t>
            </w:r>
          </w:p>
        </w:tc>
        <w:tc>
          <w:tcPr>
            <w:tcW w:type="dxa" w:w="3312"/>
            <w:tcMar>
              <w:top w:w="120" w:type="dxa"/>
              <w:start w:w="140" w:type="dxa"/>
              <w:bottom w:w="120" w:type="dxa"/>
              <w:end w:w="140" w:type="dxa"/>
            </w:tcMar>
            <w:vAlign w:val="center"/>
          </w:tcPr>
          <w:p>
            <w:r>
              <w:rPr>
                <w:sz w:val="18"/>
              </w:rPr>
              <w:t>Order / production reconciliation</w:t>
            </w:r>
          </w:p>
        </w:tc>
      </w:tr>
      <w:tr>
        <w:tc>
          <w:tcPr>
            <w:tcW w:type="dxa" w:w="3312"/>
            <w:tcMar>
              <w:top w:w="120" w:type="dxa"/>
              <w:start w:w="140" w:type="dxa"/>
              <w:bottom w:w="120" w:type="dxa"/>
              <w:end w:w="140" w:type="dxa"/>
            </w:tcMar>
            <w:vAlign w:val="center"/>
          </w:tcPr>
          <w:p>
            <w:r>
              <w:rPr>
                <w:sz w:val="18"/>
              </w:rPr>
              <w:t>Lot</w:t>
            </w:r>
          </w:p>
        </w:tc>
        <w:tc>
          <w:tcPr>
            <w:tcW w:type="dxa" w:w="3312"/>
            <w:tcMar>
              <w:top w:w="120" w:type="dxa"/>
              <w:start w:w="140" w:type="dxa"/>
              <w:bottom w:w="120" w:type="dxa"/>
              <w:end w:w="140" w:type="dxa"/>
            </w:tcMar>
            <w:vAlign w:val="center"/>
          </w:tcPr>
          <w:p>
            <w:r>
              <w:rPr>
                <w:sz w:val="18"/>
              </w:rPr>
              <w:t>Yes when needed for validation</w:t>
            </w:r>
          </w:p>
        </w:tc>
        <w:tc>
          <w:tcPr>
            <w:tcW w:type="dxa" w:w="3312"/>
            <w:tcMar>
              <w:top w:w="120" w:type="dxa"/>
              <w:start w:w="140" w:type="dxa"/>
              <w:bottom w:w="120" w:type="dxa"/>
              <w:end w:w="140" w:type="dxa"/>
            </w:tcMar>
            <w:vAlign w:val="center"/>
          </w:tcPr>
          <w:p>
            <w:r>
              <w:rPr>
                <w:sz w:val="18"/>
              </w:rPr>
              <w:t>Traceability and recall</w:t>
            </w:r>
          </w:p>
        </w:tc>
      </w:tr>
      <w:tr>
        <w:tc>
          <w:tcPr>
            <w:tcW w:type="dxa" w:w="3312"/>
            <w:tcMar>
              <w:top w:w="120" w:type="dxa"/>
              <w:start w:w="140" w:type="dxa"/>
              <w:bottom w:w="120" w:type="dxa"/>
              <w:end w:w="140" w:type="dxa"/>
            </w:tcMar>
            <w:vAlign w:val="center"/>
          </w:tcPr>
          <w:p>
            <w:r>
              <w:rPr>
                <w:sz w:val="18"/>
              </w:rPr>
              <w:t>Serial</w:t>
            </w:r>
          </w:p>
        </w:tc>
        <w:tc>
          <w:tcPr>
            <w:tcW w:type="dxa" w:w="3312"/>
            <w:tcMar>
              <w:top w:w="120" w:type="dxa"/>
              <w:start w:w="140" w:type="dxa"/>
              <w:bottom w:w="120" w:type="dxa"/>
              <w:end w:w="140" w:type="dxa"/>
            </w:tcMar>
            <w:vAlign w:val="center"/>
          </w:tcPr>
          <w:p>
            <w:r>
              <w:rPr>
                <w:sz w:val="18"/>
              </w:rPr>
              <w:t>Yes on serialized child</w:t>
            </w:r>
          </w:p>
        </w:tc>
        <w:tc>
          <w:tcPr>
            <w:tcW w:type="dxa" w:w="3312"/>
            <w:tcMar>
              <w:top w:w="120" w:type="dxa"/>
              <w:start w:w="140" w:type="dxa"/>
              <w:bottom w:w="120" w:type="dxa"/>
              <w:end w:w="140" w:type="dxa"/>
            </w:tcMar>
            <w:vAlign w:val="center"/>
          </w:tcPr>
          <w:p>
            <w:r>
              <w:rPr>
                <w:sz w:val="18"/>
              </w:rPr>
              <w:t>Long-term item history</w:t>
            </w:r>
          </w:p>
        </w:tc>
      </w:tr>
      <w:tr>
        <w:tc>
          <w:tcPr>
            <w:tcW w:type="dxa" w:w="3312"/>
            <w:tcMar>
              <w:top w:w="120" w:type="dxa"/>
              <w:start w:w="140" w:type="dxa"/>
              <w:bottom w:w="120" w:type="dxa"/>
              <w:end w:w="140" w:type="dxa"/>
            </w:tcMar>
            <w:vAlign w:val="center"/>
          </w:tcPr>
          <w:p>
            <w:r>
              <w:rPr>
                <w:sz w:val="18"/>
              </w:rPr>
              <w:t>Parent-child relationship</w:t>
            </w:r>
          </w:p>
        </w:tc>
        <w:tc>
          <w:tcPr>
            <w:tcW w:type="dxa" w:w="3312"/>
            <w:tcMar>
              <w:top w:w="120" w:type="dxa"/>
              <w:start w:w="140" w:type="dxa"/>
              <w:bottom w:w="120" w:type="dxa"/>
              <w:end w:w="140" w:type="dxa"/>
            </w:tcMar>
            <w:vAlign w:val="center"/>
          </w:tcPr>
          <w:p>
            <w:r>
              <w:rPr>
                <w:sz w:val="18"/>
              </w:rPr>
              <w:t>Create locally during scan</w:t>
            </w:r>
          </w:p>
        </w:tc>
        <w:tc>
          <w:tcPr>
            <w:tcW w:type="dxa" w:w="3312"/>
            <w:tcMar>
              <w:top w:w="120" w:type="dxa"/>
              <w:start w:w="140" w:type="dxa"/>
              <w:bottom w:w="120" w:type="dxa"/>
              <w:end w:w="140" w:type="dxa"/>
            </w:tcMar>
            <w:vAlign w:val="center"/>
          </w:tcPr>
          <w:p>
            <w:r>
              <w:rPr>
                <w:sz w:val="18"/>
              </w:rPr>
              <w:t>Persist, query, report, integrate</w:t>
            </w:r>
          </w:p>
        </w:tc>
      </w:tr>
    </w:tbl>
    <w:tbl>
      <w:tblPr>
        <w:tblW w:type="auto" w:w="0"/>
        <w:jc w:val="center"/>
        <w:tblLook w:firstColumn="1" w:firstRow="1" w:lastColumn="0" w:lastRow="0" w:noHBand="0" w:noVBand="1" w:val="04A0"/>
      </w:tblPr>
      <w:tblGrid>
        <w:gridCol w:w="9936"/>
      </w:tblGrid>
      <w:tr>
        <w:tc>
          <w:tcPr>
            <w:tcW w:type="dxa" w:w="9936"/>
            <w:shd w:fill="FFF4CE"/>
            <w:tcMar>
              <w:top w:w="160" w:type="dxa"/>
              <w:start w:w="190" w:type="dxa"/>
              <w:bottom w:w="160" w:type="dxa"/>
              <w:end w:w="190" w:type="dxa"/>
            </w:tcMar>
          </w:tcPr>
          <w:p>
            <w:pPr>
              <w:spacing w:after="0"/>
            </w:pPr>
            <w:r>
              <w:rPr>
                <w:b/>
                <w:sz w:val="22"/>
              </w:rPr>
              <w:t>Offline-app behavior</w:t>
              <w:br/>
            </w:r>
            <w:r>
              <w:rPr>
                <w:sz w:val="21"/>
              </w:rPr>
              <w:t>A normal phone camera may attempt to open an HTTPS URI in a browser. Your dedicated factory app should scan the symbol itself and parse the URI locally. It can optionally register/app-link your production domain, but the packing decision should not depend on successfully reaching that domain.</w:t>
            </w:r>
          </w:p>
        </w:tc>
      </w:tr>
    </w:tbl>
    <w:p>
      <w:pPr>
        <w:pStyle w:val="Heading1"/>
      </w:pPr>
      <w:r>
        <w:t>10. Reference validation logic</w:t>
      </w:r>
    </w:p>
    <w:tbl>
      <w:tblPr>
        <w:tblW w:type="auto" w:w="0"/>
        <w:jc w:val="center"/>
        <w:tblLayout w:type="fixed"/>
        <w:tblLook w:firstColumn="1" w:firstRow="1" w:lastColumn="0" w:lastRow="0" w:noHBand="0" w:noVBand="1" w:val="04A0"/>
      </w:tblPr>
      <w:tblGrid>
        <w:gridCol w:w="9432"/>
      </w:tblGrid>
      <w:tr>
        <w:tc>
          <w:tcPr>
            <w:tcW w:type="dxa" w:w="9936"/>
            <w:shd w:fill="F3F6FA"/>
            <w:tcMar>
              <w:top w:w="120" w:type="dxa"/>
              <w:start w:w="180" w:type="dxa"/>
              <w:bottom w:w="120" w:type="dxa"/>
              <w:end w:w="180" w:type="dxa"/>
            </w:tcMar>
          </w:tcPr>
          <w:p>
            <w:pPr>
              <w:spacing w:after="0"/>
            </w:pPr>
            <w:r>
              <w:rPr>
                <w:rFonts w:ascii="Courier New" w:hAnsi="Courier New"/>
                <w:color w:val="1F2937"/>
                <w:sz w:val="19"/>
              </w:rPr>
              <w:t>onMasterScan(data):</w:t>
              <w:br/>
              <w:t xml:space="preserve">  parsed = parseGS1(data)</w:t>
              <w:br/>
              <w:t xml:space="preserve">  require parsed["00"]                    // SSCC</w:t>
              <w:br/>
              <w:t xml:space="preserve">  require parsed["02"]                    // expected content GTIN for this use case</w:t>
              <w:br/>
              <w:t xml:space="preserve">  require parsed["37"]                    // expected count</w:t>
              <w:br/>
              <w:br/>
              <w:t xml:space="preserve">  session = {</w:t>
              <w:br/>
              <w:t xml:space="preserve">    parentSscc: parsed["00"],</w:t>
              <w:br/>
              <w:t xml:space="preserve">    expectedChildGtin: parsed["02"],</w:t>
              <w:br/>
              <w:t xml:space="preserve">    expectedLot: parsed.get("10"),</w:t>
              <w:br/>
              <w:t xml:space="preserve">    expectedQty: integer(parsed["37"]),</w:t>
              <w:br/>
              <w:t xml:space="preserve">    acceptedQty: 0,</w:t>
              <w:br/>
              <w:t xml:space="preserve">    status: "OPEN"</w:t>
              <w:br/>
              <w:t xml:space="preserve">  }</w:t>
              <w:br/>
              <w:t xml:space="preserve">  saveLocal(session)</w:t>
              <w:br/>
              <w:br/>
              <w:t>onChildScan(data):</w:t>
              <w:br/>
              <w:t xml:space="preserve">  child = parseGS1(data)</w:t>
              <w:br/>
              <w:t xml:space="preserve">  session = getActiveSession()</w:t>
              <w:br/>
              <w:br/>
              <w:t xml:space="preserve">  if child["01"] != session.expectedChildGtin:</w:t>
              <w:br/>
              <w:t xml:space="preserve">      reject("WRONG SKU")</w:t>
              <w:br/>
              <w:br/>
              <w:t xml:space="preserve">  if session.expectedLot != null and child.get("10") != session.expectedLot:</w:t>
              <w:br/>
              <w:t xml:space="preserve">      reject("WRONG LOT")</w:t>
              <w:br/>
              <w:br/>
              <w:t xml:space="preserve">  if child.get("21") != null and alreadyPacked(child["01"], child["21"]):</w:t>
              <w:br/>
              <w:t xml:space="preserve">      reject("DUPLICATE / ALREADY PACKED")</w:t>
              <w:br/>
              <w:br/>
              <w:t xml:space="preserve">  if session.acceptedQty &gt;= session.expectedQty:</w:t>
              <w:br/>
              <w:t xml:space="preserve">      reject("MASTER FULL")</w:t>
              <w:br/>
              <w:br/>
              <w:t xml:space="preserve">  accept()</w:t>
              <w:br/>
              <w:t xml:space="preserve">  saveAggregationLocally(session.parentSscc, child)</w:t>
              <w:br/>
              <w:t xml:space="preserve">  session.acceptedQty += 1</w:t>
              <w:br/>
              <w:br/>
              <w:t xml:space="preserve">  if session.acceptedQty == session.expectedQty:</w:t>
              <w:br/>
              <w:t xml:space="preserve">      session.status = "COMPLETE"</w:t>
              <w:br/>
              <w:t xml:space="preserve">      queueSync(session)</w:t>
            </w:r>
          </w:p>
        </w:tc>
      </w:tr>
    </w:tbl>
    <w:p>
      <w:pPr>
        <w:pStyle w:val="Heading1"/>
      </w:pPr>
      <w:r>
        <w:t>11. Factory user-experience recommendations</w:t>
      </w:r>
    </w:p>
    <w:p>
      <w:pPr>
        <w:pStyle w:val="ListBullet"/>
      </w:pPr>
      <w:r>
        <w:t>Make wrong-SKU rejection unmistakable: full-screen red, large text, vibration and audible alert.</w:t>
      </w:r>
    </w:p>
    <w:p>
      <w:pPr>
        <w:pStyle w:val="ListBullet"/>
      </w:pPr>
      <w:r>
        <w:t>Show the expected SKU/GTIN and remaining quantity continuously after the master scan.</w:t>
      </w:r>
    </w:p>
    <w:p>
      <w:pPr>
        <w:pStyle w:val="ListBullet"/>
      </w:pPr>
      <w:r>
        <w:t>Do not allow the operator to dismiss a mismatch and continue silently; require removal/rescan or supervisor override.</w:t>
      </w:r>
    </w:p>
    <w:p>
      <w:pPr>
        <w:pStyle w:val="ListBullet"/>
      </w:pPr>
      <w:r>
        <w:t>Keep scans fast: all matching logic should execute locally in milliseconds.</w:t>
      </w:r>
    </w:p>
    <w:p>
      <w:pPr>
        <w:pStyle w:val="ListBullet"/>
      </w:pPr>
      <w:r>
        <w:t>Cache any human-friendly product name or image locally if workers benefit from visual confirmation.</w:t>
      </w:r>
    </w:p>
    <w:p>
      <w:pPr>
        <w:pStyle w:val="ListBullet"/>
      </w:pPr>
      <w:r>
        <w:t>Require an explicit close/complete state, and print/apply the final logistic label only after validation succeeds.</w:t>
      </w:r>
    </w:p>
    <w:p>
      <w:pPr>
        <w:pStyle w:val="ListBullet"/>
      </w:pPr>
      <w:r>
        <w:t>Log supervisor overrides with user, timestamp and reason.</w:t>
      </w:r>
    </w:p>
    <w:p>
      <w:pPr>
        <w:pStyle w:val="ListBullet"/>
      </w:pPr>
      <w:r>
        <w:t>Design for intermittent connectivity: pending sync queue, retry, idempotency and visible sync status.</w:t>
      </w:r>
    </w:p>
    <w:p>
      <w:pPr>
        <w:pStyle w:val="Heading1"/>
      </w:pPr>
      <w:r>
        <w:t>12. Edge cases to decide before rollout</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968"/>
        <w:gridCol w:w="4968"/>
      </w:tblGrid>
      <w:tr>
        <w:trPr>
          <w:tblHeader w:val="true"/>
        </w:trPr>
        <w:tc>
          <w:tcPr>
            <w:tcW w:type="dxa" w:w="3312"/>
            <w:shd w:fill="1F4E78"/>
            <w:tcMar>
              <w:top w:w="120" w:type="dxa"/>
              <w:start w:w="140" w:type="dxa"/>
              <w:bottom w:w="120" w:type="dxa"/>
              <w:end w:w="140" w:type="dxa"/>
            </w:tcMar>
            <w:vAlign w:val="center"/>
          </w:tcPr>
          <w:p>
            <w:pPr>
              <w:jc w:val="center"/>
            </w:pPr>
            <w:r>
              <w:rPr>
                <w:b/>
                <w:color w:val="FFFFFF"/>
                <w:sz w:val="19"/>
              </w:rPr>
              <w:t>Scenario</w:t>
            </w:r>
          </w:p>
        </w:tc>
        <w:tc>
          <w:tcPr>
            <w:tcW w:type="dxa" w:w="6048"/>
            <w:shd w:fill="1F4E78"/>
            <w:tcMar>
              <w:top w:w="120" w:type="dxa"/>
              <w:start w:w="140" w:type="dxa"/>
              <w:bottom w:w="120" w:type="dxa"/>
              <w:end w:w="140" w:type="dxa"/>
            </w:tcMar>
            <w:vAlign w:val="center"/>
          </w:tcPr>
          <w:p>
            <w:pPr>
              <w:jc w:val="center"/>
            </w:pPr>
            <w:r>
              <w:rPr>
                <w:b/>
                <w:color w:val="FFFFFF"/>
                <w:sz w:val="19"/>
              </w:rPr>
              <w:t>Decision required</w:t>
            </w:r>
          </w:p>
        </w:tc>
      </w:tr>
      <w:tr>
        <w:tc>
          <w:tcPr>
            <w:tcW w:type="dxa" w:w="4968"/>
            <w:tcMar>
              <w:top w:w="120" w:type="dxa"/>
              <w:start w:w="140" w:type="dxa"/>
              <w:bottom w:w="120" w:type="dxa"/>
              <w:end w:w="140" w:type="dxa"/>
            </w:tcMar>
            <w:vAlign w:val="center"/>
          </w:tcPr>
          <w:p>
            <w:r>
              <w:rPr>
                <w:sz w:val="18"/>
              </w:rPr>
              <w:t>Mixed-SKU master intentionally allowed</w:t>
            </w:r>
          </w:p>
        </w:tc>
        <w:tc>
          <w:tcPr>
            <w:tcW w:type="dxa" w:w="4968"/>
            <w:tcMar>
              <w:top w:w="120" w:type="dxa"/>
              <w:start w:w="140" w:type="dxa"/>
              <w:bottom w:w="120" w:type="dxa"/>
              <w:end w:w="140" w:type="dxa"/>
            </w:tcMar>
            <w:vAlign w:val="center"/>
          </w:tcPr>
          <w:p>
            <w:r>
              <w:rPr>
                <w:sz w:val="18"/>
              </w:rPr>
              <w:t>A single AI (02)+AI (37) homogeneous-content rule is not enough. Use an order/recipe manifest locally or scan-and-build a controlled aggregation list.</w:t>
            </w:r>
          </w:p>
        </w:tc>
      </w:tr>
      <w:tr>
        <w:tc>
          <w:tcPr>
            <w:tcW w:type="dxa" w:w="4968"/>
            <w:tcMar>
              <w:top w:w="120" w:type="dxa"/>
              <w:start w:w="140" w:type="dxa"/>
              <w:bottom w:w="120" w:type="dxa"/>
              <w:end w:w="140" w:type="dxa"/>
            </w:tcMar>
            <w:vAlign w:val="center"/>
          </w:tcPr>
          <w:p>
            <w:r>
              <w:rPr>
                <w:sz w:val="18"/>
              </w:rPr>
              <w:t>Multiple lots in one master</w:t>
            </w:r>
          </w:p>
        </w:tc>
        <w:tc>
          <w:tcPr>
            <w:tcW w:type="dxa" w:w="4968"/>
            <w:tcMar>
              <w:top w:w="120" w:type="dxa"/>
              <w:start w:w="140" w:type="dxa"/>
              <w:bottom w:w="120" w:type="dxa"/>
              <w:end w:w="140" w:type="dxa"/>
            </w:tcMar>
            <w:vAlign w:val="center"/>
          </w:tcPr>
          <w:p>
            <w:r>
              <w:rPr>
                <w:sz w:val="18"/>
              </w:rPr>
              <w:t>Either prohibit by local rule or maintain allowed lot/count combinations in the local packing recipe.</w:t>
            </w:r>
          </w:p>
        </w:tc>
      </w:tr>
      <w:tr>
        <w:tc>
          <w:tcPr>
            <w:tcW w:type="dxa" w:w="4968"/>
            <w:tcMar>
              <w:top w:w="120" w:type="dxa"/>
              <w:start w:w="140" w:type="dxa"/>
              <w:bottom w:w="120" w:type="dxa"/>
              <w:end w:w="140" w:type="dxa"/>
            </w:tcMar>
            <w:vAlign w:val="center"/>
          </w:tcPr>
          <w:p>
            <w:r>
              <w:rPr>
                <w:sz w:val="18"/>
              </w:rPr>
              <w:t>Child has only a 1D GTIN barcode</w:t>
            </w:r>
          </w:p>
        </w:tc>
        <w:tc>
          <w:tcPr>
            <w:tcW w:type="dxa" w:w="4968"/>
            <w:tcMar>
              <w:top w:w="120" w:type="dxa"/>
              <w:start w:w="140" w:type="dxa"/>
              <w:bottom w:w="120" w:type="dxa"/>
              <w:end w:w="140" w:type="dxa"/>
            </w:tcMar>
            <w:vAlign w:val="center"/>
          </w:tcPr>
          <w:p>
            <w:r>
              <w:rPr>
                <w:sz w:val="18"/>
              </w:rPr>
              <w:t>The app can still decode GTIN locally; serialization/lot information will not be available unless separately encoded.</w:t>
            </w:r>
          </w:p>
        </w:tc>
      </w:tr>
      <w:tr>
        <w:tc>
          <w:tcPr>
            <w:tcW w:type="dxa" w:w="4968"/>
            <w:tcMar>
              <w:top w:w="120" w:type="dxa"/>
              <w:start w:w="140" w:type="dxa"/>
              <w:bottom w:w="120" w:type="dxa"/>
              <w:end w:w="140" w:type="dxa"/>
            </w:tcMar>
            <w:vAlign w:val="center"/>
          </w:tcPr>
          <w:p>
            <w:r>
              <w:rPr>
                <w:sz w:val="18"/>
              </w:rPr>
              <w:t>Repacking / de-aggregation</w:t>
            </w:r>
          </w:p>
        </w:tc>
        <w:tc>
          <w:tcPr>
            <w:tcW w:type="dxa" w:w="4968"/>
            <w:tcMar>
              <w:top w:w="120" w:type="dxa"/>
              <w:start w:w="140" w:type="dxa"/>
              <w:bottom w:w="120" w:type="dxa"/>
              <w:end w:w="140" w:type="dxa"/>
            </w:tcMar>
            <w:vAlign w:val="center"/>
          </w:tcPr>
          <w:p>
            <w:r>
              <w:rPr>
                <w:sz w:val="18"/>
              </w:rPr>
              <w:t>Define supervisor workflow to remove a child from a parent and record the reversal event.</w:t>
            </w:r>
          </w:p>
        </w:tc>
      </w:tr>
      <w:tr>
        <w:tc>
          <w:tcPr>
            <w:tcW w:type="dxa" w:w="4968"/>
            <w:tcMar>
              <w:top w:w="120" w:type="dxa"/>
              <w:start w:w="140" w:type="dxa"/>
              <w:bottom w:w="120" w:type="dxa"/>
              <w:end w:w="140" w:type="dxa"/>
            </w:tcMar>
            <w:vAlign w:val="center"/>
          </w:tcPr>
          <w:p>
            <w:r>
              <w:rPr>
                <w:sz w:val="18"/>
              </w:rPr>
              <w:t>Damaged QR</w:t>
            </w:r>
          </w:p>
        </w:tc>
        <w:tc>
          <w:tcPr>
            <w:tcW w:type="dxa" w:w="4968"/>
            <w:tcMar>
              <w:top w:w="120" w:type="dxa"/>
              <w:start w:w="140" w:type="dxa"/>
              <w:bottom w:w="120" w:type="dxa"/>
              <w:end w:w="140" w:type="dxa"/>
            </w:tcMar>
            <w:vAlign w:val="center"/>
          </w:tcPr>
          <w:p>
            <w:r>
              <w:rPr>
                <w:sz w:val="18"/>
              </w:rPr>
              <w:t>Allow fallback scan of a secondary GS1 carrier or controlled manual entry with audit logging.</w:t>
            </w:r>
          </w:p>
        </w:tc>
      </w:tr>
      <w:tr>
        <w:tc>
          <w:tcPr>
            <w:tcW w:type="dxa" w:w="4968"/>
            <w:tcMar>
              <w:top w:w="120" w:type="dxa"/>
              <w:start w:w="140" w:type="dxa"/>
              <w:bottom w:w="120" w:type="dxa"/>
              <w:end w:w="140" w:type="dxa"/>
            </w:tcMar>
            <w:vAlign w:val="center"/>
          </w:tcPr>
          <w:p>
            <w:r>
              <w:rPr>
                <w:sz w:val="18"/>
              </w:rPr>
              <w:t>Master label printed before contents known</w:t>
            </w:r>
          </w:p>
        </w:tc>
        <w:tc>
          <w:tcPr>
            <w:tcW w:type="dxa" w:w="4968"/>
            <w:tcMar>
              <w:top w:w="120" w:type="dxa"/>
              <w:start w:w="140" w:type="dxa"/>
              <w:bottom w:w="120" w:type="dxa"/>
              <w:end w:w="140" w:type="dxa"/>
            </w:tcMar>
            <w:vAlign w:val="center"/>
          </w:tcPr>
          <w:p>
            <w:r>
              <w:rPr>
                <w:sz w:val="18"/>
              </w:rPr>
              <w:t>Use a packing-order/recipe locally, then assign/print SSCC and finalize aggregation at close.</w:t>
            </w:r>
          </w:p>
        </w:tc>
      </w:tr>
    </w:tbl>
    <w:p>
      <w:pPr>
        <w:pStyle w:val="Heading1"/>
      </w:pPr>
      <w:r>
        <w:t>13. Suggested phased rollout</w:t>
      </w:r>
    </w:p>
    <w:p>
      <w:r>
        <w:rPr>
          <w:b/>
        </w:rPr>
        <w:t xml:space="preserve">Phase 1 - SKU mix prevention: </w:t>
      </w:r>
      <w:r>
        <w:t>Use master expected GTIN + quantity; scan child GTIN; offline accept/reject. No serialization required.</w:t>
      </w:r>
    </w:p>
    <w:p>
      <w:r>
        <w:rPr>
          <w:b/>
        </w:rPr>
        <w:t xml:space="preserve">Phase 2 - Lot control: </w:t>
      </w:r>
      <w:r>
        <w:t>Add AI (10) to master/child where required and enforce lot matching.</w:t>
      </w:r>
    </w:p>
    <w:p>
      <w:r>
        <w:rPr>
          <w:b/>
        </w:rPr>
        <w:t xml:space="preserve">Phase 3 - Serialization: </w:t>
      </w:r>
      <w:r>
        <w:t>Add AI (21) on child units and persist parent SSCC -&gt; serialized child relationships.</w:t>
      </w:r>
    </w:p>
    <w:p>
      <w:r>
        <w:rPr>
          <w:b/>
        </w:rPr>
        <w:t xml:space="preserve">Phase 4 - Multi-level aggregation: </w:t>
      </w:r>
      <w:r>
        <w:t>Aggregate inner -&gt; master -&gt; pallet and synchronize all relationships to ERP/MES/WMS/traceability systems.</w:t>
      </w:r>
    </w:p>
    <w:p>
      <w:pPr>
        <w:pStyle w:val="Heading1"/>
      </w:pPr>
      <w:r>
        <w:t>14. Copy/paste sample QR URLs</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92"/>
        <w:gridCol w:w="6768"/>
      </w:tblGrid>
      <w:tr>
        <w:trPr>
          <w:tblHeader w:val="true"/>
        </w:trPr>
        <w:tc>
          <w:tcPr>
            <w:tcW w:type="dxa" w:w="4968"/>
            <w:shd w:fill="1F4E78"/>
            <w:tcMar>
              <w:top w:w="120" w:type="dxa"/>
              <w:start w:w="140" w:type="dxa"/>
              <w:bottom w:w="120" w:type="dxa"/>
              <w:end w:w="140" w:type="dxa"/>
            </w:tcMar>
          </w:tcPr>
          <w:p>
            <w:pPr>
              <w:jc w:val="center"/>
            </w:pPr>
            <w:r>
              <w:rPr>
                <w:b/>
                <w:color w:val="FFFFFF"/>
                <w:sz w:val="19"/>
              </w:rPr>
              <w:t>Example</w:t>
            </w:r>
          </w:p>
        </w:tc>
        <w:tc>
          <w:tcPr>
            <w:tcW w:type="dxa" w:w="4968"/>
            <w:shd w:fill="1F4E78"/>
            <w:tcMar>
              <w:top w:w="120" w:type="dxa"/>
              <w:start w:w="140" w:type="dxa"/>
              <w:bottom w:w="120" w:type="dxa"/>
              <w:end w:w="140" w:type="dxa"/>
            </w:tcMar>
          </w:tcPr>
          <w:p>
            <w:pPr>
              <w:jc w:val="center"/>
            </w:pPr>
            <w:r>
              <w:rPr>
                <w:b/>
                <w:color w:val="FFFFFF"/>
                <w:sz w:val="19"/>
              </w:rPr>
              <w:t>Sample URI</w:t>
            </w:r>
          </w:p>
        </w:tc>
      </w:tr>
      <w:tr>
        <w:tc>
          <w:tcPr>
            <w:tcW w:type="dxa" w:w="2592"/>
            <w:tcMar>
              <w:top w:w="120" w:type="dxa"/>
              <w:start w:w="140" w:type="dxa"/>
              <w:bottom w:w="120" w:type="dxa"/>
              <w:end w:w="140" w:type="dxa"/>
            </w:tcMar>
          </w:tcPr>
          <w:p>
            <w:r>
              <w:rPr>
                <w:sz w:val="18"/>
              </w:rPr>
              <w:t>Each GTIN</w:t>
            </w:r>
          </w:p>
        </w:tc>
        <w:tc>
          <w:tcPr>
            <w:tcW w:type="dxa" w:w="6768"/>
            <w:tcMar>
              <w:top w:w="120" w:type="dxa"/>
              <w:start w:w="140" w:type="dxa"/>
              <w:bottom w:w="120" w:type="dxa"/>
              <w:end w:w="140" w:type="dxa"/>
            </w:tcMar>
          </w:tcPr>
          <w:p>
            <w:r>
              <w:rPr>
                <w:rFonts w:ascii="Courier New" w:hAnsi="Courier New"/>
                <w:sz w:val="16"/>
              </w:rPr>
              <w:t>https://id.example.com/01/09520123456788</w:t>
            </w:r>
          </w:p>
        </w:tc>
      </w:tr>
      <w:tr>
        <w:tc>
          <w:tcPr>
            <w:tcW w:type="dxa" w:w="2592"/>
            <w:tcMar>
              <w:top w:w="120" w:type="dxa"/>
              <w:start w:w="140" w:type="dxa"/>
              <w:bottom w:w="120" w:type="dxa"/>
              <w:end w:w="140" w:type="dxa"/>
            </w:tcMar>
          </w:tcPr>
          <w:p>
            <w:r>
              <w:rPr>
                <w:sz w:val="18"/>
              </w:rPr>
              <w:t>Each GTIN + internal SKU</w:t>
            </w:r>
          </w:p>
        </w:tc>
        <w:tc>
          <w:tcPr>
            <w:tcW w:type="dxa" w:w="6768"/>
            <w:tcMar>
              <w:top w:w="120" w:type="dxa"/>
              <w:start w:w="140" w:type="dxa"/>
              <w:bottom w:w="120" w:type="dxa"/>
              <w:end w:w="140" w:type="dxa"/>
            </w:tcMar>
          </w:tcPr>
          <w:p>
            <w:r>
              <w:rPr>
                <w:rFonts w:ascii="Courier New" w:hAnsi="Courier New"/>
                <w:sz w:val="16"/>
              </w:rPr>
              <w:t>https://id.example.com/01/09520123456788?240=SKU-A-001</w:t>
            </w:r>
          </w:p>
        </w:tc>
      </w:tr>
      <w:tr>
        <w:tc>
          <w:tcPr>
            <w:tcW w:type="dxa" w:w="2592"/>
            <w:tcMar>
              <w:top w:w="120" w:type="dxa"/>
              <w:start w:w="140" w:type="dxa"/>
              <w:bottom w:w="120" w:type="dxa"/>
              <w:end w:w="140" w:type="dxa"/>
            </w:tcMar>
          </w:tcPr>
          <w:p>
            <w:r>
              <w:rPr>
                <w:sz w:val="18"/>
              </w:rPr>
              <w:t>Each GTIN + lot</w:t>
            </w:r>
          </w:p>
        </w:tc>
        <w:tc>
          <w:tcPr>
            <w:tcW w:type="dxa" w:w="6768"/>
            <w:tcMar>
              <w:top w:w="120" w:type="dxa"/>
              <w:start w:w="140" w:type="dxa"/>
              <w:bottom w:w="120" w:type="dxa"/>
              <w:end w:w="140" w:type="dxa"/>
            </w:tcMar>
          </w:tcPr>
          <w:p>
            <w:r>
              <w:rPr>
                <w:rFonts w:ascii="Courier New" w:hAnsi="Courier New"/>
                <w:sz w:val="16"/>
              </w:rPr>
              <w:t>https://id.example.com/01/09520123456788/10/B260813</w:t>
            </w:r>
          </w:p>
        </w:tc>
      </w:tr>
      <w:tr>
        <w:tc>
          <w:tcPr>
            <w:tcW w:type="dxa" w:w="2592"/>
            <w:tcMar>
              <w:top w:w="120" w:type="dxa"/>
              <w:start w:w="140" w:type="dxa"/>
              <w:bottom w:w="120" w:type="dxa"/>
              <w:end w:w="140" w:type="dxa"/>
            </w:tcMar>
          </w:tcPr>
          <w:p>
            <w:r>
              <w:rPr>
                <w:sz w:val="18"/>
              </w:rPr>
              <w:t>Serialized child</w:t>
            </w:r>
          </w:p>
        </w:tc>
        <w:tc>
          <w:tcPr>
            <w:tcW w:type="dxa" w:w="6768"/>
            <w:tcMar>
              <w:top w:w="120" w:type="dxa"/>
              <w:start w:w="140" w:type="dxa"/>
              <w:bottom w:w="120" w:type="dxa"/>
              <w:end w:w="140" w:type="dxa"/>
            </w:tcMar>
          </w:tcPr>
          <w:p>
            <w:r>
              <w:rPr>
                <w:rFonts w:ascii="Courier New" w:hAnsi="Courier New"/>
                <w:sz w:val="16"/>
              </w:rPr>
              <w:t>https://id.example.com/01/09520123456788/21/C00001234</w:t>
            </w:r>
          </w:p>
        </w:tc>
      </w:tr>
      <w:tr>
        <w:tc>
          <w:tcPr>
            <w:tcW w:type="dxa" w:w="2592"/>
            <w:tcMar>
              <w:top w:w="120" w:type="dxa"/>
              <w:start w:w="140" w:type="dxa"/>
              <w:bottom w:w="120" w:type="dxa"/>
              <w:end w:w="140" w:type="dxa"/>
            </w:tcMar>
          </w:tcPr>
          <w:p>
            <w:r>
              <w:rPr>
                <w:sz w:val="18"/>
              </w:rPr>
              <w:t>Serialized child + lot</w:t>
            </w:r>
          </w:p>
        </w:tc>
        <w:tc>
          <w:tcPr>
            <w:tcW w:type="dxa" w:w="6768"/>
            <w:tcMar>
              <w:top w:w="120" w:type="dxa"/>
              <w:start w:w="140" w:type="dxa"/>
              <w:bottom w:w="120" w:type="dxa"/>
              <w:end w:w="140" w:type="dxa"/>
            </w:tcMar>
          </w:tcPr>
          <w:p>
            <w:r>
              <w:rPr>
                <w:rFonts w:ascii="Courier New" w:hAnsi="Courier New"/>
                <w:sz w:val="16"/>
              </w:rPr>
              <w:t>https://id.example.com/01/09520123456788/10/B260813/21/C00001234</w:t>
            </w:r>
          </w:p>
        </w:tc>
      </w:tr>
      <w:tr>
        <w:tc>
          <w:tcPr>
            <w:tcW w:type="dxa" w:w="2592"/>
            <w:tcMar>
              <w:top w:w="120" w:type="dxa"/>
              <w:start w:w="140" w:type="dxa"/>
              <w:bottom w:w="120" w:type="dxa"/>
              <w:end w:w="140" w:type="dxa"/>
            </w:tcMar>
          </w:tcPr>
          <w:p>
            <w:r>
              <w:rPr>
                <w:sz w:val="18"/>
              </w:rPr>
              <w:t>Inner-box GTIN</w:t>
            </w:r>
          </w:p>
        </w:tc>
        <w:tc>
          <w:tcPr>
            <w:tcW w:type="dxa" w:w="6768"/>
            <w:tcMar>
              <w:top w:w="120" w:type="dxa"/>
              <w:start w:w="140" w:type="dxa"/>
              <w:bottom w:w="120" w:type="dxa"/>
              <w:end w:w="140" w:type="dxa"/>
            </w:tcMar>
          </w:tcPr>
          <w:p>
            <w:r>
              <w:rPr>
                <w:rFonts w:ascii="Courier New" w:hAnsi="Courier New"/>
                <w:sz w:val="16"/>
              </w:rPr>
              <w:t>https://id.example.com/01/09520123456856</w:t>
            </w:r>
          </w:p>
        </w:tc>
      </w:tr>
      <w:tr>
        <w:tc>
          <w:tcPr>
            <w:tcW w:type="dxa" w:w="2592"/>
            <w:tcMar>
              <w:top w:w="120" w:type="dxa"/>
              <w:start w:w="140" w:type="dxa"/>
              <w:bottom w:w="120" w:type="dxa"/>
              <w:end w:w="140" w:type="dxa"/>
            </w:tcMar>
          </w:tcPr>
          <w:p>
            <w:r>
              <w:rPr>
                <w:sz w:val="18"/>
              </w:rPr>
              <w:t>Master trade-item GTIN</w:t>
            </w:r>
          </w:p>
        </w:tc>
        <w:tc>
          <w:tcPr>
            <w:tcW w:type="dxa" w:w="6768"/>
            <w:tcMar>
              <w:top w:w="120" w:type="dxa"/>
              <w:start w:w="140" w:type="dxa"/>
              <w:bottom w:w="120" w:type="dxa"/>
              <w:end w:w="140" w:type="dxa"/>
            </w:tcMar>
          </w:tcPr>
          <w:p>
            <w:r>
              <w:rPr>
                <w:rFonts w:ascii="Courier New" w:hAnsi="Courier New"/>
                <w:sz w:val="16"/>
              </w:rPr>
              <w:t>https://id.example.com/01/09520123456924</w:t>
            </w:r>
          </w:p>
        </w:tc>
      </w:tr>
      <w:tr>
        <w:tc>
          <w:tcPr>
            <w:tcW w:type="dxa" w:w="2592"/>
            <w:tcMar>
              <w:top w:w="120" w:type="dxa"/>
              <w:start w:w="140" w:type="dxa"/>
              <w:bottom w:w="120" w:type="dxa"/>
              <w:end w:w="140" w:type="dxa"/>
            </w:tcMar>
          </w:tcPr>
          <w:p>
            <w:r>
              <w:rPr>
                <w:sz w:val="18"/>
              </w:rPr>
              <w:t>Master logistic unit</w:t>
            </w:r>
          </w:p>
        </w:tc>
        <w:tc>
          <w:tcPr>
            <w:tcW w:type="dxa" w:w="6768"/>
            <w:tcMar>
              <w:top w:w="120" w:type="dxa"/>
              <w:start w:w="140" w:type="dxa"/>
              <w:bottom w:w="120" w:type="dxa"/>
              <w:end w:w="140" w:type="dxa"/>
            </w:tcMar>
          </w:tcPr>
          <w:p>
            <w:r>
              <w:rPr>
                <w:rFonts w:ascii="Courier New" w:hAnsi="Courier New"/>
                <w:sz w:val="16"/>
              </w:rPr>
              <w:t>https://id.example.com/00/952012345678912345?02=09520123456856&amp;37=10&amp;10=B260813</w:t>
            </w:r>
          </w:p>
        </w:tc>
      </w:tr>
      <w:tr>
        <w:tc>
          <w:tcPr>
            <w:tcW w:type="dxa" w:w="2592"/>
            <w:tcMar>
              <w:top w:w="120" w:type="dxa"/>
              <w:start w:w="140" w:type="dxa"/>
              <w:bottom w:w="120" w:type="dxa"/>
              <w:end w:w="140" w:type="dxa"/>
            </w:tcMar>
          </w:tcPr>
          <w:p>
            <w:r>
              <w:rPr>
                <w:sz w:val="18"/>
              </w:rPr>
              <w:t>Pallet logistic unit</w:t>
            </w:r>
          </w:p>
        </w:tc>
        <w:tc>
          <w:tcPr>
            <w:tcW w:type="dxa" w:w="6768"/>
            <w:tcMar>
              <w:top w:w="120" w:type="dxa"/>
              <w:start w:w="140" w:type="dxa"/>
              <w:bottom w:w="120" w:type="dxa"/>
              <w:end w:w="140" w:type="dxa"/>
            </w:tcMar>
          </w:tcPr>
          <w:p>
            <w:r>
              <w:rPr>
                <w:rFonts w:ascii="Courier New" w:hAnsi="Courier New"/>
                <w:sz w:val="16"/>
              </w:rPr>
              <w:t>https://id.example.com/00/952012345678912352?02=09520123456924&amp;37=20&amp;10=B260813</w:t>
            </w:r>
          </w:p>
        </w:tc>
      </w:tr>
    </w:tbl>
    <w:p>
      <w:pPr>
        <w:pStyle w:val="Heading1"/>
      </w:pPr>
      <w:r>
        <w:t>15. Standards references and verification notes</w:t>
      </w:r>
    </w:p>
    <w:p>
      <w:r>
        <w:t>This guide was prepared against current GS1 reference material available in August 2026. The implementation team should still validate its final production labels against the latest GS1 General Specifications and the applicable industry/application standard before deployment.</w:t>
      </w:r>
    </w:p>
    <w:p>
      <w:pPr>
        <w:pStyle w:val="ListBullet"/>
      </w:pPr>
      <w:r>
        <w:t xml:space="preserve">GS1 General Specifications (current reference): </w:t>
      </w:r>
      <w:hyperlink r:id="rId18">
        <w:r>
          <w:rPr>
            <w:color w:val="0563C1"/>
            <w:u w:val="single"/>
          </w:rPr>
          <w:t>https://ref.gs1.org/standards/genspecs/</w:t>
        </w:r>
      </w:hyperlink>
    </w:p>
    <w:p>
      <w:pPr>
        <w:pStyle w:val="ListBullet"/>
      </w:pPr>
      <w:r>
        <w:t xml:space="preserve">GS1 Application Identifier reference: </w:t>
      </w:r>
      <w:hyperlink r:id="rId19">
        <w:r>
          <w:rPr>
            <w:color w:val="0563C1"/>
            <w:u w:val="single"/>
          </w:rPr>
          <w:t>https://ref.gs1.org/ai/</w:t>
        </w:r>
      </w:hyperlink>
    </w:p>
    <w:p>
      <w:pPr>
        <w:pStyle w:val="ListBullet"/>
      </w:pPr>
      <w:r>
        <w:t xml:space="preserve">GS1 Digital Link URI Syntax: </w:t>
      </w:r>
      <w:hyperlink r:id="rId20">
        <w:r>
          <w:rPr>
            <w:color w:val="0563C1"/>
            <w:u w:val="single"/>
          </w:rPr>
          <w:t>https://ref.gs1.org/standards/digital-link/uri-syntax/</w:t>
        </w:r>
      </w:hyperlink>
    </w:p>
    <w:p>
      <w:pPr>
        <w:pStyle w:val="ListBullet"/>
      </w:pPr>
      <w:r>
        <w:t xml:space="preserve">GS1 Digital Link resources: </w:t>
      </w:r>
      <w:hyperlink r:id="rId21">
        <w:r>
          <w:rPr>
            <w:color w:val="0563C1"/>
            <w:u w:val="single"/>
          </w:rPr>
          <w:t>https://ref.gs1.org/standards/digital-link/</w:t>
        </w:r>
      </w:hyperlink>
    </w:p>
    <w:p>
      <w:pPr>
        <w:pStyle w:val="ListBullet"/>
      </w:pPr>
      <w:r>
        <w:t xml:space="preserve">GS1 support: AI (240) for internal part number / SKU: </w:t>
      </w:r>
      <w:hyperlink r:id="rId22">
        <w:r>
          <w:rPr>
            <w:color w:val="0563C1"/>
            <w:u w:val="single"/>
          </w:rPr>
          <w:t>https://support.gs1.org/support/solutions/articles/43000734372-which-ai-should-i-use-to-encode-your-internal-part-number-or-sku-in-the-barcode-for-internal-tracking</w:t>
        </w:r>
      </w:hyperlink>
    </w:p>
    <w:tbl>
      <w:tblPr>
        <w:tblW w:type="auto" w:w="0"/>
        <w:jc w:val="center"/>
        <w:tblLook w:firstColumn="1" w:firstRow="1" w:lastColumn="0" w:lastRow="0" w:noHBand="0" w:noVBand="1" w:val="04A0"/>
      </w:tblPr>
      <w:tblGrid>
        <w:gridCol w:w="9936"/>
      </w:tblGrid>
      <w:tr>
        <w:tc>
          <w:tcPr>
            <w:tcW w:type="dxa" w:w="9936"/>
            <w:shd w:fill="EAF2F8"/>
            <w:tcMar>
              <w:top w:w="160" w:type="dxa"/>
              <w:start w:w="190" w:type="dxa"/>
              <w:bottom w:w="160" w:type="dxa"/>
              <w:end w:w="190" w:type="dxa"/>
            </w:tcMar>
          </w:tcPr>
          <w:p>
            <w:pPr>
              <w:spacing w:after="0"/>
            </w:pPr>
            <w:r>
              <w:rPr>
                <w:b/>
                <w:sz w:val="22"/>
              </w:rPr>
              <w:t>Key standards facts used</w:t>
              <w:br/>
            </w:r>
            <w:r>
              <w:rPr>
                <w:sz w:val="21"/>
              </w:rPr>
              <w:t>AI (240) is additional manufacturer-assigned product identification and must not replace GTIN. GS1 Digital Link places the primary GS1 identifier in the URI path; additional identifiers/attributes may appear in the query string. The current GS1 General Specifications give an SSCC + contained GTIN + count example in the form /00/{SSCC}?02={GTIN}&amp;37={count}.</w:t>
            </w:r>
          </w:p>
        </w:tc>
      </w:tr>
    </w:tbl>
    <w:sectPr w:rsidR="00FC693F" w:rsidRPr="0006063C" w:rsidSect="00034616">
      <w:footerReference w:type="default" r:id="rId23"/>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GS1 Offline Packing and Aggregation Guide | Sample implementation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s://ref.gs1.org/standards/genspecs/" TargetMode="External"/><Relationship Id="rId19" Type="http://schemas.openxmlformats.org/officeDocument/2006/relationships/hyperlink" Target="https://ref.gs1.org/ai/" TargetMode="External"/><Relationship Id="rId20" Type="http://schemas.openxmlformats.org/officeDocument/2006/relationships/hyperlink" Target="https://ref.gs1.org/standards/digital-link/uri-syntax/" TargetMode="External"/><Relationship Id="rId21" Type="http://schemas.openxmlformats.org/officeDocument/2006/relationships/hyperlink" Target="https://ref.gs1.org/standards/digital-link/" TargetMode="External"/><Relationship Id="rId22" Type="http://schemas.openxmlformats.org/officeDocument/2006/relationships/hyperlink" Target="https://support.gs1.org/support/solutions/articles/43000734372-which-ai-should-i-use-to-encode-your-internal-part-number-or-sku-in-the-barcode-for-internal-tracking"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