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i w:val="0"/>
          <w:color w:val="1F2937"/>
          <w:sz w:val="44"/>
        </w:rPr>
        <w:t>GRÁFICOS DEL CAPÍTULO III</w:t>
      </w:r>
    </w:p>
    <w:p>
      <w:pPr>
        <w:spacing w:after="400"/>
        <w:jc w:val="center"/>
      </w:pPr>
      <w:r>
        <w:rPr>
          <w:b/>
          <w:i w:val="0"/>
          <w:color w:val="1F77B4"/>
          <w:sz w:val="32"/>
        </w:rPr>
        <w:t>Resultados Estadísticos</w:t>
      </w:r>
    </w:p>
    <w:p>
      <w:pPr>
        <w:spacing w:after="40"/>
        <w:jc w:val="center"/>
      </w:pPr>
      <w:r>
        <w:rPr>
          <w:b w:val="0"/>
          <w:i/>
          <w:color w:val="444444"/>
          <w:sz w:val="26"/>
        </w:rPr>
        <w:t>Tesis: Aplicativo móvil para la gestión administrativa</w:t>
      </w:r>
    </w:p>
    <w:p>
      <w:pPr>
        <w:spacing w:after="600"/>
        <w:jc w:val="center"/>
      </w:pPr>
      <w:r>
        <w:rPr>
          <w:b w:val="0"/>
          <w:i/>
          <w:color w:val="555555"/>
          <w:sz w:val="22"/>
        </w:rPr>
        <w:t>Grupo Micotrans S.A.C. — Puente Piedra, Lima 2026</w:t>
      </w:r>
    </w:p>
    <w:p>
      <w:pPr>
        <w:spacing w:after="40"/>
        <w:jc w:val="center"/>
      </w:pPr>
      <w:r>
        <w:rPr>
          <w:b w:val="0"/>
          <w:i w:val="0"/>
          <w:color w:val="444444"/>
          <w:sz w:val="22"/>
        </w:rPr>
        <w:t>Autor: Campos Vargas, Kevin Stip</w:t>
      </w:r>
    </w:p>
    <w:p>
      <w:pPr>
        <w:spacing w:after="800"/>
        <w:jc w:val="center"/>
      </w:pPr>
      <w:r>
        <w:rPr>
          <w:b w:val="0"/>
          <w:i/>
          <w:color w:val="888888"/>
          <w:sz w:val="20"/>
        </w:rPr>
        <w:t>ORCID: 0000-0002-6087-3626</w:t>
      </w:r>
    </w:p>
    <w:p>
      <w:pPr>
        <w:spacing w:after="120"/>
        <w:jc w:val="center"/>
      </w:pPr>
      <w:r>
        <w:rPr>
          <w:b/>
          <w:i w:val="0"/>
          <w:color w:val="1F77B4"/>
          <w:sz w:val="24"/>
        </w:rPr>
        <w:t>Resumen Estadístico (n = 24 días pareados, T crítico = 1.7139)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77B4"/>
          </w:tcPr>
          <w:p>
            <w:r>
              <w:rPr>
                <w:b/>
                <w:color w:val="FFFFFF"/>
              </w:rPr>
              <w:t>Indicador</w:t>
            </w:r>
          </w:p>
        </w:tc>
        <w:tc>
          <w:tcPr>
            <w:tcW w:type="dxa" w:w="1728"/>
            <w:shd w:val="clear" w:fill="1F77B4"/>
          </w:tcPr>
          <w:p>
            <w:r>
              <w:rPr>
                <w:b/>
                <w:color w:val="FFFFFF"/>
              </w:rPr>
              <w:t>Pre M (%)</w:t>
            </w:r>
          </w:p>
        </w:tc>
        <w:tc>
          <w:tcPr>
            <w:tcW w:type="dxa" w:w="1728"/>
            <w:shd w:val="clear" w:fill="1F77B4"/>
          </w:tcPr>
          <w:p>
            <w:r>
              <w:rPr>
                <w:b/>
                <w:color w:val="FFFFFF"/>
              </w:rPr>
              <w:t>Post M (%)</w:t>
            </w:r>
          </w:p>
        </w:tc>
        <w:tc>
          <w:tcPr>
            <w:tcW w:type="dxa" w:w="1728"/>
            <w:shd w:val="clear" w:fill="1F77B4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1728"/>
            <w:shd w:val="clear" w:fill="1F77B4"/>
          </w:tcPr>
          <w:p>
            <w:r>
              <w:rPr>
                <w:b/>
                <w:color w:val="FFFFFF"/>
              </w:rPr>
              <w:t>Decisión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58.72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97.52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10.542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Acepta Hₐ 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CHR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65.70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93.55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9.168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Acepta Hₐ 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TDE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51.74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93.35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10.329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Acepta Hₐ ✓</w:t>
            </w:r>
          </w:p>
        </w:tc>
      </w:tr>
    </w:tbl>
    <w:p>
      <w:r>
        <w:br w:type="page"/>
      </w:r>
    </w:p>
    <w:p>
      <w:pPr>
        <w:pStyle w:val="Heading1"/>
      </w:pPr>
      <w:r>
        <w:t>Índice de Figuras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77B4"/>
          </w:tcPr>
          <w:p>
            <w:r/>
            <w:r>
              <w:rPr>
                <w:b/>
                <w:color w:val="FFFFFF"/>
                <w:sz w:val="20"/>
              </w:rPr>
              <w:t>Sección</w:t>
            </w:r>
          </w:p>
        </w:tc>
        <w:tc>
          <w:tcPr>
            <w:tcW w:type="dxa" w:w="2160"/>
            <w:shd w:val="clear" w:fill="1F77B4"/>
          </w:tcPr>
          <w:p>
            <w:r/>
            <w:r>
              <w:rPr>
                <w:b/>
                <w:color w:val="FFFFFF"/>
                <w:sz w:val="20"/>
              </w:rPr>
              <w:t>Figura</w:t>
            </w:r>
          </w:p>
        </w:tc>
        <w:tc>
          <w:tcPr>
            <w:tcW w:type="dxa" w:w="2160"/>
            <w:shd w:val="clear" w:fill="1F77B4"/>
          </w:tcPr>
          <w:p>
            <w:r/>
            <w:r>
              <w:rPr>
                <w:b/>
                <w:color w:val="FFFFFF"/>
                <w:sz w:val="20"/>
              </w:rPr>
              <w:t>Título</w:t>
            </w:r>
          </w:p>
        </w:tc>
        <w:tc>
          <w:tcPr>
            <w:tcW w:type="dxa" w:w="2160"/>
            <w:shd w:val="clear" w:fill="1F77B4"/>
          </w:tcPr>
          <w:p>
            <w:r/>
            <w:r>
              <w:rPr>
                <w:b/>
                <w:color w:val="FFFFFF"/>
                <w:sz w:val="20"/>
              </w:rPr>
              <w:t>Página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3.1 Análisis Descriptivo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Comparativo IID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15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Comparativo CHR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Comparativo TDE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3.2 Análisis Inferencial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17a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IID Pre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17b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IID 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18a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CHR Pre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18b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CHR 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19a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TDE Pre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19b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Histograma TDE Post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3.3 Prueba de Hipótesis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20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T-Student IID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21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T-Student CHR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Figura 22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T-Student TDE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14</w:t>
            </w:r>
          </w:p>
        </w:tc>
      </w:tr>
    </w:tbl>
    <w:p/>
    <w:p>
      <w:r>
        <w:br w:type="page"/>
      </w:r>
    </w:p>
    <w:p>
      <w:pPr>
        <w:jc w:val="center"/>
        <w:pBdr>
          <w:bottom w:val="single" w:sz="8" w:space="4" w:color="1F77B4"/>
        </w:pBdr>
      </w:pPr>
      <w:r>
        <w:rPr>
          <w:b/>
          <w:color w:val="1F77B4"/>
          <w:sz w:val="32"/>
        </w:rPr>
        <w:t>3.1 Análisis Descriptivo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Comparativos Pre-Test vs Post-Test (estadísticos descriptivos)</w:t>
      </w:r>
    </w:p>
    <w:p>
      <w:pPr>
        <w:spacing w:after="160"/>
        <w:jc w:val="center"/>
      </w:pPr>
      <w:r>
        <w:rPr>
          <w:b/>
          <w:color w:val="1F2937"/>
          <w:sz w:val="24"/>
        </w:rPr>
        <w:t>Figura 14. Comparativo Pre-Test vs Post-Test — IID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214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4_BARRAS_I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21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Indicador IID — Integridad de Datos Registrados. La media pasó de 58.72% (pre-test, gestión manual) a 97.52% (post-test, con aplicativo), evidenciando un incremento absoluto de +38.80 puntos porcentuales.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15. Comparativo Pre-Test vs Post-Test — CHR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36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5_BARRAS_CH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36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Indicador CHR — Cumplimiento de Hoja de Ruta. La media pasó de 65.70% (pre-test) a 93.55% (post-test), incremento absoluto de +27.85 puntos porcentuales.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16. Comparativo Pre-Test vs Post-Test — TDE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803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BARRAS_TD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0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Indicador TDE — Tasa de Disponibilidad de Evidencias Digitales. La media pasó de 51.74% a 93.35%, incremento de +41.61 puntos porcentuales (el mayor de los tres indicadores).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jc w:val="center"/>
        <w:pBdr>
          <w:bottom w:val="single" w:sz="8" w:space="4" w:color="1F77B4"/>
        </w:pBdr>
      </w:pPr>
      <w:r>
        <w:rPr>
          <w:b/>
          <w:color w:val="1F77B4"/>
          <w:sz w:val="32"/>
        </w:rPr>
        <w:t>3.2 Análisis Inferencial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Histogramas con curva normal — Prueba de Shapiro-Wilk</w:t>
      </w:r>
    </w:p>
    <w:p>
      <w:pPr>
        <w:spacing w:after="160"/>
        <w:jc w:val="center"/>
      </w:pPr>
      <w:r>
        <w:rPr>
          <w:b/>
          <w:color w:val="1F2937"/>
          <w:sz w:val="24"/>
        </w:rPr>
        <w:t>Figura 17a. Histograma con curva normal — IID Pre-Test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7_HIST_IID_p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IID en el pre-test (n = 43 días, gestión manual). Media 58.72%, SD 14.43%. La curva normal superpuesta evidencia la forma de la distribución para la prueba de Shapiro-Wilk.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17b. Histograma con curva normal — IID Post-Test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7_HIST_IID_p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IID en el post-test (n = 24 días, con sistema). Media 97.52%, SD 5.68%. Nótese la concentración cercana al 100% con menor dispersión que el pre-test.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18a. Histograma con curva normal — CHR Pre-Test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8_HIST_CHR_p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CHR en el pre-test. Media 65.70%, SD 9.99%, n = 43 días.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18b. Histograma con curva normal — CHR Post-Test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8_HIST_CHR_po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CHR en el post-test. Media 93.55%, SD 7.83%, n = 24 días. El Shapiro-Wilk arroja p = 0.100 &gt; 0.05 → distribución normal.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19a. Histograma con curva normal — TDE Pre-Test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9_HIST_TDE_p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TDE en el pre-test. Media 51.74%, SD 15.60%, n = 43 días. El Shapiro-Wilk arroja p = 0.500 &gt; 0.05 → distribución normal.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19b. Histograma con curva normal — TDE Post-Test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40574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69_HIST_TDE_pos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57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Distribución del TDE en el post-test. Media 93.35%, SD 8.07%, n = 24 días.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jc w:val="center"/>
        <w:pBdr>
          <w:bottom w:val="single" w:sz="8" w:space="4" w:color="1F77B4"/>
        </w:pBdr>
      </w:pPr>
      <w:r>
        <w:rPr>
          <w:b/>
          <w:color w:val="1F77B4"/>
          <w:sz w:val="32"/>
        </w:rPr>
        <w:t>3.3 Prueba de Hipótesis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Curvas T-Student con zona de rechazo</w:t>
      </w:r>
    </w:p>
    <w:p>
      <w:pPr>
        <w:spacing w:after="160"/>
        <w:jc w:val="center"/>
      </w:pPr>
      <w:r>
        <w:rPr>
          <w:b/>
          <w:color w:val="1F2937"/>
          <w:sz w:val="24"/>
        </w:rPr>
        <w:t>Figura 20. Prueba T-Student — IID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3852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0_TSTUDENT_II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El valor calculado Tc = 10.542 cae en la zona de rechazo (área roja), muy por encima del valor crítico T = 1.7139 (gl = 23, α = 0.05). → Se rechaza H₀ y se acepta Hₐ: el aplicativo móvil incrementa significativamente la integridad de los datos registrados. Tamaño del efecto: d de Cohen = 2.152 (muy grande).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21. Prueba T-Student — CHR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186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1_TSTUDENT_CH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8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Tc = 9.168 &gt; T crítico = 1.7139. Se rechaza H₀ y se acepta Hₐ: el aplicativo móvil incrementa significativamente el cumplimiento de la hoja de ruta. d de Cohen = 1.871 (muy grande).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spacing w:after="160"/>
        <w:jc w:val="center"/>
      </w:pPr>
      <w:r>
        <w:rPr>
          <w:b/>
          <w:color w:val="1F2937"/>
          <w:sz w:val="24"/>
        </w:rPr>
        <w:t>Figura 22. Prueba T-Student — TDE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28601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22_TSTUDENT_TD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60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b w:val="0"/>
          <w:i/>
          <w:color w:val="444444"/>
          <w:sz w:val="20"/>
        </w:rPr>
        <w:t>Tc = 10.329 &gt; T crítico = 1.7139. Se rechaza H₀ y se acepta Hₐ: el aplicativo móvil incrementa significativamente la tasa de disponibilidad de evidencias digitales. d de Cohen = 2.108 (muy grande).</w:t>
      </w:r>
    </w:p>
    <w:p>
      <w:pPr>
        <w:spacing w:after="120"/>
        <w:jc w:val="center"/>
      </w:pPr>
      <w:r>
        <w:rPr>
          <w:b w:val="0"/>
          <w:i/>
          <w:color w:val="888888"/>
          <w:sz w:val="18"/>
        </w:rPr>
        <w:t>Fuente: Elaboración propia con datos del sistema EcoRoute.</w:t>
      </w:r>
    </w:p>
    <w:p>
      <w:r>
        <w:br w:type="page"/>
      </w:r>
    </w:p>
    <w:p>
      <w:pPr>
        <w:jc w:val="center"/>
        <w:pBdr>
          <w:bottom w:val="single" w:sz="8" w:space="4" w:color="1F77B4"/>
        </w:pBdr>
      </w:pPr>
      <w:r>
        <w:rPr>
          <w:b/>
          <w:color w:val="1F77B4"/>
          <w:sz w:val="32"/>
        </w:rPr>
        <w:t>Conclusión</w:t>
      </w:r>
    </w:p>
    <w:p>
      <w:pPr>
        <w:spacing w:after="120"/>
        <w:jc w:val="center"/>
      </w:pPr>
      <w:r>
        <w:rPr>
          <w:b w:val="0"/>
          <w:i/>
          <w:color w:val="555555"/>
          <w:sz w:val="22"/>
        </w:rPr>
        <w:t>Contrastación de la Hipótesis General</w:t>
      </w:r>
    </w:p>
    <w:p>
      <w:pPr>
        <w:jc w:val="both"/>
      </w:pPr>
      <w:r>
        <w:rPr>
          <w:sz w:val="22"/>
        </w:rPr>
        <w:t>Los resultados estadísticos demuestran que el aplicativo móvil EcoRoute, desplegado en la empresa Grupo Micotrans S.A.C., incrementa significativamente los tres indicadores que componen la variable dependiente "gestión administrativa": IID, CHR y TDE. Las tres hipótesis específicas se contrastaron mediante la prueba T de Student para muestras pareadas, obteniendo en los tres casos un valor calculado superior al valor crítico de 1.7139 (gl = 23, α = 0.05), con magnitudes de efecto muy grandes (d de Cohen &gt; 1.85) y nivel de significancia bilateral p &lt; 0.001. Por lo tanto, se cumple la hipótesis general del estudio.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