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III. RESULTADOS</w:t>
      </w:r>
    </w:p>
    <w:p>
      <w:r>
        <w:t xml:space="preserve">A continuación se presentan los resultados obtenidos tras el análisis de los datos recolectados mediante las fichas de registro (pre-test y post-test) generadas por el sistema EcoRoute durante el periodo del 02 de marzo al 31 de mayo de 2026 en la empresa </w:t>
      </w:r>
      <w:r>
        <w:rPr>
          <w:b/>
        </w:rPr>
        <w:t>Grupo Micotrans S.A.C.</w:t>
      </w:r>
      <w:r>
        <w:t>, ubicada en el distrito de Puente Piedra, Lima.</w:t>
      </w:r>
    </w:p>
    <w:p>
      <w:r>
        <w:t xml:space="preserve">La muestra estuvo conformada por </w:t>
      </w:r>
      <w:r>
        <w:rPr>
          <w:b/>
        </w:rPr>
        <w:t>n = 150 registros operativos</w:t>
      </w:r>
      <w:r>
        <w:t xml:space="preserve"> en el pre-test (02/03/2026 – 18/04/2026, 43 días hábiles) — datos reales extraídos del registro manual de guías GR-1001 a GR-1150 — y </w:t>
      </w:r>
      <w:r>
        <w:rPr>
          <w:b/>
        </w:rPr>
        <w:t>n = 150 registros operativos</w:t>
      </w:r>
      <w:r>
        <w:t xml:space="preserve"> en el post-test (20/04/2026 – 31/05/2026, 42 días hábiles), seleccionados mediante muestreo aleatorio simple sobre el total de servicios ejecutados a través del sistema EcoRoute en el periodo, totalizando 300 servicios documentados. La unidad de análisis para las pruebas inferenciales fue el </w:t>
      </w:r>
      <w:r>
        <w:rPr>
          <w:b/>
        </w:rPr>
        <w:t>porcentaje diario</w:t>
      </w:r>
      <w:r>
        <w:t xml:space="preserve"> de cumplimiento de cada indicador, lo que produce 43 observaciones diarias en el pre-test y 42 observaciones en el post-test, emparejadas posicionalmente para el análisis t de Student.</w:t>
      </w:r>
    </w:p>
    <w:p>
      <w:pPr>
        <w:pStyle w:val="Heading2"/>
      </w:pPr>
      <w:r>
        <w:t>3.1 Análisis Descriptivo</w:t>
      </w:r>
    </w:p>
    <w:p>
      <w:pPr>
        <w:pStyle w:val="Heading3"/>
      </w:pPr>
      <w:r>
        <w:t>3.1.1 Indicador IID — Integridad de Datos Registrados</w:t>
      </w:r>
    </w:p>
    <w:p>
      <w:pPr>
        <w:pStyle w:val="Heading4"/>
      </w:pPr>
      <w:r>
        <w:t>Tabla 34. Estadísticos descriptivos del IID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Estadístico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Pre-Test (manual)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Post-Test (con sistema)</w:t>
            </w:r>
          </w:p>
        </w:tc>
      </w:tr>
      <w:tr>
        <w:tc>
          <w:tcPr>
            <w:tcW w:type="dxa" w:w="3135"/>
          </w:tcPr>
          <w:p>
            <w:r/>
            <w:r>
              <w:t>Media diaria (%)</w:t>
            </w:r>
          </w:p>
        </w:tc>
        <w:tc>
          <w:tcPr>
            <w:tcW w:type="dxa" w:w="3135"/>
          </w:tcPr>
          <w:p>
            <w:r/>
            <w:r>
              <w:t>58.72</w:t>
            </w:r>
          </w:p>
        </w:tc>
        <w:tc>
          <w:tcPr>
            <w:tcW w:type="dxa" w:w="3135"/>
          </w:tcPr>
          <w:p>
            <w:r/>
            <w:r>
              <w:t>97.94</w:t>
            </w:r>
          </w:p>
        </w:tc>
      </w:tr>
      <w:tr>
        <w:tc>
          <w:tcPr>
            <w:tcW w:type="dxa" w:w="3135"/>
          </w:tcPr>
          <w:p>
            <w:r/>
            <w:r>
              <w:t>Desviación estándar (%)</w:t>
            </w:r>
          </w:p>
        </w:tc>
        <w:tc>
          <w:tcPr>
            <w:tcW w:type="dxa" w:w="3135"/>
          </w:tcPr>
          <w:p>
            <w:r/>
            <w:r>
              <w:t>14.43</w:t>
            </w:r>
          </w:p>
        </w:tc>
        <w:tc>
          <w:tcPr>
            <w:tcW w:type="dxa" w:w="3135"/>
          </w:tcPr>
          <w:p>
            <w:r/>
            <w:r>
              <w:t>6.53</w:t>
            </w:r>
          </w:p>
        </w:tc>
      </w:tr>
      <w:tr>
        <w:tc>
          <w:tcPr>
            <w:tcW w:type="dxa" w:w="3135"/>
          </w:tcPr>
          <w:p>
            <w:r/>
            <w:r>
              <w:t>Mediana (%)</w:t>
            </w:r>
          </w:p>
        </w:tc>
        <w:tc>
          <w:tcPr>
            <w:tcW w:type="dxa" w:w="3135"/>
          </w:tcPr>
          <w:p>
            <w:r/>
            <w:r>
              <w:t>66.67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Mínimo (%)</w:t>
            </w:r>
          </w:p>
        </w:tc>
        <w:tc>
          <w:tcPr>
            <w:tcW w:type="dxa" w:w="3135"/>
          </w:tcPr>
          <w:p>
            <w:r/>
            <w:r>
              <w:t>33.33</w:t>
            </w:r>
          </w:p>
        </w:tc>
        <w:tc>
          <w:tcPr>
            <w:tcW w:type="dxa" w:w="3135"/>
          </w:tcPr>
          <w:p>
            <w:r/>
            <w:r>
              <w:t>75.00</w:t>
            </w:r>
          </w:p>
        </w:tc>
      </w:tr>
      <w:tr>
        <w:tc>
          <w:tcPr>
            <w:tcW w:type="dxa" w:w="3135"/>
          </w:tcPr>
          <w:p>
            <w:r/>
            <w:r>
              <w:t>Máximo (%)</w:t>
            </w:r>
          </w:p>
        </w:tc>
        <w:tc>
          <w:tcPr>
            <w:tcW w:type="dxa" w:w="3135"/>
          </w:tcPr>
          <w:p>
            <w:r/>
            <w:r>
              <w:t>83.33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n (días observados)</w:t>
            </w:r>
          </w:p>
        </w:tc>
        <w:tc>
          <w:tcPr>
            <w:tcW w:type="dxa" w:w="3135"/>
          </w:tcPr>
          <w:p>
            <w:r/>
            <w:r>
              <w:t>43</w:t>
            </w:r>
          </w:p>
        </w:tc>
        <w:tc>
          <w:tcPr>
            <w:tcW w:type="dxa" w:w="3135"/>
          </w:tcPr>
          <w:p>
            <w:r/>
            <w:r>
              <w:t>42</w:t>
            </w:r>
          </w:p>
        </w:tc>
      </w:tr>
      <w:tr>
        <w:tc>
          <w:tcPr>
            <w:tcW w:type="dxa" w:w="3135"/>
          </w:tcPr>
          <w:p>
            <w:r/>
            <w:r>
              <w:t>Total registros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</w:tr>
      <w:tr>
        <w:tc>
          <w:tcPr>
            <w:tcW w:type="dxa" w:w="3135"/>
          </w:tcPr>
          <w:p>
            <w:r/>
            <w:r>
              <w:t>Registros válidos</w:t>
            </w:r>
          </w:p>
        </w:tc>
        <w:tc>
          <w:tcPr>
            <w:tcW w:type="dxa" w:w="3135"/>
          </w:tcPr>
          <w:p>
            <w:r/>
            <w:r>
              <w:t>90</w:t>
            </w:r>
          </w:p>
        </w:tc>
        <w:tc>
          <w:tcPr>
            <w:tcW w:type="dxa" w:w="3135"/>
          </w:tcPr>
          <w:p>
            <w:r/>
            <w:r>
              <w:t>147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% global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60.00%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98.00%</w:t>
            </w:r>
          </w:p>
        </w:tc>
      </w:tr>
    </w:tbl>
    <w:p/>
    <w:p>
      <w:r>
        <w:rPr>
          <w:b/>
        </w:rPr>
        <w:t>Interpretación:</w:t>
      </w:r>
      <w:r>
        <w:t xml:space="preserve"> La media diaria de integridad de datos se incrementó de 58.72% a 97.94%, equivalente a una mejora absoluta de </w:t>
      </w:r>
      <w:r>
        <w:rPr>
          <w:b/>
        </w:rPr>
        <w:t>+39.22 puntos porcentuales</w:t>
      </w:r>
      <w:r>
        <w:t>. En la etapa manual, los registros se invalidaban principalmente por RUC del cliente incompleto o truncado (por ejemplo "2045..." o "2076..."), lo que impedía la conciliación posterior con SUNAT y el área administrativa. El sistema EcoRoute eliminó este problema mediante validación obligatoria del RUC en el formulario digital de registro. Adicionalmente, la dispersión disminuyó (SD de 14.43% a 6.53%), evidenciando mayor consistencia.</w:t>
      </w:r>
    </w:p>
    <w:p>
      <w:pPr>
        <w:pStyle w:val="Heading3"/>
      </w:pPr>
      <w:r>
        <w:t>3.1.2 Indicador CHR — Cumplimiento de Hoja de Ruta</w:t>
      </w:r>
    </w:p>
    <w:p>
      <w:pPr>
        <w:pStyle w:val="Heading4"/>
      </w:pPr>
      <w:r>
        <w:t>Tabla 35. Estadísticos descriptivos del CHR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Estadístico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Pre-Test (manual)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Post-Test (con sistema)</w:t>
            </w:r>
          </w:p>
        </w:tc>
      </w:tr>
      <w:tr>
        <w:tc>
          <w:tcPr>
            <w:tcW w:type="dxa" w:w="3135"/>
          </w:tcPr>
          <w:p>
            <w:r/>
            <w:r>
              <w:t>Media diaria (%)</w:t>
            </w:r>
          </w:p>
        </w:tc>
        <w:tc>
          <w:tcPr>
            <w:tcW w:type="dxa" w:w="3135"/>
          </w:tcPr>
          <w:p>
            <w:r/>
            <w:r>
              <w:t>65.70</w:t>
            </w:r>
          </w:p>
        </w:tc>
        <w:tc>
          <w:tcPr>
            <w:tcW w:type="dxa" w:w="3135"/>
          </w:tcPr>
          <w:p>
            <w:r/>
            <w:r>
              <w:t>93.45</w:t>
            </w:r>
          </w:p>
        </w:tc>
      </w:tr>
      <w:tr>
        <w:tc>
          <w:tcPr>
            <w:tcW w:type="dxa" w:w="3135"/>
          </w:tcPr>
          <w:p>
            <w:r/>
            <w:r>
              <w:t>Desviación estándar (%)</w:t>
            </w:r>
          </w:p>
        </w:tc>
        <w:tc>
          <w:tcPr>
            <w:tcW w:type="dxa" w:w="3135"/>
          </w:tcPr>
          <w:p>
            <w:r/>
            <w:r>
              <w:t>9.99</w:t>
            </w:r>
          </w:p>
        </w:tc>
        <w:tc>
          <w:tcPr>
            <w:tcW w:type="dxa" w:w="3135"/>
          </w:tcPr>
          <w:p>
            <w:r/>
            <w:r>
              <w:t>10.88</w:t>
            </w:r>
          </w:p>
        </w:tc>
      </w:tr>
      <w:tr>
        <w:tc>
          <w:tcPr>
            <w:tcW w:type="dxa" w:w="3135"/>
          </w:tcPr>
          <w:p>
            <w:r/>
            <w:r>
              <w:t>Mediana (%)</w:t>
            </w:r>
          </w:p>
        </w:tc>
        <w:tc>
          <w:tcPr>
            <w:tcW w:type="dxa" w:w="3135"/>
          </w:tcPr>
          <w:p>
            <w:r/>
            <w:r>
              <w:t>66.67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Mínimo (%)</w:t>
            </w:r>
          </w:p>
        </w:tc>
        <w:tc>
          <w:tcPr>
            <w:tcW w:type="dxa" w:w="3135"/>
          </w:tcPr>
          <w:p>
            <w:r/>
            <w:r>
              <w:t>33.33</w:t>
            </w:r>
          </w:p>
        </w:tc>
        <w:tc>
          <w:tcPr>
            <w:tcW w:type="dxa" w:w="3135"/>
          </w:tcPr>
          <w:p>
            <w:r/>
            <w:r>
              <w:t>66.67</w:t>
            </w:r>
          </w:p>
        </w:tc>
      </w:tr>
      <w:tr>
        <w:tc>
          <w:tcPr>
            <w:tcW w:type="dxa" w:w="3135"/>
          </w:tcPr>
          <w:p>
            <w:r/>
            <w:r>
              <w:t>Máximo (%)</w:t>
            </w:r>
          </w:p>
        </w:tc>
        <w:tc>
          <w:tcPr>
            <w:tcW w:type="dxa" w:w="3135"/>
          </w:tcPr>
          <w:p>
            <w:r/>
            <w:r>
              <w:t>83.33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n (días observados)</w:t>
            </w:r>
          </w:p>
        </w:tc>
        <w:tc>
          <w:tcPr>
            <w:tcW w:type="dxa" w:w="3135"/>
          </w:tcPr>
          <w:p>
            <w:r/>
            <w:r>
              <w:t>43</w:t>
            </w:r>
          </w:p>
        </w:tc>
        <w:tc>
          <w:tcPr>
            <w:tcW w:type="dxa" w:w="3135"/>
          </w:tcPr>
          <w:p>
            <w:r/>
            <w:r>
              <w:t>42</w:t>
            </w:r>
          </w:p>
        </w:tc>
      </w:tr>
      <w:tr>
        <w:tc>
          <w:tcPr>
            <w:tcW w:type="dxa" w:w="3135"/>
          </w:tcPr>
          <w:p>
            <w:r/>
            <w:r>
              <w:t>Total servicios programados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</w:tr>
      <w:tr>
        <w:tc>
          <w:tcPr>
            <w:tcW w:type="dxa" w:w="3135"/>
          </w:tcPr>
          <w:p>
            <w:r/>
            <w:r>
              <w:t>Servicios entregados</w:t>
            </w:r>
          </w:p>
        </w:tc>
        <w:tc>
          <w:tcPr>
            <w:tcW w:type="dxa" w:w="3135"/>
          </w:tcPr>
          <w:p>
            <w:r/>
            <w:r>
              <w:t>101</w:t>
            </w:r>
          </w:p>
        </w:tc>
        <w:tc>
          <w:tcPr>
            <w:tcW w:type="dxa" w:w="3135"/>
          </w:tcPr>
          <w:p>
            <w:r/>
            <w:r>
              <w:t>140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% global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67.33%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93.33%</w:t>
            </w:r>
          </w:p>
        </w:tc>
      </w:tr>
    </w:tbl>
    <w:p/>
    <w:p>
      <w:r>
        <w:rPr>
          <w:b/>
        </w:rPr>
        <w:t>Interpretación:</w:t>
      </w:r>
      <w:r>
        <w:t xml:space="preserve"> La media diaria de cumplimiento de la hoja de ruta pasó de 65.70% a 93.45%, mejora absoluta de </w:t>
      </w:r>
      <w:r>
        <w:rPr>
          <w:b/>
        </w:rPr>
        <w:t>+27.75 pp</w:t>
      </w:r>
      <w:r>
        <w:t>. En la etapa pre-test, los estados predominantes que generaban incumplimiento eran "Pendiente" (14 casos), "Incidencia" (18), "Rechazado" (5), "No llegó" (7) y "Retraso" (5). La visibilidad GPS en tiempo real y la asignación digital de la ruta redujeron sustancialmente estas categorías.</w:t>
      </w:r>
    </w:p>
    <w:p>
      <w:pPr>
        <w:pStyle w:val="Heading3"/>
      </w:pPr>
      <w:r>
        <w:t>3.1.3 Indicador TDE — Tasa de Disponibilidad de Evidencias Digitales</w:t>
      </w:r>
    </w:p>
    <w:p>
      <w:pPr>
        <w:pStyle w:val="Heading4"/>
      </w:pPr>
      <w:r>
        <w:t>Tabla 36. Estadísticos descriptivos del TDE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Estadístico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Pre-Test (manual)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Post-Test (con sistema)</w:t>
            </w:r>
          </w:p>
        </w:tc>
      </w:tr>
      <w:tr>
        <w:tc>
          <w:tcPr>
            <w:tcW w:type="dxa" w:w="3135"/>
          </w:tcPr>
          <w:p>
            <w:r/>
            <w:r>
              <w:t>Media diaria (%)</w:t>
            </w:r>
          </w:p>
        </w:tc>
        <w:tc>
          <w:tcPr>
            <w:tcW w:type="dxa" w:w="3135"/>
          </w:tcPr>
          <w:p>
            <w:r/>
            <w:r>
              <w:t>51.74</w:t>
            </w:r>
          </w:p>
        </w:tc>
        <w:tc>
          <w:tcPr>
            <w:tcW w:type="dxa" w:w="3135"/>
          </w:tcPr>
          <w:p>
            <w:r/>
            <w:r>
              <w:t>93.85</w:t>
            </w:r>
          </w:p>
        </w:tc>
      </w:tr>
      <w:tr>
        <w:tc>
          <w:tcPr>
            <w:tcW w:type="dxa" w:w="3135"/>
          </w:tcPr>
          <w:p>
            <w:r/>
            <w:r>
              <w:t>Desviación estándar (%)</w:t>
            </w:r>
          </w:p>
        </w:tc>
        <w:tc>
          <w:tcPr>
            <w:tcW w:type="dxa" w:w="3135"/>
          </w:tcPr>
          <w:p>
            <w:r/>
            <w:r>
              <w:t>15.60</w:t>
            </w:r>
          </w:p>
        </w:tc>
        <w:tc>
          <w:tcPr>
            <w:tcW w:type="dxa" w:w="3135"/>
          </w:tcPr>
          <w:p>
            <w:r/>
            <w:r>
              <w:t>10.96</w:t>
            </w:r>
          </w:p>
        </w:tc>
      </w:tr>
      <w:tr>
        <w:tc>
          <w:tcPr>
            <w:tcW w:type="dxa" w:w="3135"/>
          </w:tcPr>
          <w:p>
            <w:r/>
            <w:r>
              <w:t>Mediana (%)</w:t>
            </w:r>
          </w:p>
        </w:tc>
        <w:tc>
          <w:tcPr>
            <w:tcW w:type="dxa" w:w="3135"/>
          </w:tcPr>
          <w:p>
            <w:r/>
            <w:r>
              <w:t>50.00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Mínimo (%)</w:t>
            </w:r>
          </w:p>
        </w:tc>
        <w:tc>
          <w:tcPr>
            <w:tcW w:type="dxa" w:w="3135"/>
          </w:tcPr>
          <w:p>
            <w:r/>
            <w:r>
              <w:t>33.33</w:t>
            </w:r>
          </w:p>
        </w:tc>
        <w:tc>
          <w:tcPr>
            <w:tcW w:type="dxa" w:w="3135"/>
          </w:tcPr>
          <w:p>
            <w:r/>
            <w:r>
              <w:t>66.67</w:t>
            </w:r>
          </w:p>
        </w:tc>
      </w:tr>
      <w:tr>
        <w:tc>
          <w:tcPr>
            <w:tcW w:type="dxa" w:w="3135"/>
          </w:tcPr>
          <w:p>
            <w:r/>
            <w:r>
              <w:t>Máximo (%)</w:t>
            </w:r>
          </w:p>
        </w:tc>
        <w:tc>
          <w:tcPr>
            <w:tcW w:type="dxa" w:w="3135"/>
          </w:tcPr>
          <w:p>
            <w:r/>
            <w:r>
              <w:t>75.00</w:t>
            </w:r>
          </w:p>
        </w:tc>
        <w:tc>
          <w:tcPr>
            <w:tcW w:type="dxa" w:w="3135"/>
          </w:tcPr>
          <w:p>
            <w:r/>
            <w:r>
              <w:t>100.00</w:t>
            </w:r>
          </w:p>
        </w:tc>
      </w:tr>
      <w:tr>
        <w:tc>
          <w:tcPr>
            <w:tcW w:type="dxa" w:w="3135"/>
          </w:tcPr>
          <w:p>
            <w:r/>
            <w:r>
              <w:t>n (días observados)</w:t>
            </w:r>
          </w:p>
        </w:tc>
        <w:tc>
          <w:tcPr>
            <w:tcW w:type="dxa" w:w="3135"/>
          </w:tcPr>
          <w:p>
            <w:r/>
            <w:r>
              <w:t>43</w:t>
            </w:r>
          </w:p>
        </w:tc>
        <w:tc>
          <w:tcPr>
            <w:tcW w:type="dxa" w:w="3135"/>
          </w:tcPr>
          <w:p>
            <w:r/>
            <w:r>
              <w:t>42</w:t>
            </w:r>
          </w:p>
        </w:tc>
      </w:tr>
      <w:tr>
        <w:tc>
          <w:tcPr>
            <w:tcW w:type="dxa" w:w="3135"/>
          </w:tcPr>
          <w:p>
            <w:r/>
            <w:r>
              <w:t>Total servicios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  <w:tc>
          <w:tcPr>
            <w:tcW w:type="dxa" w:w="3135"/>
          </w:tcPr>
          <w:p>
            <w:r/>
            <w:r>
              <w:t>150</w:t>
            </w:r>
          </w:p>
        </w:tc>
      </w:tr>
      <w:tr>
        <w:tc>
          <w:tcPr>
            <w:tcW w:type="dxa" w:w="3135"/>
          </w:tcPr>
          <w:p>
            <w:r/>
            <w:r>
              <w:t>Con evidencia digital</w:t>
            </w:r>
          </w:p>
        </w:tc>
        <w:tc>
          <w:tcPr>
            <w:tcW w:type="dxa" w:w="3135"/>
          </w:tcPr>
          <w:p>
            <w:r/>
            <w:r>
              <w:t>77</w:t>
            </w:r>
          </w:p>
        </w:tc>
        <w:tc>
          <w:tcPr>
            <w:tcW w:type="dxa" w:w="3135"/>
          </w:tcPr>
          <w:p>
            <w:r/>
            <w:r>
              <w:t>140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</w:rPr>
              <w:t>% global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51.33%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93.33%</w:t>
            </w:r>
          </w:p>
        </w:tc>
      </w:tr>
    </w:tbl>
    <w:p/>
    <w:p>
      <w:r>
        <w:rPr>
          <w:b/>
        </w:rPr>
        <w:t>Interpretación:</w:t>
      </w:r>
      <w:r>
        <w:t xml:space="preserve"> La tasa de disponibilidad de evidencias digitales se elevó de 51.74% a 93.85% (+42.11 pp). En la etapa manual, los soportes se distribuyeron en: "Foto WhatsApp" 77 (51.3%, único soporte verdaderamente digital y trazable), "Físico" 38 (25.3%, papel en archivo físico, no consultable a distancia) y "Sin archivo" 35 (23.3%, sin evidencia alguna). El aplicativo móvil EcoRoute impone foto + firma digital + DNI del receptor como condición técnica para cerrar el pedido como ENTREGADO, eliminando la categoría "Sin archivo".</w:t>
      </w:r>
    </w:p>
    <w:p>
      <w:pPr>
        <w:pStyle w:val="Heading3"/>
      </w:pPr>
      <w:r>
        <w:t>3.1.4 Resumen Comparativo</w:t>
      </w:r>
    </w:p>
    <w:p>
      <w:pPr>
        <w:pStyle w:val="Heading4"/>
      </w:pPr>
      <w:r>
        <w:t>Tabla 37. Resumen comparativo Pre-Test vs Post-Test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Pre-Test (M ± SD)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Post-Test (M ± SD)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Diferencia (Δ)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Mejora relativa</w:t>
            </w:r>
          </w:p>
        </w:tc>
      </w:tr>
      <w:tr>
        <w:tc>
          <w:tcPr>
            <w:tcW w:type="dxa" w:w="1881"/>
          </w:tcPr>
          <w:p>
            <w:r/>
            <w:r>
              <w:t>IID</w:t>
            </w:r>
          </w:p>
        </w:tc>
        <w:tc>
          <w:tcPr>
            <w:tcW w:type="dxa" w:w="1881"/>
          </w:tcPr>
          <w:p>
            <w:r/>
            <w:r>
              <w:t>58.72% ± 14.43%</w:t>
            </w:r>
          </w:p>
        </w:tc>
        <w:tc>
          <w:tcPr>
            <w:tcW w:type="dxa" w:w="1881"/>
          </w:tcPr>
          <w:p>
            <w:r/>
            <w:r>
              <w:t>97.94% ± 6.53%</w:t>
            </w:r>
          </w:p>
        </w:tc>
        <w:tc>
          <w:tcPr>
            <w:tcW w:type="dxa" w:w="1881"/>
          </w:tcPr>
          <w:p>
            <w:r/>
            <w:r>
              <w:t>+39.22 pp</w:t>
            </w:r>
          </w:p>
        </w:tc>
        <w:tc>
          <w:tcPr>
            <w:tcW w:type="dxa" w:w="1881"/>
          </w:tcPr>
          <w:p>
            <w:r/>
            <w:r>
              <w:t>+66.8%</w:t>
            </w:r>
          </w:p>
        </w:tc>
      </w:tr>
      <w:tr>
        <w:tc>
          <w:tcPr>
            <w:tcW w:type="dxa" w:w="1881"/>
          </w:tcPr>
          <w:p>
            <w:r/>
            <w:r>
              <w:t>CHR</w:t>
            </w:r>
          </w:p>
        </w:tc>
        <w:tc>
          <w:tcPr>
            <w:tcW w:type="dxa" w:w="1881"/>
          </w:tcPr>
          <w:p>
            <w:r/>
            <w:r>
              <w:t>65.70% ± 9.99%</w:t>
            </w:r>
          </w:p>
        </w:tc>
        <w:tc>
          <w:tcPr>
            <w:tcW w:type="dxa" w:w="1881"/>
          </w:tcPr>
          <w:p>
            <w:r/>
            <w:r>
              <w:t>93.45% ± 10.88%</w:t>
            </w:r>
          </w:p>
        </w:tc>
        <w:tc>
          <w:tcPr>
            <w:tcW w:type="dxa" w:w="1881"/>
          </w:tcPr>
          <w:p>
            <w:r/>
            <w:r>
              <w:t>+27.75 pp</w:t>
            </w:r>
          </w:p>
        </w:tc>
        <w:tc>
          <w:tcPr>
            <w:tcW w:type="dxa" w:w="1881"/>
          </w:tcPr>
          <w:p>
            <w:r/>
            <w:r>
              <w:t>+42.2%</w:t>
            </w:r>
          </w:p>
        </w:tc>
      </w:tr>
      <w:tr>
        <w:tc>
          <w:tcPr>
            <w:tcW w:type="dxa" w:w="1881"/>
          </w:tcPr>
          <w:p>
            <w:r/>
            <w:r>
              <w:t>TDE</w:t>
            </w:r>
          </w:p>
        </w:tc>
        <w:tc>
          <w:tcPr>
            <w:tcW w:type="dxa" w:w="1881"/>
          </w:tcPr>
          <w:p>
            <w:r/>
            <w:r>
              <w:t>51.74% ± 15.60%</w:t>
            </w:r>
          </w:p>
        </w:tc>
        <w:tc>
          <w:tcPr>
            <w:tcW w:type="dxa" w:w="1881"/>
          </w:tcPr>
          <w:p>
            <w:r/>
            <w:r>
              <w:t>93.85% ± 10.96%</w:t>
            </w:r>
          </w:p>
        </w:tc>
        <w:tc>
          <w:tcPr>
            <w:tcW w:type="dxa" w:w="1881"/>
          </w:tcPr>
          <w:p>
            <w:r/>
            <w:r>
              <w:t>+42.11 pp</w:t>
            </w:r>
          </w:p>
        </w:tc>
        <w:tc>
          <w:tcPr>
            <w:tcW w:type="dxa" w:w="1881"/>
          </w:tcPr>
          <w:p>
            <w:r/>
            <w:r>
              <w:t>+81.4%</w:t>
            </w:r>
          </w:p>
        </w:tc>
      </w:tr>
    </w:tbl>
    <w:p/>
    <w:p>
      <w:pPr>
        <w:ind w:left="283"/>
      </w:pPr>
      <w:r>
        <w:rPr>
          <w:i/>
          <w:color w:val="64748B"/>
        </w:rPr>
        <w:t>**Figura 47.** Gráfico de barras comparativo Pre/Post de los tres indicadores. Captura tomada del panel administrativo EcoRoute, módulo *Reportes → KPIs de Gestión Administrativa*.</w:t>
      </w:r>
    </w:p>
    <w:p>
      <w:pPr>
        <w:pStyle w:val="Heading2"/>
      </w:pPr>
      <w:r>
        <w:t>3.2 Análisis Inferencial</w:t>
      </w:r>
    </w:p>
    <w:p>
      <w:r>
        <w:t xml:space="preserve">Se aplicó la </w:t>
      </w:r>
      <w:r>
        <w:rPr>
          <w:b/>
        </w:rPr>
        <w:t>prueba t de Student para muestras dependientes</w:t>
      </w:r>
      <w:r>
        <w:t xml:space="preserve"> (emparejamiento por día de operación) para evaluar la significancia estadística de la diferencia entre pre-test y post-test en cada indicador. Las hipótesis estadísticas planteadas fueron:</w:t>
      </w:r>
    </w:p>
    <w:p>
      <w:pPr>
        <w:pStyle w:val="ListBullet"/>
      </w:pPr>
      <w:r>
        <w:rPr>
          <w:b/>
        </w:rPr>
        <w:t>H0:</w:t>
      </w:r>
      <w:r>
        <w:t xml:space="preserve"> μ_post = μ_pre (no hay diferencia significativa).</w:t>
      </w:r>
    </w:p>
    <w:p>
      <w:pPr>
        <w:pStyle w:val="ListBullet"/>
      </w:pPr>
      <w:r>
        <w:rPr>
          <w:b/>
        </w:rPr>
        <w:t>H1:</w:t>
      </w:r>
      <w:r>
        <w:t xml:space="preserve"> μ_post ≠ μ_pre (existe diferencia significativa).</w:t>
      </w:r>
    </w:p>
    <w:p>
      <w:r>
        <w:t>Nivel de significancia: α = 0.05.</w:t>
      </w:r>
    </w:p>
    <w:p>
      <w:pPr>
        <w:pStyle w:val="Heading3"/>
      </w:pPr>
      <w:r>
        <w:t>3.2.1 Prueba de Normalidad (Shapiro-Wilk)</w:t>
      </w:r>
    </w:p>
    <w:p>
      <w:pPr>
        <w:pStyle w:val="Heading4"/>
      </w:pPr>
      <w:r>
        <w:t>Tabla 38. Prueba de normalidad de Shapiro-Wilk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 / Fase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W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p-valor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Distribución</w:t>
            </w:r>
          </w:p>
        </w:tc>
      </w:tr>
      <w:tr>
        <w:tc>
          <w:tcPr>
            <w:tcW w:type="dxa" w:w="2351"/>
          </w:tcPr>
          <w:p>
            <w:r/>
            <w:r>
              <w:t>IID Pre</w:t>
            </w:r>
          </w:p>
        </w:tc>
        <w:tc>
          <w:tcPr>
            <w:tcW w:type="dxa" w:w="2351"/>
          </w:tcPr>
          <w:p>
            <w:r/>
            <w:r>
              <w:t>0.948</w:t>
            </w:r>
          </w:p>
        </w:tc>
        <w:tc>
          <w:tcPr>
            <w:tcW w:type="dxa" w:w="2351"/>
          </w:tcPr>
          <w:p>
            <w:r/>
            <w:r>
              <w:t>0.052</w:t>
            </w:r>
          </w:p>
        </w:tc>
        <w:tc>
          <w:tcPr>
            <w:tcW w:type="dxa" w:w="2351"/>
          </w:tcPr>
          <w:p>
            <w:r/>
            <w:r>
              <w:t>Normal (límite)</w:t>
            </w:r>
          </w:p>
        </w:tc>
      </w:tr>
      <w:tr>
        <w:tc>
          <w:tcPr>
            <w:tcW w:type="dxa" w:w="2351"/>
          </w:tcPr>
          <w:p>
            <w:r/>
            <w:r>
              <w:t>IID Post</w:t>
            </w:r>
          </w:p>
        </w:tc>
        <w:tc>
          <w:tcPr>
            <w:tcW w:type="dxa" w:w="2351"/>
          </w:tcPr>
          <w:p>
            <w:r/>
            <w:r>
              <w:t>0.612</w:t>
            </w:r>
          </w:p>
        </w:tc>
        <w:tc>
          <w:tcPr>
            <w:tcW w:type="dxa" w:w="2351"/>
          </w:tcPr>
          <w:p>
            <w:r/>
            <w:r>
              <w:t>&lt; 0.001</w:t>
            </w:r>
          </w:p>
        </w:tc>
        <w:tc>
          <w:tcPr>
            <w:tcW w:type="dxa" w:w="2351"/>
          </w:tcPr>
          <w:p>
            <w:r/>
            <w:r>
              <w:t>No normal (sesgo a 100%)</w:t>
            </w:r>
          </w:p>
        </w:tc>
      </w:tr>
      <w:tr>
        <w:tc>
          <w:tcPr>
            <w:tcW w:type="dxa" w:w="2351"/>
          </w:tcPr>
          <w:p>
            <w:r/>
            <w:r>
              <w:t>CHR Pre</w:t>
            </w:r>
          </w:p>
        </w:tc>
        <w:tc>
          <w:tcPr>
            <w:tcW w:type="dxa" w:w="2351"/>
          </w:tcPr>
          <w:p>
            <w:r/>
            <w:r>
              <w:t>0.966</w:t>
            </w:r>
          </w:p>
        </w:tc>
        <w:tc>
          <w:tcPr>
            <w:tcW w:type="dxa" w:w="2351"/>
          </w:tcPr>
          <w:p>
            <w:r/>
            <w:r>
              <w:t>0.231</w:t>
            </w:r>
          </w:p>
        </w:tc>
        <w:tc>
          <w:tcPr>
            <w:tcW w:type="dxa" w:w="2351"/>
          </w:tcPr>
          <w:p>
            <w:r/>
            <w:r>
              <w:t>Normal</w:t>
            </w:r>
          </w:p>
        </w:tc>
      </w:tr>
      <w:tr>
        <w:tc>
          <w:tcPr>
            <w:tcW w:type="dxa" w:w="2351"/>
          </w:tcPr>
          <w:p>
            <w:r/>
            <w:r>
              <w:t>CHR Post</w:t>
            </w:r>
          </w:p>
        </w:tc>
        <w:tc>
          <w:tcPr>
            <w:tcW w:type="dxa" w:w="2351"/>
          </w:tcPr>
          <w:p>
            <w:r/>
            <w:r>
              <w:t>0.741</w:t>
            </w:r>
          </w:p>
        </w:tc>
        <w:tc>
          <w:tcPr>
            <w:tcW w:type="dxa" w:w="2351"/>
          </w:tcPr>
          <w:p>
            <w:r/>
            <w:r>
              <w:t>&lt; 0.001</w:t>
            </w:r>
          </w:p>
        </w:tc>
        <w:tc>
          <w:tcPr>
            <w:tcW w:type="dxa" w:w="2351"/>
          </w:tcPr>
          <w:p>
            <w:r/>
            <w:r>
              <w:t>No normal (sesgo a 100%)</w:t>
            </w:r>
          </w:p>
        </w:tc>
      </w:tr>
      <w:tr>
        <w:tc>
          <w:tcPr>
            <w:tcW w:type="dxa" w:w="2351"/>
          </w:tcPr>
          <w:p>
            <w:r/>
            <w:r>
              <w:t>TDE Pre</w:t>
            </w:r>
          </w:p>
        </w:tc>
        <w:tc>
          <w:tcPr>
            <w:tcW w:type="dxa" w:w="2351"/>
          </w:tcPr>
          <w:p>
            <w:r/>
            <w:r>
              <w:t>0.952</w:t>
            </w:r>
          </w:p>
        </w:tc>
        <w:tc>
          <w:tcPr>
            <w:tcW w:type="dxa" w:w="2351"/>
          </w:tcPr>
          <w:p>
            <w:r/>
            <w:r>
              <w:t>0.072</w:t>
            </w:r>
          </w:p>
        </w:tc>
        <w:tc>
          <w:tcPr>
            <w:tcW w:type="dxa" w:w="2351"/>
          </w:tcPr>
          <w:p>
            <w:r/>
            <w:r>
              <w:t>Normal</w:t>
            </w:r>
          </w:p>
        </w:tc>
      </w:tr>
      <w:tr>
        <w:tc>
          <w:tcPr>
            <w:tcW w:type="dxa" w:w="2351"/>
          </w:tcPr>
          <w:p>
            <w:r/>
            <w:r>
              <w:t>TDE Post</w:t>
            </w:r>
          </w:p>
        </w:tc>
        <w:tc>
          <w:tcPr>
            <w:tcW w:type="dxa" w:w="2351"/>
          </w:tcPr>
          <w:p>
            <w:r/>
            <w:r>
              <w:t>0.795</w:t>
            </w:r>
          </w:p>
        </w:tc>
        <w:tc>
          <w:tcPr>
            <w:tcW w:type="dxa" w:w="2351"/>
          </w:tcPr>
          <w:p>
            <w:r/>
            <w:r>
              <w:t>&lt; 0.001</w:t>
            </w:r>
          </w:p>
        </w:tc>
        <w:tc>
          <w:tcPr>
            <w:tcW w:type="dxa" w:w="2351"/>
          </w:tcPr>
          <w:p>
            <w:r/>
            <w:r>
              <w:t>No normal (sesgo a 100%)</w:t>
            </w:r>
          </w:p>
        </w:tc>
      </w:tr>
    </w:tbl>
    <w:p/>
    <w:p>
      <w:r>
        <w:t xml:space="preserve">Como los datos del post-test presentan sesgo hacia el 100% (techo del indicador), se complementó la prueba t paramétrica con la </w:t>
      </w:r>
      <w:r>
        <w:rPr>
          <w:b/>
        </w:rPr>
        <w:t>prueba no paramétrica de Wilcoxon para muestras relacionadas</w:t>
      </w:r>
      <w:r>
        <w:t>, obteniendo conclusiones equivalentes (Z &gt; 5.0, p &lt; 0.001 en los tres indicadores). Dado el tamaño muestral (n = 42 pares) y el robusto Teorema del Límite Central, los resultados de la t de Student se reportan como prueba principal.</w:t>
      </w:r>
    </w:p>
    <w:p>
      <w:pPr>
        <w:pStyle w:val="Heading3"/>
      </w:pPr>
      <w:r>
        <w:t>3.2.2 Prueba t de Student para Muestras Dependientes</w:t>
      </w:r>
    </w:p>
    <w:p>
      <w:pPr>
        <w:pStyle w:val="Heading4"/>
      </w:pPr>
      <w:r>
        <w:t>Tabla 39. Resultados de la prueba t de Student (n = 42 pares emparejados por día)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d̄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SD diff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SE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gl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p-valor</w:t>
            </w:r>
          </w:p>
        </w:tc>
        <w:tc>
          <w:tcPr>
            <w:tcW w:type="dxa" w:w="1176"/>
            <w:shd w:val="clear" w:color="auto" w:fill="2563EB"/>
          </w:tcPr>
          <w:p>
            <w:r/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b/>
              </w:rPr>
              <w:t>IID</w:t>
            </w:r>
          </w:p>
        </w:tc>
        <w:tc>
          <w:tcPr>
            <w:tcW w:type="dxa" w:w="1176"/>
          </w:tcPr>
          <w:p>
            <w:r/>
            <w:r>
              <w:t>39.405</w:t>
            </w:r>
          </w:p>
        </w:tc>
        <w:tc>
          <w:tcPr>
            <w:tcW w:type="dxa" w:w="1176"/>
          </w:tcPr>
          <w:p>
            <w:r/>
            <w:r>
              <w:t>17.580</w:t>
            </w:r>
          </w:p>
        </w:tc>
        <w:tc>
          <w:tcPr>
            <w:tcW w:type="dxa" w:w="1176"/>
          </w:tcPr>
          <w:p>
            <w:r/>
            <w:r>
              <w:t>2.713</w:t>
            </w:r>
          </w:p>
        </w:tc>
        <w:tc>
          <w:tcPr>
            <w:tcW w:type="dxa" w:w="1176"/>
          </w:tcPr>
          <w:p>
            <w:r/>
            <w:r>
              <w:rPr>
                <w:b/>
              </w:rPr>
              <w:t>14.526</w:t>
            </w:r>
          </w:p>
        </w:tc>
        <w:tc>
          <w:tcPr>
            <w:tcW w:type="dxa" w:w="1176"/>
          </w:tcPr>
          <w:p>
            <w:r/>
            <w:r>
              <w:t>41</w:t>
            </w:r>
          </w:p>
        </w:tc>
        <w:tc>
          <w:tcPr>
            <w:tcW w:type="dxa" w:w="1176"/>
          </w:tcPr>
          <w:p>
            <w:r/>
            <w:r>
              <w:t>&lt; 0.001</w:t>
            </w:r>
          </w:p>
        </w:tc>
        <w:tc>
          <w:tcPr>
            <w:tcW w:type="dxa" w:w="1176"/>
          </w:tcPr>
          <w:p>
            <w:r/>
            <w:r>
              <w:t>Rechazar H0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b/>
              </w:rPr>
              <w:t>CHR</w:t>
            </w:r>
          </w:p>
        </w:tc>
        <w:tc>
          <w:tcPr>
            <w:tcW w:type="dxa" w:w="1176"/>
          </w:tcPr>
          <w:p>
            <w:r/>
            <w:r>
              <w:t>27.778</w:t>
            </w:r>
          </w:p>
        </w:tc>
        <w:tc>
          <w:tcPr>
            <w:tcW w:type="dxa" w:w="1176"/>
          </w:tcPr>
          <w:p>
            <w:r/>
            <w:r>
              <w:t>16.407</w:t>
            </w:r>
          </w:p>
        </w:tc>
        <w:tc>
          <w:tcPr>
            <w:tcW w:type="dxa" w:w="1176"/>
          </w:tcPr>
          <w:p>
            <w:r/>
            <w:r>
              <w:t>2.532</w:t>
            </w:r>
          </w:p>
        </w:tc>
        <w:tc>
          <w:tcPr>
            <w:tcW w:type="dxa" w:w="1176"/>
          </w:tcPr>
          <w:p>
            <w:r/>
            <w:r>
              <w:rPr>
                <w:b/>
              </w:rPr>
              <w:t>10.972</w:t>
            </w:r>
          </w:p>
        </w:tc>
        <w:tc>
          <w:tcPr>
            <w:tcW w:type="dxa" w:w="1176"/>
          </w:tcPr>
          <w:p>
            <w:r/>
            <w:r>
              <w:t>41</w:t>
            </w:r>
          </w:p>
        </w:tc>
        <w:tc>
          <w:tcPr>
            <w:tcW w:type="dxa" w:w="1176"/>
          </w:tcPr>
          <w:p>
            <w:r/>
            <w:r>
              <w:t>&lt; 0.001</w:t>
            </w:r>
          </w:p>
        </w:tc>
        <w:tc>
          <w:tcPr>
            <w:tcW w:type="dxa" w:w="1176"/>
          </w:tcPr>
          <w:p>
            <w:r/>
            <w:r>
              <w:t>Rechazar H0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b/>
              </w:rPr>
              <w:t>TDE</w:t>
            </w:r>
          </w:p>
        </w:tc>
        <w:tc>
          <w:tcPr>
            <w:tcW w:type="dxa" w:w="1176"/>
          </w:tcPr>
          <w:p>
            <w:r/>
            <w:r>
              <w:t>42.460</w:t>
            </w:r>
          </w:p>
        </w:tc>
        <w:tc>
          <w:tcPr>
            <w:tcW w:type="dxa" w:w="1176"/>
          </w:tcPr>
          <w:p>
            <w:r/>
            <w:r>
              <w:t>19.943</w:t>
            </w:r>
          </w:p>
        </w:tc>
        <w:tc>
          <w:tcPr>
            <w:tcW w:type="dxa" w:w="1176"/>
          </w:tcPr>
          <w:p>
            <w:r/>
            <w:r>
              <w:t>3.077</w:t>
            </w:r>
          </w:p>
        </w:tc>
        <w:tc>
          <w:tcPr>
            <w:tcW w:type="dxa" w:w="1176"/>
          </w:tcPr>
          <w:p>
            <w:r/>
            <w:r>
              <w:rPr>
                <w:b/>
              </w:rPr>
              <w:t>13.798</w:t>
            </w:r>
          </w:p>
        </w:tc>
        <w:tc>
          <w:tcPr>
            <w:tcW w:type="dxa" w:w="1176"/>
          </w:tcPr>
          <w:p>
            <w:r/>
            <w:r>
              <w:t>41</w:t>
            </w:r>
          </w:p>
        </w:tc>
        <w:tc>
          <w:tcPr>
            <w:tcW w:type="dxa" w:w="1176"/>
          </w:tcPr>
          <w:p>
            <w:r/>
            <w:r>
              <w:t>&lt; 0.001</w:t>
            </w:r>
          </w:p>
        </w:tc>
        <w:tc>
          <w:tcPr>
            <w:tcW w:type="dxa" w:w="1176"/>
          </w:tcPr>
          <w:p>
            <w:r/>
            <w:r>
              <w:t>Rechazar H0</w:t>
            </w:r>
          </w:p>
        </w:tc>
      </w:tr>
    </w:tbl>
    <w:p/>
    <w:p>
      <w:r>
        <w:t>Valor crítico bilateral t(41, α=0.05) = 2.020. Todos los t observados superan ampliamente este valor.</w:t>
      </w:r>
    </w:p>
    <w:p>
      <w:r>
        <w:rPr>
          <w:b/>
        </w:rPr>
        <w:t>Tamaño del efecto (d de Cohen):</w:t>
      </w:r>
    </w:p>
    <w:p>
      <w:pPr>
        <w:pStyle w:val="ListBullet"/>
      </w:pPr>
      <w:r>
        <w:t xml:space="preserve">IID: d = 39.405 / 17.580 = </w:t>
      </w:r>
      <w:r>
        <w:rPr>
          <w:b/>
        </w:rPr>
        <w:t>2.241</w:t>
      </w:r>
      <w:r>
        <w:t xml:space="preserve"> (efecto muy grande, d &gt; 0.8).</w:t>
      </w:r>
    </w:p>
    <w:p>
      <w:pPr>
        <w:pStyle w:val="ListBullet"/>
      </w:pPr>
      <w:r>
        <w:t xml:space="preserve">CHR: d = 27.778 / 16.407 = </w:t>
      </w:r>
      <w:r>
        <w:rPr>
          <w:b/>
        </w:rPr>
        <w:t>1.693</w:t>
      </w:r>
      <w:r>
        <w:t xml:space="preserve"> (efecto muy grande).</w:t>
      </w:r>
    </w:p>
    <w:p>
      <w:pPr>
        <w:pStyle w:val="ListBullet"/>
      </w:pPr>
      <w:r>
        <w:t xml:space="preserve">TDE: d = 42.460 / 19.943 = </w:t>
      </w:r>
      <w:r>
        <w:rPr>
          <w:b/>
        </w:rPr>
        <w:t>2.129</w:t>
      </w:r>
      <w:r>
        <w:t xml:space="preserve"> (efecto muy grande).</w:t>
      </w:r>
    </w:p>
    <w:p>
      <w:r>
        <w:rPr>
          <w:b/>
        </w:rPr>
        <w:t>Conclusión inferencial:</w:t>
      </w:r>
      <w:r>
        <w:t xml:space="preserve"> En los tres indicadores se rechaza la hipótesis nula con p &lt; 0.001, lo que permite afirmar que </w:t>
      </w:r>
      <w:r>
        <w:rPr>
          <w:b/>
        </w:rPr>
        <w:t>existe diferencia estadísticamente significativa</w:t>
      </w:r>
      <w:r>
        <w:t xml:space="preserve"> entre los valores pre-test y post-test, atribuible a la implementación del aplicativo móvil. Los tamaños del efecto (d de Cohen) son consistentemente superiores a 1.6, lo que refleja un impacto práctico de gran magnitud.</w:t>
      </w:r>
    </w:p>
    <w:p>
      <w:pPr>
        <w:pStyle w:val="Heading3"/>
      </w:pPr>
      <w:r>
        <w:t>3.2.3 Coeficiente de Correlación de Pearson</w:t>
      </w:r>
    </w:p>
    <w:p>
      <w:r>
        <w:t xml:space="preserve">Para complementar el análisis, se aplicó un cuestionario en escala de Likert de 5 puntos al personal administrativo y conductores de MICOTRANS (n = 18: 5 conductores, 6 administrativos, 4 operaciones, 3 gerencia) sobre la </w:t>
      </w:r>
      <w:r>
        <w:rPr>
          <w:b/>
        </w:rPr>
        <w:t>percepción de utilidad, facilidad de uso e intención de uso del aplicativo móvil</w:t>
      </w:r>
      <w:r>
        <w:t xml:space="preserve"> según el marco UTAUT, y se correlacionó con el </w:t>
      </w:r>
      <w:r>
        <w:rPr>
          <w:b/>
        </w:rPr>
        <w:t>resultado real</w:t>
      </w:r>
      <w:r>
        <w:t xml:space="preserve"> del indicador medido en la operación de cada participante durante el post-test. El cuestionario completo se incluye en el Anexo 2.</w:t>
      </w:r>
    </w:p>
    <w:p>
      <w:r>
        <w:rPr>
          <w:b/>
        </w:rPr>
        <w:t>Confiabilidad del instrumento:</w:t>
      </w:r>
      <w:r>
        <w:t xml:space="preserve"> Se calculó el </w:t>
      </w:r>
      <w:r>
        <w:rPr>
          <w:b/>
        </w:rPr>
        <w:t>Alfa de Cronbach</w:t>
      </w:r>
      <w:r>
        <w:t xml:space="preserve"> sobre los 13 ítems del cuestionario, obteniendo α = </w:t>
      </w:r>
      <w:r>
        <w:rPr>
          <w:b/>
        </w:rPr>
        <w:t>0.877</w:t>
      </w:r>
      <w:r>
        <w:t xml:space="preserve">, lo que indica una consistencia interna </w:t>
      </w:r>
      <w:r>
        <w:rPr>
          <w:b/>
        </w:rPr>
        <w:t>buena</w:t>
      </w:r>
      <w:r>
        <w:t xml:space="preserve"> y respalda la calidad del instrumento.</w:t>
      </w:r>
    </w:p>
    <w:p>
      <w:pPr>
        <w:pStyle w:val="Heading4"/>
      </w:pPr>
      <w:r>
        <w:t>Tabla 40. Coeficiente de correlación de Pearson (n = 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Pares de variables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r de Pearson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p-valor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1881"/>
          </w:tcPr>
          <w:p>
            <w:r/>
            <w:r>
              <w:t>Facilidad de uso (EE, P4-P6) ↔ IID personal</w:t>
            </w:r>
          </w:p>
        </w:tc>
        <w:tc>
          <w:tcPr>
            <w:tcW w:type="dxa" w:w="1881"/>
          </w:tcPr>
          <w:p>
            <w:r/>
            <w:r>
              <w:t>0.927</w:t>
            </w:r>
          </w:p>
        </w:tc>
        <w:tc>
          <w:tcPr>
            <w:tcW w:type="dxa" w:w="1881"/>
          </w:tcPr>
          <w:p>
            <w:r/>
            <w:r>
              <w:t>9.90</w:t>
            </w:r>
          </w:p>
        </w:tc>
        <w:tc>
          <w:tcPr>
            <w:tcW w:type="dxa" w:w="1881"/>
          </w:tcPr>
          <w:p>
            <w:r/>
            <w:r>
              <w:t>&lt; 0.001</w:t>
            </w:r>
          </w:p>
        </w:tc>
        <w:tc>
          <w:tcPr>
            <w:tcW w:type="dxa" w:w="1881"/>
          </w:tcPr>
          <w:p>
            <w:r/>
            <w:r>
              <w:t>Correlación positiva muy fuerte</w:t>
            </w:r>
          </w:p>
        </w:tc>
      </w:tr>
      <w:tr>
        <w:tc>
          <w:tcPr>
            <w:tcW w:type="dxa" w:w="1881"/>
          </w:tcPr>
          <w:p>
            <w:r/>
            <w:r>
              <w:t>Utilidad percibida (PE, P1-P3) ↔ CHR personal</w:t>
            </w:r>
          </w:p>
        </w:tc>
        <w:tc>
          <w:tcPr>
            <w:tcW w:type="dxa" w:w="1881"/>
          </w:tcPr>
          <w:p>
            <w:r/>
            <w:r>
              <w:t>0.848</w:t>
            </w:r>
          </w:p>
        </w:tc>
        <w:tc>
          <w:tcPr>
            <w:tcW w:type="dxa" w:w="1881"/>
          </w:tcPr>
          <w:p>
            <w:r/>
            <w:r>
              <w:t>6.40</w:t>
            </w:r>
          </w:p>
        </w:tc>
        <w:tc>
          <w:tcPr>
            <w:tcW w:type="dxa" w:w="1881"/>
          </w:tcPr>
          <w:p>
            <w:r/>
            <w:r>
              <w:t>&lt; 0.001</w:t>
            </w:r>
          </w:p>
        </w:tc>
        <w:tc>
          <w:tcPr>
            <w:tcW w:type="dxa" w:w="1881"/>
          </w:tcPr>
          <w:p>
            <w:r/>
            <w:r>
              <w:t>Correlación positiva muy fuerte</w:t>
            </w:r>
          </w:p>
        </w:tc>
      </w:tr>
      <w:tr>
        <w:tc>
          <w:tcPr>
            <w:tcW w:type="dxa" w:w="1881"/>
          </w:tcPr>
          <w:p>
            <w:r/>
            <w:r>
              <w:t>Intención y Evidencia (P11-P12) ↔ TDE personal</w:t>
            </w:r>
          </w:p>
        </w:tc>
        <w:tc>
          <w:tcPr>
            <w:tcW w:type="dxa" w:w="1881"/>
          </w:tcPr>
          <w:p>
            <w:r/>
            <w:r>
              <w:t>0.736</w:t>
            </w:r>
          </w:p>
        </w:tc>
        <w:tc>
          <w:tcPr>
            <w:tcW w:type="dxa" w:w="1881"/>
          </w:tcPr>
          <w:p>
            <w:r/>
            <w:r>
              <w:t>4.35</w:t>
            </w:r>
          </w:p>
        </w:tc>
        <w:tc>
          <w:tcPr>
            <w:tcW w:type="dxa" w:w="1881"/>
          </w:tcPr>
          <w:p>
            <w:r/>
            <w:r>
              <w:t>&lt; 0.001</w:t>
            </w:r>
          </w:p>
        </w:tc>
        <w:tc>
          <w:tcPr>
            <w:tcW w:type="dxa" w:w="1881"/>
          </w:tcPr>
          <w:p>
            <w:r/>
            <w:r>
              <w:t>Correlación positiva fuerte</w:t>
            </w:r>
          </w:p>
        </w:tc>
      </w:tr>
      <w:tr>
        <w:tc>
          <w:tcPr>
            <w:tcW w:type="dxa" w:w="1881"/>
          </w:tcPr>
          <w:p>
            <w:r/>
            <w:r>
              <w:t>Satisfacción global ↔ KPI promedio</w:t>
            </w:r>
          </w:p>
        </w:tc>
        <w:tc>
          <w:tcPr>
            <w:tcW w:type="dxa" w:w="1881"/>
          </w:tcPr>
          <w:p>
            <w:r/>
            <w:r>
              <w:t>0.984</w:t>
            </w:r>
          </w:p>
        </w:tc>
        <w:tc>
          <w:tcPr>
            <w:tcW w:type="dxa" w:w="1881"/>
          </w:tcPr>
          <w:p>
            <w:r/>
            <w:r>
              <w:t>22.27</w:t>
            </w:r>
          </w:p>
        </w:tc>
        <w:tc>
          <w:tcPr>
            <w:tcW w:type="dxa" w:w="1881"/>
          </w:tcPr>
          <w:p>
            <w:r/>
            <w:r>
              <w:t>&lt; 0.001</w:t>
            </w:r>
          </w:p>
        </w:tc>
        <w:tc>
          <w:tcPr>
            <w:tcW w:type="dxa" w:w="1881"/>
          </w:tcPr>
          <w:p>
            <w:r/>
            <w:r>
              <w:t>Correlación positiva muy fuerte</w:t>
            </w:r>
          </w:p>
        </w:tc>
      </w:tr>
    </w:tbl>
    <w:p/>
    <w:p>
      <w:r>
        <w:t>Valor crítico t bilateral (gl = 16, α = 0.001) = 4.015. Todos los valores t observados superan ampliamente este umbral.</w:t>
      </w:r>
    </w:p>
    <w:p>
      <w:r>
        <w:rPr>
          <w:b/>
        </w:rPr>
        <w:t>Interpretación:</w:t>
      </w:r>
      <w:r>
        <w:t xml:space="preserve"> Los coeficientes r &gt; 0.73 en todos los pares evidencian que la percepción del usuario respecto al aplicativo está estrechamente relacionada con los resultados objetivos medidos, lo que refuerza la validez externa del estudio y el modelo UTAUT como marco explicativo. La correlación más alta corresponde a la satisfacción global con el promedio de los tres indicadores, lo que sugiere que los usuarios que reportan mayor satisfacción son también quienes obtienen mejores resultados operativos.</w:t>
      </w:r>
    </w:p>
    <w:p>
      <w:pPr>
        <w:pStyle w:val="Heading2"/>
      </w:pPr>
      <w:r>
        <w:t>3.3 Resultados por Objetivo Específico</w:t>
      </w:r>
    </w:p>
    <w:p>
      <w:pPr>
        <w:pStyle w:val="Heading3"/>
      </w:pPr>
      <w:r>
        <w:t>3.3.1 Objetivo Específico 1 — Planeación y Registro de Servicios (IID)</w:t>
      </w:r>
    </w:p>
    <w:p>
      <w:r>
        <w:t xml:space="preserve">El indicador IID pasó de una media diaria de 58.72% a 97.94% (Δ = +39.22 pp; t(41) = 14.53; p &lt; 0.001; d = 2.24). Se acepta la hipótesis específica H1.1: el aplicativo móvil </w:t>
      </w:r>
      <w:r>
        <w:rPr>
          <w:b/>
        </w:rPr>
        <w:t>optimiza significativamente la planeación y registro de servicios</w:t>
      </w:r>
      <w:r>
        <w:t xml:space="preserve"> en MICOTRANS S.A.C. La causa principal de la mejora fue la eliminación de registros con RUC del cliente truncado o ausente, gracias a la validación obligatoria en el formulario digital.</w:t>
      </w:r>
    </w:p>
    <w:p>
      <w:pPr>
        <w:pStyle w:val="Heading3"/>
      </w:pPr>
      <w:r>
        <w:t>3.3.2 Objetivo Específico 2 — Control y Monitoreo de Procesos (CHR)</w:t>
      </w:r>
    </w:p>
    <w:p>
      <w:r>
        <w:t xml:space="preserve">El indicador CHR mejoró de 65.70% a 93.45% (Δ = +27.75 pp; t(41) = 10.97; p &lt; 0.001; d = 1.69). Se acepta H1.2: el aplicativo móvil </w:t>
      </w:r>
      <w:r>
        <w:rPr>
          <w:b/>
        </w:rPr>
        <w:t>fortalece significativamente el control y monitoreo de procesos</w:t>
      </w:r>
      <w:r>
        <w:t>. La visibilidad GPS en tiempo real, la asignación digital de rutas y la auditoría inmutable de cambios de estado permitieron reducir drásticamente los casos de "No llegó", "Pendiente" e "Incidencia" sin resolver.</w:t>
      </w:r>
    </w:p>
    <w:p>
      <w:pPr>
        <w:pStyle w:val="Heading3"/>
      </w:pPr>
      <w:r>
        <w:t>3.3.3 Objetivo Específico 3 — Evaluación y Cierre Administrativo (TDE)</w:t>
      </w:r>
    </w:p>
    <w:p>
      <w:r>
        <w:t xml:space="preserve">El indicador TDE se elevó de 51.74% a 93.85% (Δ = +42.11 pp; t(41) = 13.80; p &lt; 0.001; d = 2.13). Se acepta H1.3: el aplicativo móvil </w:t>
      </w:r>
      <w:r>
        <w:rPr>
          <w:b/>
        </w:rPr>
        <w:t>agiliza significativamente la evaluación y cierre administrativo</w:t>
      </w:r>
      <w:r>
        <w:t>. La obligatoriedad de captura de foto, firma digital y DNI del receptor en la app móvil eliminó la categoría "Sin archivo" y permitió consolidar la evidencia en un repositorio centralizado (S3) accesible desde el panel administrativo.</w:t>
      </w:r>
    </w:p>
    <w:p>
      <w:pPr>
        <w:pStyle w:val="Heading3"/>
      </w:pPr>
      <w:r>
        <w:t>3.3.4 Hipótesis General</w:t>
      </w:r>
    </w:p>
    <w:p>
      <w:r>
        <w:t>Considerando los tres indicadores como dimensiones de la gestión administrativa, y dado que las tres hipótesis específicas se aceptaron con tamaños del efecto superiores a 1.6, se concluye que se acepta la hipótesis general:</w:t>
      </w:r>
    </w:p>
    <w:p>
      <w:pPr>
        <w:ind w:left="283"/>
      </w:pPr>
      <w:r>
        <w:rPr>
          <w:i/>
          <w:color w:val="64748B"/>
        </w:rPr>
        <w:t>**H1:** El aplicativo móvil influye significativamente en la gestión administrativa en una empresa de transporte de carga en el distrito de Puente Piedra, Lima 2025.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**Nota metodológica de reproducibilidad:** Los datos del pre-test provienen del registro físico real entregado por el área administrativa de Grupo Micotrans S.A.C. (archivo "REGISTROS SOLICITADOS-MICOTRANS S.A.C - Hoja 1.csv") y fueron cargados al sistema mediante el script `micotrans_pretest_real.sql`. Los datos del post-test fueron generados por la operación del sistema EcoRoute en el periodo 20/04/2026 – 31/05/2026 y consultados mediante los endpoints `/reports/kpi/{iid|chr|tde}`. Las fichas exportables (CSV y PDF) están disponibles desde el panel administrativo en la sección *Reportes → KPIs de Gestión Administrativa (Tesis)*.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