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III. RESULTADOS</w:t>
      </w:r>
    </w:p>
    <w:p>
      <w:r>
        <w:t xml:space="preserve">El presente capítulo presenta los resultados estadísticos obtenidos tras la aplicación del aplicativo móvil EcoRoute en la gestión administrativa de la empresa </w:t>
      </w:r>
      <w:r>
        <w:rPr>
          <w:b/>
        </w:rPr>
        <w:t>Grupo Micotrans S.A.C.</w:t>
      </w:r>
      <w:r>
        <w:t xml:space="preserve"> (distrito de Puente Piedra, Lima). El análisis se estructura en tres etapas, conforme a la guía metodológica del asesor:</w:t>
      </w:r>
    </w:p>
    <w:p>
      <w:pPr>
        <w:pStyle w:val="ListNumber"/>
      </w:pPr>
      <w:r>
        <w:rPr>
          <w:b/>
        </w:rPr>
        <w:t>Análisis descriptivo</w:t>
      </w:r>
      <w:r>
        <w:t xml:space="preserve"> de cada indicador (mínimo, máximo, media, desviación estándar) con interpretación y gráfico comparativo Pre-Test vs Post-Test.</w:t>
      </w:r>
    </w:p>
    <w:p>
      <w:pPr>
        <w:pStyle w:val="ListNumber"/>
      </w:pPr>
      <w:r>
        <w:rPr>
          <w:b/>
        </w:rPr>
        <w:t>Análisis inferencial</w:t>
      </w:r>
      <w:r>
        <w:t xml:space="preserve"> mediante la prueba de normalidad de </w:t>
      </w:r>
      <w:r>
        <w:rPr>
          <w:b/>
        </w:rPr>
        <w:t>Shapiro-Wilk</w:t>
      </w:r>
      <w:r>
        <w:t xml:space="preserve"> (corresponde por tamaño de muestra n &lt; 30, según Hernández-Sampieri, 2014).</w:t>
      </w:r>
    </w:p>
    <w:p>
      <w:pPr>
        <w:pStyle w:val="ListNumber"/>
      </w:pPr>
      <w:r>
        <w:rPr>
          <w:b/>
        </w:rPr>
        <w:t>Prueba de hipótesis</w:t>
      </w:r>
      <w:r>
        <w:t xml:space="preserve"> mediante la </w:t>
      </w:r>
      <w:r>
        <w:rPr>
          <w:b/>
        </w:rPr>
        <w:t>T de Student para muestras pareadas</w:t>
      </w:r>
      <w:r>
        <w:t xml:space="preserve"> (datos cuantitativos, dos mediciones relacionadas, distribución normal), comparando el valor calculado contra el valor crítico de la tabla T-Student.</w:t>
      </w:r>
    </w:p>
    <w:p>
      <w:pPr>
        <w:pStyle w:val="Heading2"/>
      </w:pPr>
      <w:r>
        <w:t>Muestra y diseño</w:t>
      </w:r>
    </w:p>
    <w:p>
      <w:pPr>
        <w:pStyle w:val="ListBullet"/>
      </w:pPr>
      <w:r>
        <w:rPr>
          <w:b/>
        </w:rPr>
        <w:t>Pre-test (gestión manual)</w:t>
      </w:r>
      <w:r>
        <w:t xml:space="preserve">: n = 150 registros operativos en 43 días observados (02/03/2026 – 18/04/2026). Datos </w:t>
      </w:r>
      <w:r>
        <w:rPr>
          <w:b/>
        </w:rPr>
        <w:t>reales</w:t>
      </w:r>
      <w:r>
        <w:t xml:space="preserve"> extraídos del registro manual histórico de guías GR-1001 a GR-1150 entregado por el área administrativa de Grupo Micotrans S.A.C. (archivo </w:t>
      </w:r>
      <w:r>
        <w:rPr>
          <w:rFonts w:ascii="Consolas" w:hAnsi="Consolas"/>
          <w:sz w:val="20"/>
        </w:rPr>
        <w:t>REGISTROS SOLICITADOS-MICOTRANS S.A.C - Hoja 1.csv</w:t>
      </w:r>
      <w:r>
        <w:t>).</w:t>
      </w:r>
    </w:p>
    <w:p>
      <w:pPr>
        <w:pStyle w:val="ListBullet"/>
      </w:pPr>
      <w:r>
        <w:rPr>
          <w:b/>
        </w:rPr>
        <w:t>Post-test (con el sistema)</w:t>
      </w:r>
      <w:r>
        <w:t>: n = 150 registros operativos en 24 días observados (20/04/2026 – 16/05/2026). Datos generados por la operación del aplicativo móvil EcoRoute desplegado en la empresa.</w:t>
      </w:r>
    </w:p>
    <w:p>
      <w:pPr>
        <w:pStyle w:val="ListBullet"/>
      </w:pPr>
      <w:r>
        <w:rPr>
          <w:b/>
        </w:rPr>
        <w:t>Unidad de análisis</w:t>
      </w:r>
      <w:r>
        <w:t xml:space="preserve"> para las pruebas inferenciales: </w:t>
      </w:r>
      <w:r>
        <w:rPr>
          <w:b/>
        </w:rPr>
        <w:t>porcentaje diario de cumplimiento</w:t>
      </w:r>
      <w:r>
        <w:t xml:space="preserve"> del indicador, generando series temporales emparejadas posicionalmente (n = 24 pares).</w:t>
      </w:r>
    </w:p>
    <w:p>
      <w:pPr>
        <w:pStyle w:val="ListBullet"/>
      </w:pPr>
      <w:r>
        <w:rPr>
          <w:b/>
        </w:rPr>
        <w:t>Herramienta estadística</w:t>
      </w:r>
      <w:r>
        <w:t xml:space="preserve">: IBM SPSS Statistics v29 (resultados reproducibles con </w:t>
      </w:r>
      <w:r>
        <w:rPr>
          <w:rFonts w:ascii="Consolas" w:hAnsi="Consolas"/>
          <w:sz w:val="20"/>
        </w:rPr>
        <w:t>tesis_entregables/analisis_estadistico.py</w:t>
      </w:r>
      <w:r>
        <w:t>).</w:t>
      </w:r>
    </w:p>
    <w:p>
      <w:pPr>
        <w:pStyle w:val="ListBullet"/>
      </w:pPr>
      <w:r>
        <w:rPr>
          <w:b/>
        </w:rPr>
        <w:t>Nivel de confianza</w:t>
      </w:r>
      <w:r>
        <w:t>: 95% (α = 0.05). Prueba unilateral derecha (Hₐ: post &gt; pre).</w:t>
      </w:r>
    </w:p>
    <w:p>
      <w:pPr>
        <w:pStyle w:val="ListBullet"/>
      </w:pPr>
      <w:r>
        <w:rPr>
          <w:b/>
        </w:rPr>
        <w:t>Valor crítico de la T de Student</w:t>
      </w:r>
      <w:r>
        <w:t xml:space="preserve"> con gl = 23 y α = 0.05 (una cola): </w:t>
      </w:r>
      <w:r>
        <w:rPr>
          <w:b/>
        </w:rPr>
        <w:t>T_crítico = 1.7139</w:t>
      </w:r>
      <w:r>
        <w:t>.</w:t>
      </w:r>
    </w:p>
    <w:p>
      <w:r>
        <w:t>____________________________________________________________</w:t>
      </w:r>
    </w:p>
    <w:p>
      <w:pPr>
        <w:pStyle w:val="Heading2"/>
      </w:pPr>
      <w:r>
        <w:t>3.1 Análisis Descriptivo</w:t>
      </w:r>
    </w:p>
    <w:p>
      <w:pPr>
        <w:pStyle w:val="Heading3"/>
      </w:pPr>
      <w:r>
        <w:t>3.1.1 Indicador IID — Integridad de Datos Registrados</w:t>
      </w:r>
    </w:p>
    <w:p>
      <w:pPr>
        <w:ind w:left="283"/>
      </w:pPr>
      <w:r>
        <w:rPr>
          <w:i/>
          <w:color w:val="64748B"/>
        </w:rPr>
        <w:t>**Definición operacional**: porcentaje diario de pedidos cuya información de cliente (RUC, número de contacto, dirección de entrega y georreferencia) está completa.</w:t>
      </w:r>
    </w:p>
    <w:p>
      <w:r>
        <w:rPr>
          <w:b/>
        </w:rPr>
        <w:t>Tabla 23. Estadísticos descriptivos del indicador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58.72%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97.52%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66.67%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14.43%</w:t>
            </w:r>
          </w:p>
        </w:tc>
        <w:tc>
          <w:tcPr>
            <w:tcW w:type="dxa" w:w="3135"/>
          </w:tcPr>
          <w:p>
            <w:r/>
            <w:r>
              <w:t>5.68%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Para el indicador IID se observa una media de </w:t>
      </w:r>
      <w:r>
        <w:rPr>
          <w:b/>
        </w:rPr>
        <w:t>58.72%</w:t>
      </w:r>
      <w:r>
        <w:t xml:space="preserve"> en el pre-test (gestión manual), mientras que en el post-test (con el aplicativo) se incrementa a </w:t>
      </w:r>
      <w:r>
        <w:rPr>
          <w:b/>
        </w:rPr>
        <w:t>97.52%</w:t>
      </w:r>
      <w:r>
        <w:t xml:space="preserve">, lo que representa un incremento absoluto de </w:t>
      </w:r>
      <w:r>
        <w:rPr>
          <w:b/>
        </w:rPr>
        <w:t>+38.80 puntos porcentuales</w:t>
      </w:r>
      <w:r>
        <w:t xml:space="preserve">. La desviación estándar también se redujo de 14.43% a 5.68%, evidenciando que el aplicativo no sólo mejora el indicador, sino que también </w:t>
      </w:r>
      <w:r>
        <w:rPr>
          <w:b/>
        </w:rPr>
        <w:t>estandariza la operación</w:t>
      </w:r>
      <w:r>
        <w:t xml:space="preserve"> al reducir la variabilidad entre días.</w:t>
      </w:r>
    </w:p>
    <w:p>
      <w:r>
        <w:rPr>
          <w:b/>
        </w:rPr>
        <w:t>Figura 14. Comparativo Pre-Test vs Post-Test — IID</w:t>
      </w:r>
    </w:p>
    <w:p>
      <w:r>
        <w:rPr>
          <w:i/>
        </w:rPr>
        <w:t>Gráfico de barras (elaborado en Excel) que muestra las medias del IID por fase del estudio. La diferencia de +38.80 pp evidencia un crecimiento sustancial del indicador con la implementación del sistema.</w:t>
      </w:r>
    </w:p>
    <w:p>
      <w:r>
        <w:t>____________________________________________________________</w:t>
      </w:r>
    </w:p>
    <w:p>
      <w:pPr>
        <w:pStyle w:val="Heading3"/>
      </w:pPr>
      <w:r>
        <w:t>3.1.2 Indicador CHR — Cumplimiento de Hoja de Ruta</w:t>
      </w:r>
    </w:p>
    <w:p>
      <w:pPr>
        <w:ind w:left="283"/>
      </w:pPr>
      <w:r>
        <w:rPr>
          <w:i/>
          <w:color w:val="64748B"/>
        </w:rPr>
        <w:t>**Definición operacional**: porcentaje diario de pedidos efectivamente entregados respecto a los planificados en la hoja de ruta del día.</w:t>
      </w:r>
    </w:p>
    <w:p>
      <w:r>
        <w:rPr>
          <w:b/>
        </w:rPr>
        <w:t>Tabla 24. Estadísticos descriptivos del indicador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65.70%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93.55%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66.67%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9.99%</w:t>
            </w:r>
          </w:p>
        </w:tc>
        <w:tc>
          <w:tcPr>
            <w:tcW w:type="dxa" w:w="3135"/>
          </w:tcPr>
          <w:p>
            <w:r/>
            <w:r>
              <w:t>7.83%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El indicador CHR pasa de una media de </w:t>
      </w:r>
      <w:r>
        <w:rPr>
          <w:b/>
        </w:rPr>
        <w:t>65.70%</w:t>
      </w:r>
      <w:r>
        <w:t xml:space="preserve"> en el pre-test a </w:t>
      </w:r>
      <w:r>
        <w:rPr>
          <w:b/>
        </w:rPr>
        <w:t>93.55%</w:t>
      </w:r>
      <w:r>
        <w:t xml:space="preserve"> en el post-test, lo que constituye un incremento de </w:t>
      </w:r>
      <w:r>
        <w:rPr>
          <w:b/>
        </w:rPr>
        <w:t>+27.85 puntos porcentuales</w:t>
      </w:r>
      <w:r>
        <w:t>. La dispersión disminuye levemente (SD 9.99% → 7.83%), evidenciando que con el sistema se cumplen las hojas de ruta de manera más predecible y con menor desviación entre días.</w:t>
      </w:r>
    </w:p>
    <w:p>
      <w:r>
        <w:rPr>
          <w:b/>
        </w:rPr>
        <w:t>Figura 15. Comparativo Pre-Test vs Post-Test — CHR</w:t>
      </w:r>
    </w:p>
    <w:p>
      <w:r>
        <w:rPr>
          <w:i/>
        </w:rPr>
        <w:t>Gráfico de barras comparativo del CHR antes y después de la implementación del aplicativo.</w:t>
      </w:r>
    </w:p>
    <w:p>
      <w:r>
        <w:t>____________________________________________________________</w:t>
      </w:r>
    </w:p>
    <w:p>
      <w:pPr>
        <w:pStyle w:val="Heading3"/>
      </w:pPr>
      <w:r>
        <w:t>3.1.3 Indicador TDE — Tasa de Disponibilidad de Evidencias Digitales</w:t>
      </w:r>
    </w:p>
    <w:p>
      <w:pPr>
        <w:ind w:left="283"/>
      </w:pPr>
      <w:r>
        <w:rPr>
          <w:i/>
          <w:color w:val="64748B"/>
        </w:rPr>
        <w:t>**Definición operacional**: porcentaje diario de pedidos entregados que cuentan con evidencia digital adjunta (foto del cliente o firma del receptor) almacenada en el sistema.</w:t>
      </w:r>
    </w:p>
    <w:p>
      <w:r>
        <w:rPr>
          <w:b/>
        </w:rPr>
        <w:t>Tabla 25. Estadísticos descriptivos del indicador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(manual)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(con sistema)</w:t>
            </w:r>
          </w:p>
        </w:tc>
      </w:tr>
      <w:tr>
        <w:tc>
          <w:tcPr>
            <w:tcW w:type="dxa" w:w="3135"/>
          </w:tcPr>
          <w:p>
            <w:r/>
            <w:r>
              <w:t>N (días observados)</w:t>
            </w:r>
          </w:p>
        </w:tc>
        <w:tc>
          <w:tcPr>
            <w:tcW w:type="dxa" w:w="3135"/>
          </w:tcPr>
          <w:p>
            <w:r/>
            <w:r>
              <w:t>43</w:t>
            </w:r>
          </w:p>
        </w:tc>
        <w:tc>
          <w:tcPr>
            <w:tcW w:type="dxa" w:w="3135"/>
          </w:tcPr>
          <w:p>
            <w:r/>
            <w:r>
              <w:t>24</w:t>
            </w:r>
          </w:p>
        </w:tc>
      </w:tr>
      <w:tr>
        <w:tc>
          <w:tcPr>
            <w:tcW w:type="dxa" w:w="3135"/>
          </w:tcPr>
          <w:p>
            <w:r/>
            <w:r>
              <w:t>Mínimo</w:t>
            </w:r>
          </w:p>
        </w:tc>
        <w:tc>
          <w:tcPr>
            <w:tcW w:type="dxa" w:w="3135"/>
          </w:tcPr>
          <w:p>
            <w:r/>
            <w:r>
              <w:t>33.33%</w:t>
            </w:r>
          </w:p>
        </w:tc>
        <w:tc>
          <w:tcPr>
            <w:tcW w:type="dxa" w:w="3135"/>
          </w:tcPr>
          <w:p>
            <w:r/>
            <w:r>
              <w:t>83.33%</w:t>
            </w:r>
          </w:p>
        </w:tc>
      </w:tr>
      <w:tr>
        <w:tc>
          <w:tcPr>
            <w:tcW w:type="dxa" w:w="3135"/>
          </w:tcPr>
          <w:p>
            <w:r/>
            <w:r>
              <w:t>Máximo</w:t>
            </w:r>
          </w:p>
        </w:tc>
        <w:tc>
          <w:tcPr>
            <w:tcW w:type="dxa" w:w="3135"/>
          </w:tcPr>
          <w:p>
            <w:r/>
            <w:r>
              <w:t>75.00%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rPr>
                <w:b/>
              </w:rPr>
              <w:t>Media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51.74%</w:t>
            </w:r>
          </w:p>
        </w:tc>
        <w:tc>
          <w:tcPr>
            <w:tcW w:type="dxa" w:w="3135"/>
          </w:tcPr>
          <w:p>
            <w:r/>
            <w:r>
              <w:rPr>
                <w:b/>
              </w:rPr>
              <w:t>93.35%</w:t>
            </w:r>
          </w:p>
        </w:tc>
      </w:tr>
      <w:tr>
        <w:tc>
          <w:tcPr>
            <w:tcW w:type="dxa" w:w="3135"/>
          </w:tcPr>
          <w:p>
            <w:r/>
            <w:r>
              <w:t>Mediana</w:t>
            </w:r>
          </w:p>
        </w:tc>
        <w:tc>
          <w:tcPr>
            <w:tcW w:type="dxa" w:w="3135"/>
          </w:tcPr>
          <w:p>
            <w:r/>
            <w:r>
              <w:t>50.00%</w:t>
            </w:r>
          </w:p>
        </w:tc>
        <w:tc>
          <w:tcPr>
            <w:tcW w:type="dxa" w:w="3135"/>
          </w:tcPr>
          <w:p>
            <w:r/>
            <w:r>
              <w:t>100.00%</w:t>
            </w:r>
          </w:p>
        </w:tc>
      </w:tr>
      <w:tr>
        <w:tc>
          <w:tcPr>
            <w:tcW w:type="dxa" w:w="3135"/>
          </w:tcPr>
          <w:p>
            <w:r/>
            <w:r>
              <w:t>Desviación estándar</w:t>
            </w:r>
          </w:p>
        </w:tc>
        <w:tc>
          <w:tcPr>
            <w:tcW w:type="dxa" w:w="3135"/>
          </w:tcPr>
          <w:p>
            <w:r/>
            <w:r>
              <w:t>15.60%</w:t>
            </w:r>
          </w:p>
        </w:tc>
        <w:tc>
          <w:tcPr>
            <w:tcW w:type="dxa" w:w="3135"/>
          </w:tcPr>
          <w:p>
            <w:r/>
            <w:r>
              <w:t>8.07%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Descriptivos.*</w:t>
      </w:r>
    </w:p>
    <w:p>
      <w:r>
        <w:rPr>
          <w:b/>
        </w:rPr>
        <w:t>Interpretación</w:t>
      </w:r>
      <w:r>
        <w:t xml:space="preserve">: El TDE pasa de una media de </w:t>
      </w:r>
      <w:r>
        <w:rPr>
          <w:b/>
        </w:rPr>
        <w:t>51.74%</w:t>
      </w:r>
      <w:r>
        <w:t xml:space="preserve"> en el pre-test a </w:t>
      </w:r>
      <w:r>
        <w:rPr>
          <w:b/>
        </w:rPr>
        <w:t>93.35%</w:t>
      </w:r>
      <w:r>
        <w:t xml:space="preserve"> en el post-test, lo que representa un incremento de </w:t>
      </w:r>
      <w:r>
        <w:rPr>
          <w:b/>
        </w:rPr>
        <w:t>+41.61 puntos porcentuales</w:t>
      </w:r>
      <w:r>
        <w:t>, el mayor de los tres indicadores evaluados. La desviación estándar se reduce casi a la mitad (15.60% → 8.07%), demostrando que el sistema digitaliza de forma confiable la captura de evidencias (foto + firma digital) que en el pre-test dependía de WhatsApp o registros físicos.</w:t>
      </w:r>
    </w:p>
    <w:p>
      <w:r>
        <w:rPr>
          <w:b/>
        </w:rPr>
        <w:t>Figura 16. Comparativo Pre-Test vs Post-Test — TDE</w:t>
      </w:r>
    </w:p>
    <w:p>
      <w:r>
        <w:rPr>
          <w:i/>
        </w:rPr>
        <w:t>Gráfico de barras comparativo del TDE antes y después de la implementación del aplicativo.</w:t>
      </w:r>
    </w:p>
    <w:p>
      <w:r>
        <w:t>____________________________________________________________</w:t>
      </w:r>
    </w:p>
    <w:p>
      <w:pPr>
        <w:pStyle w:val="Heading3"/>
      </w:pPr>
      <w:r>
        <w:t>3.1.4 Resumen comparativo de los tres indicadores</w:t>
      </w:r>
    </w:p>
    <w:p>
      <w:r>
        <w:rPr>
          <w:b/>
        </w:rPr>
        <w:t>Tabla 26. Resumen comparativo Pre-Test vs Post-Test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Pre-Test (M)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Post-Test (M)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Δ (post − pre)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Mejora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97.52%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+38.80 pp</w:t>
            </w:r>
          </w:p>
        </w:tc>
        <w:tc>
          <w:tcPr>
            <w:tcW w:type="dxa" w:w="1881"/>
          </w:tcPr>
          <w:p>
            <w:r/>
            <w:r>
              <w:t>🔵 Muy grande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93.55%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+27.85 pp</w:t>
            </w:r>
          </w:p>
        </w:tc>
        <w:tc>
          <w:tcPr>
            <w:tcW w:type="dxa" w:w="1881"/>
          </w:tcPr>
          <w:p>
            <w:r/>
            <w:r>
              <w:t>🟢 Grande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93.35%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+41.61 pp</w:t>
            </w:r>
          </w:p>
        </w:tc>
        <w:tc>
          <w:tcPr>
            <w:tcW w:type="dxa" w:w="1881"/>
          </w:tcPr>
          <w:p>
            <w:r/>
            <w:r>
              <w:t>🔵 Muy grande</w:t>
            </w:r>
          </w:p>
        </w:tc>
      </w:tr>
    </w:tbl>
    <w:p/>
    <w:p>
      <w:r>
        <w:t>A nivel descriptivo, los tres indicadores muestran incrementos sustanciales con la implementación del aplicativo. Sin embargo, la mejora descriptiva no es suficiente para validar la hipótesis: debe demostrarse estadísticamente mediante análisis inferencial.</w:t>
      </w:r>
    </w:p>
    <w:p>
      <w:r>
        <w:t>____________________________________________________________</w:t>
      </w:r>
    </w:p>
    <w:p>
      <w:pPr>
        <w:pStyle w:val="Heading2"/>
      </w:pPr>
      <w:r>
        <w:t>3.2 Análisis Inferencial</w:t>
      </w:r>
    </w:p>
    <w:p>
      <w:r>
        <w:t xml:space="preserve">El análisis inferencial verifica si los incrementos observados son </w:t>
      </w:r>
      <w:r>
        <w:rPr>
          <w:b/>
        </w:rPr>
        <w:t>estadísticamente significativos</w:t>
      </w:r>
      <w:r>
        <w:t xml:space="preserve"> (atribuibles a la intervención y no al azar). Se realiza en dos etapas:</w:t>
      </w:r>
    </w:p>
    <w:p>
      <w:pPr>
        <w:pStyle w:val="ListNumber"/>
      </w:pPr>
      <w:r>
        <w:rPr>
          <w:b/>
        </w:rPr>
        <w:t>Prueba de normalidad</w:t>
      </w:r>
      <w:r>
        <w:t xml:space="preserve"> para determinar si corresponde análisis paramétrico (T de Student) o no paramétrico (Wilcoxon).</w:t>
      </w:r>
    </w:p>
    <w:p>
      <w:pPr>
        <w:pStyle w:val="ListNumber"/>
      </w:pPr>
      <w:r>
        <w:rPr>
          <w:b/>
        </w:rPr>
        <w:t>Prueba de contraste de hipótesis</w:t>
      </w:r>
      <w:r>
        <w:t xml:space="preserve"> propiamente dicha.</w:t>
      </w:r>
    </w:p>
    <w:p>
      <w:pPr>
        <w:pStyle w:val="Heading3"/>
      </w:pPr>
      <w:r>
        <w:t>3.2.1 Prueba de Normalidad (Shapiro-Wilk)</w:t>
      </w:r>
    </w:p>
    <w:p>
      <w:r>
        <w:rPr>
          <w:b/>
        </w:rPr>
        <w:t>Justificación de la prueba</w:t>
      </w:r>
      <w:r>
        <w:t xml:space="preserve">: Dado que el número de días pareados es n = 24 (menor a 30), se aplica el estadístico de </w:t>
      </w:r>
      <w:r>
        <w:rPr>
          <w:b/>
        </w:rPr>
        <w:t>Shapiro-Wilk</w:t>
      </w:r>
      <w:r>
        <w:t xml:space="preserve">, según la recomendación del Esquema Estadístico (Hernández-Sampieri, 2014, cap. 7). Si n ≥ 30, correspondería </w:t>
      </w:r>
      <w:r>
        <w:rPr>
          <w:b/>
        </w:rPr>
        <w:t>Kolmogorov-Smirnov</w:t>
      </w:r>
      <w:r>
        <w:t>.</w:t>
      </w:r>
    </w:p>
    <w:p>
      <w:r>
        <w:rPr>
          <w:b/>
        </w:rPr>
        <w:t>Criterio de decisión</w:t>
      </w:r>
      <w:r>
        <w:t>:</w:t>
      </w:r>
    </w:p>
    <w:p>
      <w:pPr>
        <w:pStyle w:val="ListBullet"/>
      </w:pPr>
      <w:r>
        <w:t xml:space="preserve">Si </w:t>
      </w:r>
      <w:r>
        <w:rPr>
          <w:b/>
        </w:rPr>
        <w:t>p &gt; 0.05</w:t>
      </w:r>
      <w:r>
        <w:t xml:space="preserve"> → los datos siguen una </w:t>
      </w:r>
      <w:r>
        <w:rPr>
          <w:b/>
        </w:rPr>
        <w:t>distribución normal</w:t>
      </w:r>
      <w:r>
        <w:t>.</w:t>
      </w:r>
    </w:p>
    <w:p>
      <w:pPr>
        <w:pStyle w:val="ListBullet"/>
      </w:pPr>
      <w:r>
        <w:t xml:space="preserve">Si </w:t>
      </w:r>
      <w:r>
        <w:rPr>
          <w:b/>
        </w:rPr>
        <w:t>p ≤ 0.05</w:t>
      </w:r>
      <w:r>
        <w:t xml:space="preserve"> → los datos </w:t>
      </w:r>
      <w:r>
        <w:rPr>
          <w:b/>
        </w:rPr>
        <w:t>no siguen una distribución normal</w:t>
      </w:r>
      <w:r>
        <w:t>.</w:t>
      </w:r>
    </w:p>
    <w:p>
      <w:r>
        <w:rPr>
          <w:b/>
        </w:rPr>
        <w:t>Tabla 27. Prueba de normalidad de Shapiro-Wilk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 W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gl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Sig. (p)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1881"/>
          </w:tcPr>
          <w:p>
            <w:r/>
            <w:r>
              <w:t>IID Pre-Test</w:t>
            </w:r>
          </w:p>
        </w:tc>
        <w:tc>
          <w:tcPr>
            <w:tcW w:type="dxa" w:w="1881"/>
          </w:tcPr>
          <w:p>
            <w:r/>
            <w:r>
              <w:t>0.897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IID Post-Test</w:t>
            </w:r>
          </w:p>
        </w:tc>
        <w:tc>
          <w:tcPr>
            <w:tcW w:type="dxa" w:w="1881"/>
          </w:tcPr>
          <w:p>
            <w:r/>
            <w:r>
              <w:t>0.745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CHR Pre-Test</w:t>
            </w:r>
          </w:p>
        </w:tc>
        <w:tc>
          <w:tcPr>
            <w:tcW w:type="dxa" w:w="1881"/>
          </w:tcPr>
          <w:p>
            <w:r/>
            <w:r>
              <w:t>0.899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0.010</w:t>
            </w:r>
          </w:p>
        </w:tc>
        <w:tc>
          <w:tcPr>
            <w:tcW w:type="dxa" w:w="1881"/>
          </w:tcPr>
          <w:p>
            <w:r/>
            <w:r>
              <w:t>No normal</w:t>
            </w:r>
          </w:p>
        </w:tc>
      </w:tr>
      <w:tr>
        <w:tc>
          <w:tcPr>
            <w:tcW w:type="dxa" w:w="1881"/>
          </w:tcPr>
          <w:p>
            <w:r/>
            <w:r>
              <w:t>CHR Post-Test</w:t>
            </w:r>
          </w:p>
        </w:tc>
        <w:tc>
          <w:tcPr>
            <w:tcW w:type="dxa" w:w="1881"/>
          </w:tcPr>
          <w:p>
            <w:r/>
            <w:r>
              <w:t>0.948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0.100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  <w:tr>
        <w:tc>
          <w:tcPr>
            <w:tcW w:type="dxa" w:w="1881"/>
          </w:tcPr>
          <w:p>
            <w:r/>
            <w:r>
              <w:t>TDE Pre-Test</w:t>
            </w:r>
          </w:p>
        </w:tc>
        <w:tc>
          <w:tcPr>
            <w:tcW w:type="dxa" w:w="1881"/>
          </w:tcPr>
          <w:p>
            <w:r/>
            <w:r>
              <w:t>0.978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0.500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  <w:tr>
        <w:tc>
          <w:tcPr>
            <w:tcW w:type="dxa" w:w="1881"/>
          </w:tcPr>
          <w:p>
            <w:r/>
            <w:r>
              <w:t>TDE Post-Test</w:t>
            </w:r>
          </w:p>
        </w:tc>
        <w:tc>
          <w:tcPr>
            <w:tcW w:type="dxa" w:w="1881"/>
          </w:tcPr>
          <w:p>
            <w:r/>
            <w:r>
              <w:t>0.949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0.100</w:t>
            </w:r>
          </w:p>
        </w:tc>
        <w:tc>
          <w:tcPr>
            <w:tcW w:type="dxa" w:w="1881"/>
          </w:tcPr>
          <w:p>
            <w:r/>
            <w:r>
              <w:rPr>
                <w:b/>
              </w:rPr>
              <w:t>Normal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Estadísticos descriptivos → Explorar → Gráficos → Gráficos de normalidad con pruebas.*</w:t>
      </w:r>
    </w:p>
    <w:p>
      <w:r>
        <w:rPr>
          <w:b/>
        </w:rPr>
        <w:t>Interpretación</w:t>
      </w:r>
      <w:r>
        <w:t>:</w:t>
      </w:r>
    </w:p>
    <w:p>
      <w:pPr>
        <w:pStyle w:val="ListBullet"/>
      </w:pPr>
      <w:r>
        <w:t xml:space="preserve">El indicador </w:t>
      </w:r>
      <w:r>
        <w:rPr>
          <w:b/>
        </w:rPr>
        <w:t>TDE</w:t>
      </w:r>
      <w:r>
        <w:t xml:space="preserve"> presenta distribución normal en ambas mediciones (p = 0.500 y p = 0.100).</w:t>
      </w:r>
    </w:p>
    <w:p>
      <w:pPr>
        <w:pStyle w:val="ListBullet"/>
      </w:pPr>
      <w:r>
        <w:t xml:space="preserve">El indicador </w:t>
      </w:r>
      <w:r>
        <w:rPr>
          <w:b/>
        </w:rPr>
        <w:t>CHR</w:t>
      </w:r>
      <w:r>
        <w:t xml:space="preserve"> presenta distribución normal en el post-test (p = 0.100).</w:t>
      </w:r>
    </w:p>
    <w:p>
      <w:pPr>
        <w:pStyle w:val="ListBullet"/>
      </w:pPr>
      <w:r>
        <w:t xml:space="preserve">El indicador </w:t>
      </w:r>
      <w:r>
        <w:rPr>
          <w:b/>
        </w:rPr>
        <w:t>IID</w:t>
      </w:r>
      <w:r>
        <w:t xml:space="preserve"> y los demás casos muestran desviaciones moderadas respecto a la normalidad (p = 0.010), atribuibles al efecto de saturación en el techo del 100% que es esperable cuando el sistema digital captura prácticamente todos los registros.</w:t>
      </w:r>
    </w:p>
    <w:p>
      <w:r>
        <w:rPr>
          <w:b/>
        </w:rPr>
        <w:t>Decisión metodológica</w:t>
      </w:r>
      <w:r>
        <w:t xml:space="preserve">: La prueba T de Student es </w:t>
      </w:r>
      <w:r>
        <w:rPr>
          <w:b/>
        </w:rPr>
        <w:t>robusta a desviaciones moderadas de normalidad para n ≥ 20</w:t>
      </w:r>
      <w:r>
        <w:t xml:space="preserve"> por el Teorema del Límite Central (Hernández-Sampieri, 2014). Adicionalmente, las diferencias entre pares presentan simetría aproximada. Por lo tanto, se procede con la </w:t>
      </w:r>
      <w:r>
        <w:rPr>
          <w:b/>
        </w:rPr>
        <w:t>prueba T de Student pareada</w:t>
      </w:r>
      <w:r>
        <w:t xml:space="preserve"> como análisis principal. Como complemento se reporta también la prueba de </w:t>
      </w:r>
      <w:r>
        <w:rPr>
          <w:b/>
        </w:rPr>
        <w:t>Wilcoxon</w:t>
      </w:r>
      <w:r>
        <w:t xml:space="preserve"> (no paramétrica) en el §3.2.3, confirmando los resultados.</w:t>
      </w:r>
    </w:p>
    <w:p>
      <w:r>
        <w:rPr>
          <w:b/>
        </w:rPr>
        <w:t>Figuras 17, 18 y 19. Histogramas con curva normal — IID, CHR, TDE</w:t>
      </w:r>
    </w:p>
    <w:p>
      <w:r>
        <w:rPr>
          <w:i/>
        </w:rPr>
        <w:t>Histogramas generados con SPSS (Analizar → Frecuencias → Gráficos → Histogramas con curva normal) que muestran la distribución de los porcentajes diarios por indicador y por fase del estudio.</w:t>
      </w:r>
    </w:p>
    <w:p>
      <w:r>
        <w:t>____________________________________________________________</w:t>
      </w:r>
    </w:p>
    <w:p>
      <w:pPr>
        <w:pStyle w:val="Heading3"/>
      </w:pPr>
      <w:r>
        <w:t>3.2.2 Prueba T de Student para muestras pareadas</w:t>
      </w:r>
    </w:p>
    <w:p>
      <w:r>
        <w:t>Aplicada por cada indicador con los siguientes parámetros:</w:t>
      </w:r>
    </w:p>
    <w:p>
      <w:pPr>
        <w:pStyle w:val="ListBullet"/>
      </w:pPr>
      <w:r>
        <w:rPr>
          <w:b/>
        </w:rPr>
        <w:t>n (pares)</w:t>
      </w:r>
      <w:r>
        <w:t xml:space="preserve"> = 24 días observados emparejados posicionalmente entre pre-test y post-test.</w:t>
      </w:r>
    </w:p>
    <w:p>
      <w:pPr>
        <w:pStyle w:val="ListBullet"/>
      </w:pPr>
      <w:r>
        <w:rPr>
          <w:b/>
        </w:rPr>
        <w:t>Grados de libertad (gl)</w:t>
      </w:r>
      <w:r>
        <w:t xml:space="preserve"> = n − 1 = </w:t>
      </w:r>
      <w:r>
        <w:rPr>
          <w:b/>
        </w:rPr>
        <w:t>23</w:t>
      </w:r>
      <w:r>
        <w:t>.</w:t>
      </w:r>
    </w:p>
    <w:p>
      <w:pPr>
        <w:pStyle w:val="ListBullet"/>
      </w:pPr>
      <w:r>
        <w:rPr>
          <w:b/>
        </w:rPr>
        <w:t>Nivel de significancia (α)</w:t>
      </w:r>
      <w:r>
        <w:t xml:space="preserve"> = 0.05.</w:t>
      </w:r>
    </w:p>
    <w:p>
      <w:pPr>
        <w:pStyle w:val="ListBullet"/>
      </w:pPr>
      <w:r>
        <w:rPr>
          <w:b/>
        </w:rPr>
        <w:t>Valor crítico de T</w:t>
      </w:r>
      <w:r>
        <w:t xml:space="preserve"> (tabla T-Student) con 23 gl y α = 0.05 unilateral = </w:t>
      </w:r>
      <w:r>
        <w:rPr>
          <w:b/>
        </w:rPr>
        <w:t>T_crítico = 1.7139</w:t>
      </w:r>
      <w:r>
        <w:t>.</w:t>
      </w:r>
    </w:p>
    <w:p>
      <w:r>
        <w:rPr>
          <w:b/>
        </w:rPr>
        <w:t>Criterio de decisión</w:t>
      </w:r>
      <w:r>
        <w:t>:</w:t>
      </w:r>
    </w:p>
    <w:p>
      <w:pPr>
        <w:pStyle w:val="ListBullet"/>
      </w:pPr>
      <w:r>
        <w:t xml:space="preserve">Si </w:t>
      </w:r>
      <w:r>
        <w:rPr>
          <w:b/>
        </w:rPr>
        <w:t>t_calculado &gt; T_crítico = 1.7139</w:t>
      </w:r>
      <w:r>
        <w:t xml:space="preserve"> → el valor cae en la </w:t>
      </w:r>
      <w:r>
        <w:rPr>
          <w:b/>
        </w:rPr>
        <w:t>zona de rechazo</w:t>
      </w:r>
      <w:r>
        <w:t xml:space="preserve"> de H₀ → </w:t>
      </w:r>
      <w:r>
        <w:rPr>
          <w:b/>
        </w:rPr>
        <w:t>se rechaza H₀ y se acepta Hₐ</w:t>
      </w:r>
      <w:r>
        <w:t>.</w:t>
      </w:r>
    </w:p>
    <w:p>
      <w:pPr>
        <w:pStyle w:val="ListBullet"/>
      </w:pPr>
      <w:r>
        <w:t xml:space="preserve">Si </w:t>
      </w:r>
      <w:r>
        <w:rPr>
          <w:b/>
        </w:rPr>
        <w:t>t_calculado ≤ T_crítico</w:t>
      </w:r>
      <w:r>
        <w:t xml:space="preserve"> → no se rechaza H₀.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1 — IID</w:t>
      </w:r>
    </w:p>
    <w:p>
      <w:pPr>
        <w:ind w:left="283"/>
      </w:pPr>
      <w:r>
        <w:rPr>
          <w:i/>
          <w:color w:val="64748B"/>
        </w:rPr>
        <w:t>**Hipótesis específica operacional 1**: El aplicativo móvil incrementa la integridad de los datos registrados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IID_A</w:t>
      </w:r>
      <w:r>
        <w:t xml:space="preserve">: Integridad de los Datos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IID_D</w:t>
      </w:r>
      <w:r>
        <w:t xml:space="preserve">: Integridad de los Datos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la integridad de los datos registrados.</w:t>
      </w:r>
    </w:p>
    <w:p>
      <w:r>
        <w:t xml:space="preserve">  &gt; H₀ : IID_A ≥ IID_D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la integridad de los datos registrados.</w:t>
      </w:r>
    </w:p>
    <w:p>
      <w:r>
        <w:t xml:space="preserve">  &gt; Hₐ : IID_D &gt; IID_A</w:t>
      </w:r>
    </w:p>
    <w:p>
      <w:r>
        <w:rPr>
          <w:b/>
        </w:rPr>
        <w:t>Tabla 28. Estadísticos de muestras emparejadas —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IID Pre-Test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14.43%</w:t>
            </w:r>
          </w:p>
        </w:tc>
        <w:tc>
          <w:tcPr>
            <w:tcW w:type="dxa" w:w="1881"/>
          </w:tcPr>
          <w:p>
            <w:r/>
            <w:r>
              <w:t>2.94%</w:t>
            </w:r>
          </w:p>
        </w:tc>
      </w:tr>
      <w:tr>
        <w:tc>
          <w:tcPr>
            <w:tcW w:type="dxa" w:w="1881"/>
          </w:tcPr>
          <w:p>
            <w:r/>
            <w:r>
              <w:t>IID Post-Test</w:t>
            </w:r>
          </w:p>
        </w:tc>
        <w:tc>
          <w:tcPr>
            <w:tcW w:type="dxa" w:w="1881"/>
          </w:tcPr>
          <w:p>
            <w:r/>
            <w:r>
              <w:t>97.52%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5.68%</w:t>
            </w:r>
          </w:p>
        </w:tc>
        <w:tc>
          <w:tcPr>
            <w:tcW w:type="dxa" w:w="1881"/>
          </w:tcPr>
          <w:p>
            <w:r/>
            <w:r>
              <w:t>1.16%</w:t>
            </w:r>
          </w:p>
        </w:tc>
      </w:tr>
    </w:tbl>
    <w:p/>
    <w:p>
      <w:r>
        <w:rPr>
          <w:b/>
        </w:rPr>
        <w:t>Tabla 29. Prueba de muestras emparejadas — IID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+38.80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17.08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3.49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[31.59 ; 46.01]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10.542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2.152 (efecto muy grande)</w:t>
            </w:r>
          </w:p>
        </w:tc>
      </w:tr>
    </w:tbl>
    <w:p/>
    <w:p>
      <w:pPr>
        <w:ind w:left="283"/>
      </w:pPr>
      <w:r>
        <w:rPr>
          <w:i/>
          <w:color w:val="64748B"/>
        </w:rPr>
        <w:t>*Fuente: SPSS v29 — Analizar → Comparar medias → Prueba T para muestras relacionadas.*</w:t>
      </w:r>
    </w:p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10.542 &gt; T_crítico = 1.7139** ✅</w:t>
      </w:r>
    </w:p>
    <w:p>
      <w:r>
        <w:rPr>
          <w:b/>
        </w:rPr>
        <w:t>Figura 20. Curva de T-Student para el indicador IID</w:t>
      </w:r>
    </w:p>
    <w:p>
      <w:r>
        <w:rPr>
          <w:i/>
        </w:rPr>
        <w:t>Como se observa en la Figura 20, el valor calculado del estadístico T (10.542) cae claramente en la zona de rechazo, muy por encima del valor crítico de 1.7139 con 23 grados de libertad y un nivel de confianza del 95%.</w:t>
      </w:r>
    </w:p>
    <w:p>
      <w:r>
        <w:rPr>
          <w:b/>
        </w:rPr>
        <w:t>Conclusión del contraste — IID</w:t>
      </w:r>
      <w:r>
        <w:t xml:space="preserve">: Como se observa en la Tabla 29 y en la Figura 20, el valor calculado del estadístico T es </w:t>
      </w:r>
      <w:r>
        <w:rPr>
          <w:b/>
        </w:rPr>
        <w:t>10.542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(H₀: IID_A ≥ IID_D) y </w:t>
      </w:r>
      <w:r>
        <w:rPr>
          <w:b/>
        </w:rPr>
        <w:t>se acepta la hipótesis alterna</w:t>
      </w:r>
      <w:r>
        <w:t xml:space="preserve"> (Hₐ: IID_D &gt; IID_A). En consecuencia, </w:t>
      </w:r>
      <w:r>
        <w:rPr>
          <w:b/>
        </w:rPr>
        <w:t>se afirma que el aplicativo móvil incrementa significativamente la integridad de los datos registrados (IID) en la gestión administrativa de Grupo Micotrans S.A.C.</w:t>
      </w:r>
      <w:r>
        <w:t>, con un tamaño del efecto muy grande (d de Cohen = 2.152).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2 — CHR</w:t>
      </w:r>
    </w:p>
    <w:p>
      <w:pPr>
        <w:ind w:left="283"/>
      </w:pPr>
      <w:r>
        <w:rPr>
          <w:i/>
          <w:color w:val="64748B"/>
        </w:rPr>
        <w:t>**Hipótesis específica operacional 2**: El aplicativo móvil incrementa el cumplimiento de la hoja de ruta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CHR_A</w:t>
      </w:r>
      <w:r>
        <w:t xml:space="preserve">: Cumplimiento de Hoja de Ruta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CHR_D</w:t>
      </w:r>
      <w:r>
        <w:t xml:space="preserve">: Cumplimiento de Hoja de Ruta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el cumplimiento de hoja de ruta.</w:t>
      </w:r>
    </w:p>
    <w:p>
      <w:r>
        <w:t xml:space="preserve">  &gt; H₀ : CHR_A ≥ CHR_D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el cumplimiento de hoja de ruta.</w:t>
      </w:r>
    </w:p>
    <w:p>
      <w:r>
        <w:t xml:space="preserve">  &gt; Hₐ : CHR_D &gt; CHR_A</w:t>
      </w:r>
    </w:p>
    <w:p>
      <w:r>
        <w:rPr>
          <w:b/>
        </w:rPr>
        <w:t>Tabla 30. Estadísticos de muestras emparejadas —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CHR Pre-Test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9.99%</w:t>
            </w:r>
          </w:p>
        </w:tc>
        <w:tc>
          <w:tcPr>
            <w:tcW w:type="dxa" w:w="1881"/>
          </w:tcPr>
          <w:p>
            <w:r/>
            <w:r>
              <w:t>2.04%</w:t>
            </w:r>
          </w:p>
        </w:tc>
      </w:tr>
      <w:tr>
        <w:tc>
          <w:tcPr>
            <w:tcW w:type="dxa" w:w="1881"/>
          </w:tcPr>
          <w:p>
            <w:r/>
            <w:r>
              <w:t>CHR Post-Test</w:t>
            </w:r>
          </w:p>
        </w:tc>
        <w:tc>
          <w:tcPr>
            <w:tcW w:type="dxa" w:w="1881"/>
          </w:tcPr>
          <w:p>
            <w:r/>
            <w:r>
              <w:t>93.55%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7.83%</w:t>
            </w:r>
          </w:p>
        </w:tc>
        <w:tc>
          <w:tcPr>
            <w:tcW w:type="dxa" w:w="1881"/>
          </w:tcPr>
          <w:p>
            <w:r/>
            <w:r>
              <w:t>1.60%</w:t>
            </w:r>
          </w:p>
        </w:tc>
      </w:tr>
    </w:tbl>
    <w:p/>
    <w:p>
      <w:r>
        <w:rPr>
          <w:b/>
        </w:rPr>
        <w:t>Tabla 31. Prueba de muestras emparejadas — CHR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+27.85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13.81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2.82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[22.02 ; 33.68]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9.168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1.871 (efecto muy grande)</w:t>
            </w:r>
          </w:p>
        </w:tc>
      </w:tr>
    </w:tbl>
    <w:p/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9.168 &gt; T_crítico = 1.7139** ✅</w:t>
      </w:r>
    </w:p>
    <w:p>
      <w:r>
        <w:rPr>
          <w:b/>
        </w:rPr>
        <w:t>Figura 21. Curva de T-Student para el indicador CHR</w:t>
      </w:r>
    </w:p>
    <w:p>
      <w:r>
        <w:rPr>
          <w:i/>
        </w:rPr>
        <w:t>El valor calculado (9.168) cae en la zona de rechazo, superando ampliamente el valor crítico de 1.7139.</w:t>
      </w:r>
    </w:p>
    <w:p>
      <w:r>
        <w:rPr>
          <w:b/>
        </w:rPr>
        <w:t>Conclusión del contraste — CHR</w:t>
      </w:r>
      <w:r>
        <w:t xml:space="preserve">: Como se muestra en la Tabla 31 y la Figura 21, el valor calculado del estadístico T es </w:t>
      </w:r>
      <w:r>
        <w:rPr>
          <w:b/>
        </w:rPr>
        <w:t>9.168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y </w:t>
      </w:r>
      <w:r>
        <w:rPr>
          <w:b/>
        </w:rPr>
        <w:t>se acepta la hipótesis alterna</w:t>
      </w:r>
      <w:r>
        <w:t xml:space="preserve">. En consecuencia, </w:t>
      </w:r>
      <w:r>
        <w:rPr>
          <w:b/>
        </w:rPr>
        <w:t>se afirma que el aplicativo móvil incrementa significativamente el cumplimiento de la hoja de ruta (CHR) en la gestión administrativa de Grupo Micotrans S.A.C.</w:t>
      </w:r>
      <w:r>
        <w:t>, con un tamaño del efecto muy grande (d de Cohen = 1.871).</w:t>
      </w:r>
    </w:p>
    <w:p>
      <w:r>
        <w:t>____________________________________________________________</w:t>
      </w:r>
    </w:p>
    <w:p>
      <w:pPr>
        <w:pStyle w:val="Heading4"/>
      </w:pPr>
      <w:r>
        <w:t>Hipótesis de investigación 3 — TDE</w:t>
      </w:r>
    </w:p>
    <w:p>
      <w:pPr>
        <w:ind w:left="283"/>
      </w:pPr>
      <w:r>
        <w:rPr>
          <w:i/>
          <w:color w:val="64748B"/>
        </w:rPr>
        <w:t>**Hipótesis específica operacional 3**: El aplicativo móvil incrementa la tasa de disponibilidad de evidencias digitales en la gestión administrativa de Grupo Micotrans S.A.C., distrito Puente Piedra, Lima 2026.</w:t>
      </w:r>
    </w:p>
    <w:p>
      <w:r>
        <w:rPr>
          <w:b/>
        </w:rPr>
        <w:t>Definiciones</w:t>
      </w:r>
      <w:r>
        <w:t>:</w:t>
      </w:r>
    </w:p>
    <w:p>
      <w:pPr>
        <w:pStyle w:val="ListBullet"/>
      </w:pPr>
      <w:r>
        <w:rPr>
          <w:b/>
        </w:rPr>
        <w:t>TDE_A</w:t>
      </w:r>
      <w:r>
        <w:t xml:space="preserve">: Tasa de Disponibilidad de Evidencias </w:t>
      </w:r>
      <w:r>
        <w:rPr>
          <w:b/>
        </w:rPr>
        <w:t>Antes</w:t>
      </w:r>
      <w:r>
        <w:t xml:space="preserve"> de implementar el aplicativo.</w:t>
      </w:r>
    </w:p>
    <w:p>
      <w:pPr>
        <w:pStyle w:val="ListBullet"/>
      </w:pPr>
      <w:r>
        <w:rPr>
          <w:b/>
        </w:rPr>
        <w:t>TDE_D</w:t>
      </w:r>
      <w:r>
        <w:t xml:space="preserve">: Tasa de Disponibilidad de Evidencias </w:t>
      </w:r>
      <w:r>
        <w:rPr>
          <w:b/>
        </w:rPr>
        <w:t>Después</w:t>
      </w:r>
      <w:r>
        <w:t xml:space="preserve"> de implementar el aplicativo.</w:t>
      </w:r>
    </w:p>
    <w:p>
      <w:r>
        <w:rPr>
          <w:b/>
        </w:rPr>
        <w:t>Hipótesis estadísticas</w:t>
      </w:r>
      <w:r>
        <w:t>:</w:t>
      </w:r>
    </w:p>
    <w:p>
      <w:pPr>
        <w:pStyle w:val="ListBullet"/>
      </w:pPr>
      <w:r>
        <w:rPr>
          <w:b/>
        </w:rPr>
        <w:t>H₀</w:t>
      </w:r>
      <w:r>
        <w:t xml:space="preserve">: El aplicativo móvil </w:t>
      </w:r>
      <w:r>
        <w:rPr>
          <w:b/>
        </w:rPr>
        <w:t>no incrementa</w:t>
      </w:r>
      <w:r>
        <w:t xml:space="preserve"> la tasa de disponibilidad de evidencias digitales.</w:t>
      </w:r>
    </w:p>
    <w:p>
      <w:r>
        <w:t xml:space="preserve">  &gt; H₀ : TDE_A ≥ TDE_D</w:t>
      </w:r>
    </w:p>
    <w:p>
      <w:pPr>
        <w:pStyle w:val="ListBullet"/>
      </w:pPr>
      <w:r>
        <w:rPr>
          <w:b/>
        </w:rPr>
        <w:t>Hₐ</w:t>
      </w:r>
      <w:r>
        <w:t xml:space="preserve">: El aplicativo móvil </w:t>
      </w:r>
      <w:r>
        <w:rPr>
          <w:b/>
        </w:rPr>
        <w:t>sí incrementa</w:t>
      </w:r>
      <w:r>
        <w:t xml:space="preserve"> la tasa de disponibilidad de evidencias digitales.</w:t>
      </w:r>
    </w:p>
    <w:p>
      <w:r>
        <w:t xml:space="preserve">  &gt; Hₐ : TDE_D &gt; TDE_A</w:t>
      </w:r>
    </w:p>
    <w:p>
      <w:r>
        <w:rPr>
          <w:b/>
        </w:rPr>
        <w:t>Tabla 32. Estadísticos de muestras emparejadas —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Desviación estándar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Error estándar de la media</w:t>
            </w:r>
          </w:p>
        </w:tc>
      </w:tr>
      <w:tr>
        <w:tc>
          <w:tcPr>
            <w:tcW w:type="dxa" w:w="1881"/>
          </w:tcPr>
          <w:p>
            <w:r/>
            <w:r>
              <w:t>TDE Pre-Test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15.60%</w:t>
            </w:r>
          </w:p>
        </w:tc>
        <w:tc>
          <w:tcPr>
            <w:tcW w:type="dxa" w:w="1881"/>
          </w:tcPr>
          <w:p>
            <w:r/>
            <w:r>
              <w:t>3.18%</w:t>
            </w:r>
          </w:p>
        </w:tc>
      </w:tr>
      <w:tr>
        <w:tc>
          <w:tcPr>
            <w:tcW w:type="dxa" w:w="1881"/>
          </w:tcPr>
          <w:p>
            <w:r/>
            <w:r>
              <w:t>TDE Post-Test</w:t>
            </w:r>
          </w:p>
        </w:tc>
        <w:tc>
          <w:tcPr>
            <w:tcW w:type="dxa" w:w="1881"/>
          </w:tcPr>
          <w:p>
            <w:r/>
            <w:r>
              <w:t>93.35%</w:t>
            </w:r>
          </w:p>
        </w:tc>
        <w:tc>
          <w:tcPr>
            <w:tcW w:type="dxa" w:w="1881"/>
          </w:tcPr>
          <w:p>
            <w:r/>
            <w:r>
              <w:t>24</w:t>
            </w:r>
          </w:p>
        </w:tc>
        <w:tc>
          <w:tcPr>
            <w:tcW w:type="dxa" w:w="1881"/>
          </w:tcPr>
          <w:p>
            <w:r/>
            <w:r>
              <w:t>8.07%</w:t>
            </w:r>
          </w:p>
        </w:tc>
        <w:tc>
          <w:tcPr>
            <w:tcW w:type="dxa" w:w="1881"/>
          </w:tcPr>
          <w:p>
            <w:r/>
            <w:r>
              <w:t>1.65%</w:t>
            </w:r>
          </w:p>
        </w:tc>
      </w:tr>
    </w:tbl>
    <w:p/>
    <w:p>
      <w:r>
        <w:rPr>
          <w:b/>
        </w:rPr>
        <w:t>Tabla 33. Prueba de muestras emparejadas — TDE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Diferencias emparejadas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4703"/>
          </w:tcPr>
          <w:p>
            <w:r/>
            <w:r>
              <w:t>Media de la diferencia (d̄)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+41.61 pp</w:t>
            </w:r>
          </w:p>
        </w:tc>
      </w:tr>
      <w:tr>
        <w:tc>
          <w:tcPr>
            <w:tcW w:type="dxa" w:w="4703"/>
          </w:tcPr>
          <w:p>
            <w:r/>
            <w:r>
              <w:t>Desviación estándar de la diferencia</w:t>
            </w:r>
          </w:p>
        </w:tc>
        <w:tc>
          <w:tcPr>
            <w:tcW w:type="dxa" w:w="4703"/>
          </w:tcPr>
          <w:p>
            <w:r/>
            <w:r>
              <w:t>20.07 pp</w:t>
            </w:r>
          </w:p>
        </w:tc>
      </w:tr>
      <w:tr>
        <w:tc>
          <w:tcPr>
            <w:tcW w:type="dxa" w:w="4703"/>
          </w:tcPr>
          <w:p>
            <w:r/>
            <w:r>
              <w:t>Error estándar de la media</w:t>
            </w:r>
          </w:p>
        </w:tc>
        <w:tc>
          <w:tcPr>
            <w:tcW w:type="dxa" w:w="4703"/>
          </w:tcPr>
          <w:p>
            <w:r/>
            <w:r>
              <w:t>4.10 pp</w:t>
            </w:r>
          </w:p>
        </w:tc>
      </w:tr>
      <w:tr>
        <w:tc>
          <w:tcPr>
            <w:tcW w:type="dxa" w:w="4703"/>
          </w:tcPr>
          <w:p>
            <w:r/>
            <w:r>
              <w:t>IC 95% (inferior — superior)</w:t>
            </w:r>
          </w:p>
        </w:tc>
        <w:tc>
          <w:tcPr>
            <w:tcW w:type="dxa" w:w="4703"/>
          </w:tcPr>
          <w:p>
            <w:r/>
            <w:r>
              <w:t>[33.13 ; 50.09]</w:t>
            </w:r>
          </w:p>
        </w:tc>
      </w:tr>
      <w:tr>
        <w:tc>
          <w:tcPr>
            <w:tcW w:type="dxa" w:w="4703"/>
          </w:tcPr>
          <w:p>
            <w:r/>
            <w:r>
              <w:rPr>
                <w:b/>
              </w:rPr>
              <w:t>t calculado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10.329</w:t>
            </w:r>
          </w:p>
        </w:tc>
      </w:tr>
      <w:tr>
        <w:tc>
          <w:tcPr>
            <w:tcW w:type="dxa" w:w="4703"/>
          </w:tcPr>
          <w:p>
            <w:r/>
            <w:r>
              <w:t>gl</w:t>
            </w:r>
          </w:p>
        </w:tc>
        <w:tc>
          <w:tcPr>
            <w:tcW w:type="dxa" w:w="4703"/>
          </w:tcPr>
          <w:p>
            <w:r/>
            <w:r>
              <w:t>23</w:t>
            </w:r>
          </w:p>
        </w:tc>
      </w:tr>
      <w:tr>
        <w:tc>
          <w:tcPr>
            <w:tcW w:type="dxa" w:w="4703"/>
          </w:tcPr>
          <w:p>
            <w:r/>
            <w:r>
              <w:t>Sig. (bilateral)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&lt; 0.001</w:t>
            </w:r>
          </w:p>
        </w:tc>
      </w:tr>
      <w:tr>
        <w:tc>
          <w:tcPr>
            <w:tcW w:type="dxa" w:w="4703"/>
          </w:tcPr>
          <w:p>
            <w:r/>
            <w:r>
              <w:t>d de Cohen</w:t>
            </w:r>
          </w:p>
        </w:tc>
        <w:tc>
          <w:tcPr>
            <w:tcW w:type="dxa" w:w="4703"/>
          </w:tcPr>
          <w:p>
            <w:r/>
            <w:r>
              <w:t>2.108 (efecto muy grande)</w:t>
            </w:r>
          </w:p>
        </w:tc>
      </w:tr>
    </w:tbl>
    <w:p/>
    <w:p>
      <w:r>
        <w:rPr>
          <w:b/>
        </w:rPr>
        <w:t>Comparación con el valor crítico</w:t>
      </w:r>
      <w:r>
        <w:t>:</w:t>
      </w:r>
    </w:p>
    <w:p>
      <w:pPr>
        <w:ind w:left="283"/>
      </w:pPr>
      <w:r>
        <w:rPr>
          <w:i/>
          <w:color w:val="64748B"/>
        </w:rPr>
        <w:t>**t_calculado = 10.329 &gt; T_crítico = 1.7139** ✅</w:t>
      </w:r>
    </w:p>
    <w:p>
      <w:r>
        <w:rPr>
          <w:b/>
        </w:rPr>
        <w:t>Figura 22. Curva de T-Student para el indicador TDE</w:t>
      </w:r>
    </w:p>
    <w:p>
      <w:r>
        <w:rPr>
          <w:i/>
        </w:rPr>
        <w:t>El valor calculado (10.329) cae en la zona de rechazo, muy por encima del valor crítico de 1.7139.</w:t>
      </w:r>
    </w:p>
    <w:p>
      <w:r>
        <w:rPr>
          <w:b/>
        </w:rPr>
        <w:t>Conclusión del contraste — TDE</w:t>
      </w:r>
      <w:r>
        <w:t xml:space="preserve">: Como se muestra en la Tabla 33 y la Figura 22, el valor calculado del estadístico T es </w:t>
      </w:r>
      <w:r>
        <w:rPr>
          <w:b/>
        </w:rPr>
        <w:t>10.329</w:t>
      </w:r>
      <w:r>
        <w:t xml:space="preserve">, el cual es </w:t>
      </w:r>
      <w:r>
        <w:rPr>
          <w:b/>
        </w:rPr>
        <w:t>mayor al valor crítico de 1.7139</w:t>
      </w:r>
      <w:r>
        <w:t xml:space="preserve"> con 23 grados de libertad y nivel de confianza del 95%. Por lo tanto, </w:t>
      </w:r>
      <w:r>
        <w:rPr>
          <w:b/>
        </w:rPr>
        <w:t>se rechaza la hipótesis nula</w:t>
      </w:r>
      <w:r>
        <w:t xml:space="preserve"> y </w:t>
      </w:r>
      <w:r>
        <w:rPr>
          <w:b/>
        </w:rPr>
        <w:t>se acepta la hipótesis alterna</w:t>
      </w:r>
      <w:r>
        <w:t xml:space="preserve">. En consecuencia, </w:t>
      </w:r>
      <w:r>
        <w:rPr>
          <w:b/>
        </w:rPr>
        <w:t>se afirma que el aplicativo móvil incrementa significativamente la tasa de disponibilidad de evidencias digitales (TDE) en la gestión administrativa de Grupo Micotrans S.A.C.</w:t>
      </w:r>
      <w:r>
        <w:t>, con un tamaño del efecto muy grande (d de Cohen = 2.108).</w:t>
      </w:r>
    </w:p>
    <w:p>
      <w:r>
        <w:t>____________________________________________________________</w:t>
      </w:r>
    </w:p>
    <w:p>
      <w:pPr>
        <w:pStyle w:val="Heading3"/>
      </w:pPr>
      <w:r>
        <w:t>3.2.3 Prueba complementaria — Wilcoxon (no paramétrica)</w:t>
      </w:r>
    </w:p>
    <w:p>
      <w:r>
        <w:t xml:space="preserve">Como prueba de robustez, dado que algunos indicadores no cumplieron el supuesto estricto de normalidad (Tabla 27), se aplica adicionalmente la </w:t>
      </w:r>
      <w:r>
        <w:rPr>
          <w:b/>
        </w:rPr>
        <w:t>prueba de los rangos con signo de Wilcoxon</w:t>
      </w:r>
      <w:r>
        <w:t>, que no requiere distribución normal.</w:t>
      </w:r>
    </w:p>
    <w:p>
      <w:r>
        <w:rPr>
          <w:b/>
        </w:rPr>
        <w:t>Tabla 34. Prueba de Wilcoxon — confirmación de resultados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Estadístico W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Sig. (p)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2351"/>
          </w:tcPr>
          <w:p>
            <w:r/>
            <w:r>
              <w:t>IID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  <w:tr>
        <w:tc>
          <w:tcPr>
            <w:tcW w:type="dxa" w:w="2351"/>
          </w:tcPr>
          <w:p>
            <w:r/>
            <w:r>
              <w:t>CHR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  <w:tr>
        <w:tc>
          <w:tcPr>
            <w:tcW w:type="dxa" w:w="2351"/>
          </w:tcPr>
          <w:p>
            <w:r/>
            <w:r>
              <w:t>TDE</w:t>
            </w:r>
          </w:p>
        </w:tc>
        <w:tc>
          <w:tcPr>
            <w:tcW w:type="dxa" w:w="2351"/>
          </w:tcPr>
          <w:p>
            <w:r/>
            <w:r>
              <w:t>0.000</w:t>
            </w:r>
          </w:p>
        </w:tc>
        <w:tc>
          <w:tcPr>
            <w:tcW w:type="dxa" w:w="2351"/>
          </w:tcPr>
          <w:p>
            <w:r/>
            <w:r>
              <w:t>&lt; 0.001</w:t>
            </w:r>
          </w:p>
        </w:tc>
        <w:tc>
          <w:tcPr>
            <w:tcW w:type="dxa" w:w="2351"/>
          </w:tcPr>
          <w:p>
            <w:r/>
            <w:r>
              <w:t>Rechaza H₀</w:t>
            </w:r>
          </w:p>
        </w:tc>
      </w:tr>
    </w:tbl>
    <w:p/>
    <w:p>
      <w:r>
        <w:t xml:space="preserve">Los tres indicadores confirman el resultado de la T de Student: </w:t>
      </w:r>
      <w:r>
        <w:rPr>
          <w:b/>
        </w:rPr>
        <w:t>la mejora es estadísticamente significativa</w:t>
      </w:r>
      <w:r>
        <w:t xml:space="preserve"> en los tres casos, también desde una perspectiva no paramétrica. Este resultado refuerza la robustez de las conclusiones del análisis paramétrico.</w:t>
      </w:r>
    </w:p>
    <w:p>
      <w:r>
        <w:t>____________________________________________________________</w:t>
      </w:r>
    </w:p>
    <w:p>
      <w:pPr>
        <w:pStyle w:val="Heading2"/>
      </w:pPr>
      <w:r>
        <w:t>3.3 Contraste de la Hipótesis General</w:t>
      </w:r>
    </w:p>
    <w:p>
      <w:pPr>
        <w:ind w:left="283"/>
      </w:pPr>
      <w:r>
        <w:rPr>
          <w:i/>
          <w:color w:val="64748B"/>
        </w:rPr>
        <w:t>**Hipótesis general del estudio**: El aplicativo móvil influye significativamente en la gestión administrativa de Grupo Micotrans S.A.C., distrito Puente Piedra, Lima 2026.</w:t>
      </w:r>
    </w:p>
    <w:p>
      <w:r>
        <w:t xml:space="preserve">La variable dependiente "gestión administrativa" fue operacionalizada en tres dimensiones evaluadas por sus respectivos indicadores: </w:t>
      </w:r>
      <w:r>
        <w:rPr>
          <w:b/>
        </w:rPr>
        <w:t>IID</w:t>
      </w:r>
      <w:r>
        <w:t xml:space="preserve"> (integridad de datos), </w:t>
      </w:r>
      <w:r>
        <w:rPr>
          <w:b/>
        </w:rPr>
        <w:t>CHR</w:t>
      </w:r>
      <w:r>
        <w:t xml:space="preserve"> (cumplimiento de hoja de ruta) y </w:t>
      </w:r>
      <w:r>
        <w:rPr>
          <w:b/>
        </w:rPr>
        <w:t>TDE</w:t>
      </w:r>
      <w:r>
        <w:t xml:space="preserve"> (tasa de evidencias digitales). El contraste de las tres hipótesis específicas determina la verificación de la hipótesis general.</w:t>
      </w:r>
    </w:p>
    <w:p>
      <w:r>
        <w:rPr>
          <w:b/>
        </w:rPr>
        <w:t>Tabla 35. Resumen de contrastación de hipótesis específicas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Hipótesis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t_calculado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T_crítico (gl=23, α=0.05)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p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d Cohen</w:t>
            </w:r>
          </w:p>
        </w:tc>
        <w:tc>
          <w:tcPr>
            <w:tcW w:type="dxa" w:w="1344"/>
            <w:shd w:val="clear" w:color="auto" w:fill="2563EB"/>
          </w:tcPr>
          <w:p>
            <w:r/>
            <w:r>
              <w:rPr>
                <w:b/>
                <w:color w:val="FFFFFF"/>
              </w:rPr>
              <w:t>Decisión</w:t>
            </w:r>
          </w:p>
        </w:tc>
      </w:tr>
      <w:tr>
        <w:tc>
          <w:tcPr>
            <w:tcW w:type="dxa" w:w="1344"/>
          </w:tcPr>
          <w:p>
            <w:r/>
            <w:r>
              <w:t>H1</w:t>
            </w:r>
          </w:p>
        </w:tc>
        <w:tc>
          <w:tcPr>
            <w:tcW w:type="dxa" w:w="1344"/>
          </w:tcPr>
          <w:p>
            <w:r/>
            <w:r>
              <w:t>IID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10.542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2.152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  <w:tr>
        <w:tc>
          <w:tcPr>
            <w:tcW w:type="dxa" w:w="1344"/>
          </w:tcPr>
          <w:p>
            <w:r/>
            <w:r>
              <w:t>H2</w:t>
            </w:r>
          </w:p>
        </w:tc>
        <w:tc>
          <w:tcPr>
            <w:tcW w:type="dxa" w:w="1344"/>
          </w:tcPr>
          <w:p>
            <w:r/>
            <w:r>
              <w:t>CHR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9.168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1.871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  <w:tr>
        <w:tc>
          <w:tcPr>
            <w:tcW w:type="dxa" w:w="1344"/>
          </w:tcPr>
          <w:p>
            <w:r/>
            <w:r>
              <w:t>H3</w:t>
            </w:r>
          </w:p>
        </w:tc>
        <w:tc>
          <w:tcPr>
            <w:tcW w:type="dxa" w:w="1344"/>
          </w:tcPr>
          <w:p>
            <w:r/>
            <w:r>
              <w:t>TDE</w:t>
            </w:r>
          </w:p>
        </w:tc>
        <w:tc>
          <w:tcPr>
            <w:tcW w:type="dxa" w:w="1344"/>
          </w:tcPr>
          <w:p>
            <w:r/>
            <w:r>
              <w:rPr>
                <w:b/>
              </w:rPr>
              <w:t>10.329</w:t>
            </w:r>
          </w:p>
        </w:tc>
        <w:tc>
          <w:tcPr>
            <w:tcW w:type="dxa" w:w="1344"/>
          </w:tcPr>
          <w:p>
            <w:r/>
            <w:r>
              <w:t>1.7139</w:t>
            </w:r>
          </w:p>
        </w:tc>
        <w:tc>
          <w:tcPr>
            <w:tcW w:type="dxa" w:w="1344"/>
          </w:tcPr>
          <w:p>
            <w:r/>
            <w:r>
              <w:t>&lt; 0.001</w:t>
            </w:r>
          </w:p>
        </w:tc>
        <w:tc>
          <w:tcPr>
            <w:tcW w:type="dxa" w:w="1344"/>
          </w:tcPr>
          <w:p>
            <w:r/>
            <w:r>
              <w:t>2.108</w:t>
            </w:r>
          </w:p>
        </w:tc>
        <w:tc>
          <w:tcPr>
            <w:tcW w:type="dxa" w:w="1344"/>
          </w:tcPr>
          <w:p>
            <w:r/>
            <w:r>
              <w:t>✅ Acepta Hₐ</w:t>
            </w:r>
          </w:p>
        </w:tc>
      </w:tr>
    </w:tbl>
    <w:p/>
    <w:p>
      <w:r>
        <w:rPr>
          <w:b/>
        </w:rPr>
        <w:t>Conclusión del Capítulo III</w:t>
      </w:r>
      <w:r>
        <w:t xml:space="preserve">: Los resultados estadísticos demuestran que el aplicativo móvil EcoRoute, implementado sobre el modelo metodológico Scrum + arquitectura hexagonal y desplegado en la empresa Grupo Micotrans S.A.C., </w:t>
      </w:r>
      <w:r>
        <w:rPr>
          <w:b/>
        </w:rPr>
        <w:t>incrementa significativamente los tres indicadores</w:t>
      </w:r>
      <w:r>
        <w:t xml:space="preserve"> que componen la variable dependiente "gestión administrativa" (IID, CHR, TDE), con magnitudes de efecto </w:t>
      </w:r>
      <w:r>
        <w:rPr>
          <w:b/>
        </w:rPr>
        <w:t>muy grandes</w:t>
      </w:r>
      <w:r>
        <w:t xml:space="preserve"> (d de Cohen &gt; 1.85 en los tres casos) y nivel de significancia bilateral p &lt; 0.001. Por lo tanto, </w:t>
      </w:r>
      <w:r>
        <w:rPr>
          <w:b/>
        </w:rPr>
        <w:t>se cumple la hipótesis general</w:t>
      </w:r>
      <w:r>
        <w:t xml:space="preserve"> del estudio: el aplicativo móvil influye significativamente en la gestión administrativa de Grupo Micotrans S.A.C.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**Nota metodológica de reproducibilidad**: Los datos del pre-test provienen del registro físico real entregado por el área administrativa de Grupo Micotrans S.A.C. (archivo `REGISTROS SOLICITADOS-MICOTRANS S.A.C - Hoja 1.csv`, 150 filas) y fueron cargados al sistema mediante el script `micotrans_pretest_real.sql`. Los datos del post-test fueron generados por la operación del sistema EcoRoute en el periodo 20/04/2026 – 16/05/2026 y consultados mediante los endpoints `/reports/kpi/{iid|chr|tde}` del backend Spring Boot. Las fichas exportables (CSV y PDF) están disponibles desde el panel administrativo en *Reportes → KPIs de Gestión Administrativa (Tesis)*. El script `tesis_entregables/analisis_estadistico.py` recalcula todos los estadísticos presentados de manera reproducible.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