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Comparative Analysis of Extractive and Abstractive Text Summarization Methods for Indonesian Academic Documents</w:t>
      </w:r>
    </w:p>
    <w:p>
      <w:pPr>
        <w:jc w:val="center"/>
      </w:pPr>
      <w:r>
        <w:rPr>
          <w:rFonts w:ascii="Times New Roman" w:hAnsi="Times New Roman"/>
          <w:sz w:val="22"/>
        </w:rPr>
        <w:t>Author Name, Supervisor Name</w:t>
        <w:br/>
        <w:t>Department of Informatics, University Name</w:t>
        <w:br/>
        <w:t>City, Indonesia</w:t>
        <w:br/>
        <w:t>email@university.ac.id</w:t>
      </w:r>
    </w:p>
    <w:p/>
    <w:p>
      <w:pPr>
        <w:jc w:val="left"/>
      </w:pPr>
      <w:r>
        <w:rPr>
          <w:rFonts w:ascii="Times New Roman" w:hAnsi="Times New Roman"/>
          <w:b/>
          <w:sz w:val="22"/>
        </w:rPr>
        <w:t>Abstract</w:t>
      </w:r>
    </w:p>
    <w:p>
      <w:pPr>
        <w:ind w:firstLine="360"/>
        <w:jc w:val="both"/>
      </w:pPr>
      <w:r>
        <w:rPr>
          <w:rFonts w:ascii="Times New Roman" w:hAnsi="Times New Roman"/>
          <w:b w:val="0"/>
          <w:i w:val="0"/>
          <w:sz w:val="20"/>
        </w:rPr>
        <w:t>This paper presents a comparative study of extractive and abstractive text summarization approaches applied to Indonesian academic documents. The extractive method employs TF-IDF weighting combined with TextRank (PageRank-based graph ranking), while the abstractive method utilizes a pre-trained multilingual mT5 model (mT5_multilingual_XLSum) fine-tuned for summarization tasks. We evaluate both methods on a dataset of 100 Indonesian academic documents using ROUGE-1, ROUGE-2, and ROUGE-L metrics. Experimental results on the full dataset show that the extractive approach achieves a higher average ROUGE-1 F1 score (0.3452) compared to the abstractive approach (0.1971). However, on a 10-document LLM-referenced subset, the abstractive method surpasses the extractive method (F1 = 0.5681 vs 0.4489). Per-document analysis reveals that document length, sentence count, and compression ratio significantly influence summarization quality. A web-based interactive tool is developed to facilitate the complete NLP pipeline from preprocessing through evaluation.</w:t>
      </w:r>
    </w:p>
    <w:p>
      <w:pPr>
        <w:ind w:firstLine="360"/>
        <w:jc w:val="both"/>
      </w:pPr>
      <w:r>
        <w:rPr>
          <w:rFonts w:ascii="Times New Roman" w:hAnsi="Times New Roman"/>
          <w:b w:val="0"/>
          <w:i/>
          <w:sz w:val="20"/>
        </w:rPr>
        <w:t>Keywords—text summarization, extractive, abstractive, TF-IDF, TextRank, mT5, ROUGE, Indonesian NLP.</w:t>
      </w:r>
    </w:p>
    <w:p>
      <w:pPr>
        <w:jc w:val="left"/>
      </w:pPr>
      <w:r>
        <w:rPr>
          <w:rFonts w:ascii="Times New Roman" w:hAnsi="Times New Roman"/>
          <w:b/>
          <w:sz w:val="24"/>
        </w:rPr>
        <w:t>I. INTRODUCTION</w:t>
      </w:r>
    </w:p>
    <w:p>
      <w:pPr>
        <w:ind w:firstLine="360"/>
        <w:jc w:val="both"/>
      </w:pPr>
      <w:r>
        <w:rPr>
          <w:rFonts w:ascii="Times New Roman" w:hAnsi="Times New Roman"/>
          <w:b w:val="0"/>
          <w:i w:val="0"/>
          <w:sz w:val="20"/>
        </w:rPr>
        <w:t>Text summarization is a fundamental task in Natural Language Processing (NLP) that aims to condense a document into a shorter version while preserving the most important information. With the exponential growth of academic publications, automatic text summarization has become increasingly valuable for researchers to quickly grasp the content of scholarly articles.</w:t>
      </w:r>
    </w:p>
    <w:p>
      <w:pPr>
        <w:ind w:firstLine="360"/>
        <w:jc w:val="both"/>
      </w:pPr>
      <w:r>
        <w:rPr>
          <w:rFonts w:ascii="Times New Roman" w:hAnsi="Times New Roman"/>
          <w:b w:val="0"/>
          <w:i w:val="0"/>
          <w:sz w:val="20"/>
        </w:rPr>
        <w:t>Two primary approaches exist for automatic text summarization: extractive and abstractive. Extractive summarization selects and concatenates the most important sentences from the original document, preserving the original wording. Abstractive summarization, in contrast, generates new sentences that may not appear in the source document, aiming to capture the essence of the text in a more human-like manner.</w:t>
      </w:r>
    </w:p>
    <w:p>
      <w:pPr>
        <w:ind w:firstLine="360"/>
        <w:jc w:val="both"/>
      </w:pPr>
      <w:r>
        <w:rPr>
          <w:rFonts w:ascii="Times New Roman" w:hAnsi="Times New Roman"/>
          <w:b w:val="0"/>
          <w:i w:val="0"/>
          <w:sz w:val="20"/>
        </w:rPr>
        <w:t>While significant progress has been made in text summarization for English and other high-resource languages, research on Indonesian text summarization, particularly for academic documents, remains relatively limited. Indonesian presents unique challenges including its agglutinative morphology, the prevalence of affixed words, and the limited availability of pre-trained language models specifically optimized for Indonesian.</w:t>
      </w:r>
    </w:p>
    <w:p>
      <w:pPr>
        <w:ind w:firstLine="360"/>
        <w:jc w:val="both"/>
      </w:pPr>
      <w:r>
        <w:rPr>
          <w:rFonts w:ascii="Times New Roman" w:hAnsi="Times New Roman"/>
          <w:b w:val="0"/>
          <w:i w:val="0"/>
          <w:sz w:val="20"/>
        </w:rPr>
        <w:t>This paper makes the following contributions:</w:t>
      </w:r>
    </w:p>
    <w:p>
      <w:pPr>
        <w:ind w:left="360"/>
      </w:pPr>
      <w:r>
        <w:rPr>
          <w:rFonts w:ascii="Times New Roman" w:hAnsi="Times New Roman"/>
          <w:sz w:val="20"/>
        </w:rPr>
        <w:t>1) A comparative analysis of extractive (TF-IDF + TextRank) and abstractive (mT5) summarization methods on 100 Indonesian academic documents.</w:t>
      </w:r>
    </w:p>
    <w:p>
      <w:pPr>
        <w:ind w:left="360"/>
      </w:pPr>
      <w:r>
        <w:rPr>
          <w:rFonts w:ascii="Times New Roman" w:hAnsi="Times New Roman"/>
          <w:sz w:val="20"/>
        </w:rPr>
        <w:t>2) A per-document factor analysis examining how document characteristics influence summarization quality.</w:t>
      </w:r>
    </w:p>
    <w:p>
      <w:pPr>
        <w:ind w:left="360"/>
      </w:pPr>
      <w:r>
        <w:rPr>
          <w:rFonts w:ascii="Times New Roman" w:hAnsi="Times New Roman"/>
          <w:sz w:val="20"/>
        </w:rPr>
        <w:t>3) Integration of LLM-generated summaries as a third comparison baseline with full ROUGE evaluation.</w:t>
      </w:r>
    </w:p>
    <w:p>
      <w:pPr>
        <w:ind w:left="360"/>
      </w:pPr>
      <w:r>
        <w:rPr>
          <w:rFonts w:ascii="Times New Roman" w:hAnsi="Times New Roman"/>
          <w:sz w:val="20"/>
        </w:rPr>
        <w:t>4) An interactive web-based tool for the complete summarization and evaluation pipeline.</w:t>
      </w:r>
    </w:p>
    <w:p>
      <w:pPr>
        <w:jc w:val="left"/>
      </w:pPr>
      <w:r>
        <w:rPr>
          <w:rFonts w:ascii="Times New Roman" w:hAnsi="Times New Roman"/>
          <w:b/>
          <w:sz w:val="24"/>
        </w:rPr>
        <w:t>II. RELATED WORK</w:t>
      </w:r>
    </w:p>
    <w:p>
      <w:pPr>
        <w:jc w:val="left"/>
      </w:pPr>
      <w:r>
        <w:rPr>
          <w:rFonts w:ascii="Times New Roman" w:hAnsi="Times New Roman"/>
          <w:b/>
          <w:sz w:val="22"/>
        </w:rPr>
        <w:t>A. Extractive Summarization</w:t>
      </w:r>
    </w:p>
    <w:p>
      <w:pPr>
        <w:ind w:firstLine="360"/>
        <w:jc w:val="both"/>
      </w:pPr>
      <w:r>
        <w:rPr>
          <w:rFonts w:ascii="Times New Roman" w:hAnsi="Times New Roman"/>
          <w:b w:val="0"/>
          <w:i w:val="0"/>
          <w:sz w:val="20"/>
        </w:rPr>
        <w:t>Extractive methods identify the most salient sentences in a document. Early approaches relied on term frequency and positional features [1]. Mihalcea and Tarau [2] introduced TextRank, a graph-based ranking algorithm inspired by PageRank, which constructs a graph of sentences with edges weighted by similarity. TF-IDF [3] has been widely used to represent sentence importance in extractive systems.</w:t>
      </w:r>
    </w:p>
    <w:p>
      <w:pPr>
        <w:jc w:val="left"/>
      </w:pPr>
      <w:r>
        <w:rPr>
          <w:rFonts w:ascii="Times New Roman" w:hAnsi="Times New Roman"/>
          <w:b/>
          <w:sz w:val="22"/>
        </w:rPr>
        <w:t>B. Abstractive Summarization</w:t>
      </w:r>
    </w:p>
    <w:p>
      <w:pPr>
        <w:ind w:firstLine="360"/>
        <w:jc w:val="both"/>
      </w:pPr>
      <w:r>
        <w:rPr>
          <w:rFonts w:ascii="Times New Roman" w:hAnsi="Times New Roman"/>
          <w:b w:val="0"/>
          <w:i w:val="0"/>
          <w:sz w:val="20"/>
        </w:rPr>
        <w:t>Abstractive methods generate novel text using sequence-to-sequence models. The Transformer architecture [4] enabled significant advances, with models such as BART [5], T5 [6], and their multilingual variants (mBART, mT5) supporting cross-lingual summarization. Hasan et al. [7] introduced XL-Sum and fine-tuned mT5 for multilingual summarization across 44 languages including Indonesian.</w:t>
      </w:r>
    </w:p>
    <w:p>
      <w:pPr>
        <w:jc w:val="left"/>
      </w:pPr>
      <w:r>
        <w:rPr>
          <w:rFonts w:ascii="Times New Roman" w:hAnsi="Times New Roman"/>
          <w:b/>
          <w:sz w:val="22"/>
        </w:rPr>
        <w:t>C. Indonesian Text Summarization</w:t>
      </w:r>
    </w:p>
    <w:p>
      <w:pPr>
        <w:ind w:firstLine="360"/>
        <w:jc w:val="both"/>
      </w:pPr>
      <w:r>
        <w:rPr>
          <w:rFonts w:ascii="Times New Roman" w:hAnsi="Times New Roman"/>
          <w:b w:val="0"/>
          <w:i w:val="0"/>
          <w:sz w:val="20"/>
        </w:rPr>
        <w:t>Research on Indonesian text summarization has explored both extractive [8] and abstractive [9] approaches. However, comparative studies examining both methods on academic documents with standardized evaluation metrics remain scarce.</w:t>
      </w:r>
    </w:p>
    <w:p>
      <w:pPr>
        <w:jc w:val="left"/>
      </w:pPr>
      <w:r>
        <w:rPr>
          <w:rFonts w:ascii="Times New Roman" w:hAnsi="Times New Roman"/>
          <w:b/>
          <w:sz w:val="22"/>
        </w:rPr>
        <w:t>D. Evaluation Metrics</w:t>
      </w:r>
    </w:p>
    <w:p>
      <w:pPr>
        <w:ind w:firstLine="360"/>
        <w:jc w:val="both"/>
      </w:pPr>
      <w:r>
        <w:rPr>
          <w:rFonts w:ascii="Times New Roman" w:hAnsi="Times New Roman"/>
          <w:b w:val="0"/>
          <w:i w:val="0"/>
          <w:sz w:val="20"/>
        </w:rPr>
        <w:t>ROUGE [10] is the standard metric for summarization evaluation, measuring n-gram overlap between system-generated and reference summaries. ROUGE-1, ROUGE-2, and ROUGE-L capture unigram overlap, bigram overlap, and longest common subsequence, respectively.</w:t>
      </w:r>
    </w:p>
    <w:p>
      <w:pPr>
        <w:jc w:val="left"/>
      </w:pPr>
      <w:r>
        <w:rPr>
          <w:rFonts w:ascii="Times New Roman" w:hAnsi="Times New Roman"/>
          <w:b/>
          <w:sz w:val="24"/>
        </w:rPr>
        <w:t>III. METHODOLOGY</w:t>
      </w:r>
    </w:p>
    <w:p>
      <w:pPr>
        <w:jc w:val="left"/>
      </w:pPr>
      <w:r>
        <w:rPr>
          <w:rFonts w:ascii="Times New Roman" w:hAnsi="Times New Roman"/>
          <w:b/>
          <w:sz w:val="22"/>
        </w:rPr>
        <w:t>A. Dataset</w:t>
      </w:r>
    </w:p>
    <w:p>
      <w:pPr>
        <w:ind w:firstLine="360"/>
        <w:jc w:val="both"/>
      </w:pPr>
      <w:r>
        <w:rPr>
          <w:rFonts w:ascii="Times New Roman" w:hAnsi="Times New Roman"/>
          <w:b w:val="0"/>
          <w:i w:val="0"/>
          <w:sz w:val="20"/>
        </w:rPr>
        <w:t>The dataset consists of 100 Indonesian academic documents collected from Indonesian academic journals. Each document is paired with a human-written reference summary. Table I summarizes the dataset statistics.</w:t>
      </w:r>
    </w:p>
    <w:p>
      <w:pPr>
        <w:ind w:firstLine="360"/>
        <w:jc w:val="center"/>
      </w:pPr>
      <w:r>
        <w:rPr>
          <w:rFonts w:ascii="Times New Roman" w:hAnsi="Times New Roman"/>
          <w:b/>
          <w:i w:val="0"/>
          <w:sz w:val="20"/>
        </w:rPr>
        <w:t>TABLE I. DATASET STATISTICS</w:t>
      </w:r>
    </w:p>
    <w:tbl>
      <w:tblPr>
        <w:tblStyle w:val="LightGrid-Accent1"/>
        <w:tblW w:type="auto" w:w="0"/>
        <w:jc w:val="center"/>
        <w:tblLook w:firstColumn="1" w:firstRow="1" w:lastColumn="0" w:lastRow="0" w:noHBand="0" w:noVBand="1" w:val="04A0"/>
      </w:tblPr>
      <w:tblGrid>
        <w:gridCol w:w="5040"/>
        <w:gridCol w:w="5040"/>
      </w:tblGrid>
      <w:tr>
        <w:tc>
          <w:tcPr>
            <w:tcW w:type="dxa" w:w="5040"/>
          </w:tcPr>
          <w:p>
            <w:pPr>
              <w:jc w:val="center"/>
            </w:pPr>
            <w:r/>
            <w:r>
              <w:rPr>
                <w:rFonts w:ascii="Times New Roman" w:hAnsi="Times New Roman"/>
                <w:b/>
                <w:sz w:val="18"/>
              </w:rPr>
              <w:t>Statistic</w:t>
            </w:r>
          </w:p>
        </w:tc>
        <w:tc>
          <w:tcPr>
            <w:tcW w:type="dxa" w:w="5040"/>
          </w:tcPr>
          <w:p>
            <w:pPr>
              <w:jc w:val="center"/>
            </w:pPr>
            <w:r/>
            <w:r>
              <w:rPr>
                <w:rFonts w:ascii="Times New Roman" w:hAnsi="Times New Roman"/>
                <w:b/>
                <w:sz w:val="18"/>
              </w:rPr>
              <w:t>Value</w:t>
            </w:r>
          </w:p>
        </w:tc>
      </w:tr>
      <w:tr>
        <w:tc>
          <w:tcPr>
            <w:tcW w:type="dxa" w:w="5040"/>
          </w:tcPr>
          <w:p>
            <w:pPr>
              <w:jc w:val="center"/>
            </w:pPr>
            <w:r/>
            <w:r>
              <w:rPr>
                <w:rFonts w:ascii="Times New Roman" w:hAnsi="Times New Roman"/>
                <w:sz w:val="18"/>
              </w:rPr>
              <w:t>Number of documents</w:t>
            </w:r>
          </w:p>
        </w:tc>
        <w:tc>
          <w:tcPr>
            <w:tcW w:type="dxa" w:w="5040"/>
          </w:tcPr>
          <w:p>
            <w:pPr>
              <w:jc w:val="center"/>
            </w:pPr>
            <w:r/>
            <w:r>
              <w:rPr>
                <w:rFonts w:ascii="Times New Roman" w:hAnsi="Times New Roman"/>
                <w:sz w:val="18"/>
              </w:rPr>
              <w:t>100</w:t>
            </w:r>
          </w:p>
        </w:tc>
      </w:tr>
      <w:tr>
        <w:tc>
          <w:tcPr>
            <w:tcW w:type="dxa" w:w="5040"/>
          </w:tcPr>
          <w:p>
            <w:pPr>
              <w:jc w:val="center"/>
            </w:pPr>
            <w:r/>
            <w:r>
              <w:rPr>
                <w:rFonts w:ascii="Times New Roman" w:hAnsi="Times New Roman"/>
                <w:sz w:val="18"/>
              </w:rPr>
              <w:t>Average document length</w:t>
            </w:r>
          </w:p>
        </w:tc>
        <w:tc>
          <w:tcPr>
            <w:tcW w:type="dxa" w:w="5040"/>
          </w:tcPr>
          <w:p>
            <w:pPr>
              <w:jc w:val="center"/>
            </w:pPr>
            <w:r/>
            <w:r>
              <w:rPr>
                <w:rFonts w:ascii="Times New Roman" w:hAnsi="Times New Roman"/>
                <w:sz w:val="18"/>
              </w:rPr>
              <w:t>25,267 characters</w:t>
            </w:r>
          </w:p>
        </w:tc>
      </w:tr>
      <w:tr>
        <w:tc>
          <w:tcPr>
            <w:tcW w:type="dxa" w:w="5040"/>
          </w:tcPr>
          <w:p>
            <w:pPr>
              <w:jc w:val="center"/>
            </w:pPr>
            <w:r/>
            <w:r>
              <w:rPr>
                <w:rFonts w:ascii="Times New Roman" w:hAnsi="Times New Roman"/>
                <w:sz w:val="18"/>
              </w:rPr>
              <w:t>Minimum document length</w:t>
            </w:r>
          </w:p>
        </w:tc>
        <w:tc>
          <w:tcPr>
            <w:tcW w:type="dxa" w:w="5040"/>
          </w:tcPr>
          <w:p>
            <w:pPr>
              <w:jc w:val="center"/>
            </w:pPr>
            <w:r/>
            <w:r>
              <w:rPr>
                <w:rFonts w:ascii="Times New Roman" w:hAnsi="Times New Roman"/>
                <w:sz w:val="18"/>
              </w:rPr>
              <w:t>1,136 characters</w:t>
            </w:r>
          </w:p>
        </w:tc>
      </w:tr>
      <w:tr>
        <w:tc>
          <w:tcPr>
            <w:tcW w:type="dxa" w:w="5040"/>
          </w:tcPr>
          <w:p>
            <w:pPr>
              <w:jc w:val="center"/>
            </w:pPr>
            <w:r/>
            <w:r>
              <w:rPr>
                <w:rFonts w:ascii="Times New Roman" w:hAnsi="Times New Roman"/>
                <w:sz w:val="18"/>
              </w:rPr>
              <w:t>Maximum document length</w:t>
            </w:r>
          </w:p>
        </w:tc>
        <w:tc>
          <w:tcPr>
            <w:tcW w:type="dxa" w:w="5040"/>
          </w:tcPr>
          <w:p>
            <w:pPr>
              <w:jc w:val="center"/>
            </w:pPr>
            <w:r/>
            <w:r>
              <w:rPr>
                <w:rFonts w:ascii="Times New Roman" w:hAnsi="Times New Roman"/>
                <w:sz w:val="18"/>
              </w:rPr>
              <w:t>57,745 characters</w:t>
            </w:r>
          </w:p>
        </w:tc>
      </w:tr>
      <w:tr>
        <w:tc>
          <w:tcPr>
            <w:tcW w:type="dxa" w:w="5040"/>
          </w:tcPr>
          <w:p>
            <w:pPr>
              <w:jc w:val="center"/>
            </w:pPr>
            <w:r/>
            <w:r>
              <w:rPr>
                <w:rFonts w:ascii="Times New Roman" w:hAnsi="Times New Roman"/>
                <w:sz w:val="18"/>
              </w:rPr>
              <w:t>Average summary length</w:t>
            </w:r>
          </w:p>
        </w:tc>
        <w:tc>
          <w:tcPr>
            <w:tcW w:type="dxa" w:w="5040"/>
          </w:tcPr>
          <w:p>
            <w:pPr>
              <w:jc w:val="center"/>
            </w:pPr>
            <w:r/>
            <w:r>
              <w:rPr>
                <w:rFonts w:ascii="Times New Roman" w:hAnsi="Times New Roman"/>
                <w:sz w:val="18"/>
              </w:rPr>
              <w:t>964 characters</w:t>
            </w:r>
          </w:p>
        </w:tc>
      </w:tr>
      <w:tr>
        <w:tc>
          <w:tcPr>
            <w:tcW w:type="dxa" w:w="5040"/>
          </w:tcPr>
          <w:p>
            <w:pPr>
              <w:jc w:val="center"/>
            </w:pPr>
            <w:r/>
            <w:r>
              <w:rPr>
                <w:rFonts w:ascii="Times New Roman" w:hAnsi="Times New Roman"/>
                <w:sz w:val="18"/>
              </w:rPr>
              <w:t>Language</w:t>
            </w:r>
          </w:p>
        </w:tc>
        <w:tc>
          <w:tcPr>
            <w:tcW w:type="dxa" w:w="5040"/>
          </w:tcPr>
          <w:p>
            <w:pPr>
              <w:jc w:val="center"/>
            </w:pPr>
            <w:r/>
            <w:r>
              <w:rPr>
                <w:rFonts w:ascii="Times New Roman" w:hAnsi="Times New Roman"/>
                <w:sz w:val="18"/>
              </w:rPr>
              <w:t>Indonesian</w:t>
            </w:r>
          </w:p>
        </w:tc>
      </w:tr>
    </w:tbl>
    <w:p>
      <w:pPr>
        <w:jc w:val="left"/>
      </w:pPr>
      <w:r>
        <w:rPr>
          <w:rFonts w:ascii="Times New Roman" w:hAnsi="Times New Roman"/>
          <w:b/>
          <w:sz w:val="22"/>
        </w:rPr>
        <w:t>B. Preprocessing Pipeline</w:t>
      </w:r>
    </w:p>
    <w:p>
      <w:pPr>
        <w:ind w:firstLine="360"/>
        <w:jc w:val="both"/>
      </w:pPr>
      <w:r>
        <w:rPr>
          <w:rFonts w:ascii="Times New Roman" w:hAnsi="Times New Roman"/>
          <w:b w:val="0"/>
          <w:i w:val="0"/>
          <w:sz w:val="20"/>
        </w:rPr>
        <w:t>The preprocessing pipeline consists of six sequential stages: (1) Case Folding, (2) Cleaning of non-alphabetic characters and URLs, (3) Sentence Tokenization, (4) Word Tokenization, (5) Stopword Removal using a curated Indonesian stopword list, and (6) Stemming using the Sastrawi stemmer for Indonesian morphological affixation.</w:t>
      </w:r>
    </w:p>
    <w:p>
      <w:pPr>
        <w:jc w:val="left"/>
      </w:pPr>
      <w:r>
        <w:rPr>
          <w:rFonts w:ascii="Times New Roman" w:hAnsi="Times New Roman"/>
          <w:b/>
          <w:sz w:val="22"/>
        </w:rPr>
        <w:t>C. Extractive Summarization: TF-IDF + TextRank</w:t>
      </w:r>
    </w:p>
    <w:p>
      <w:pPr>
        <w:ind w:firstLine="360"/>
        <w:jc w:val="both"/>
      </w:pPr>
      <w:r>
        <w:rPr>
          <w:rFonts w:ascii="Times New Roman" w:hAnsi="Times New Roman"/>
          <w:b w:val="0"/>
          <w:i w:val="0"/>
          <w:sz w:val="20"/>
        </w:rPr>
        <w:t>The extractive method combines TF-IDF weighting with TextRank graph-based ranking. Each sentence is represented as a TF-IDF vector. Cosine similarity is computed between all sentence pairs to construct a weighted adjacency matrix. The PageRank algorithm is applied to rank sentences by centrality. The top-ranked sentences are selected and ordered by their original position in the document.</w:t>
      </w:r>
    </w:p>
    <w:p>
      <w:pPr>
        <w:jc w:val="left"/>
      </w:pPr>
      <w:r>
        <w:rPr>
          <w:rFonts w:ascii="Times New Roman" w:hAnsi="Times New Roman"/>
          <w:b/>
          <w:sz w:val="22"/>
        </w:rPr>
        <w:t>D. Abstractive Summarization: mT5</w:t>
      </w:r>
    </w:p>
    <w:p>
      <w:pPr>
        <w:ind w:firstLine="360"/>
        <w:jc w:val="both"/>
      </w:pPr>
      <w:r>
        <w:rPr>
          <w:rFonts w:ascii="Times New Roman" w:hAnsi="Times New Roman"/>
          <w:b w:val="0"/>
          <w:i w:val="0"/>
          <w:sz w:val="20"/>
        </w:rPr>
        <w:t>The abstractive method uses the pre-trained csebuetnlp/mT5_multilingual_XLSum model (mT5-base, 582M parameters), pre-trained on mC4 and fine-tuned on the XL-Sum dataset. Configuration: maximum source length of 256 tokens, maximum target length of 128 tokens, minimum target length of 30 tokens, beam search with 4 beams.</w:t>
      </w:r>
    </w:p>
    <w:p>
      <w:pPr>
        <w:jc w:val="left"/>
      </w:pPr>
      <w:r>
        <w:rPr>
          <w:rFonts w:ascii="Times New Roman" w:hAnsi="Times New Roman"/>
          <w:b/>
          <w:sz w:val="22"/>
        </w:rPr>
        <w:t>E. Evaluation Metrics</w:t>
      </w:r>
    </w:p>
    <w:p>
      <w:pPr>
        <w:ind w:firstLine="360"/>
        <w:jc w:val="both"/>
      </w:pPr>
      <w:r>
        <w:rPr>
          <w:rFonts w:ascii="Times New Roman" w:hAnsi="Times New Roman"/>
          <w:b w:val="0"/>
          <w:i w:val="0"/>
          <w:sz w:val="20"/>
        </w:rPr>
        <w:t>We evaluate using three ROUGE metrics: ROUGE-1 (unigram overlap), ROUGE-2 (bigram overlap), and ROUGE-L (Longest Common Subsequence). Each metric reports Precision, Recall, and F1-score.</w:t>
      </w:r>
    </w:p>
    <w:p>
      <w:pPr>
        <w:jc w:val="left"/>
      </w:pPr>
      <w:r>
        <w:rPr>
          <w:rFonts w:ascii="Times New Roman" w:hAnsi="Times New Roman"/>
          <w:b/>
          <w:sz w:val="24"/>
        </w:rPr>
        <w:t>IV. RESULTS AND DISCUSSION</w:t>
      </w:r>
    </w:p>
    <w:p>
      <w:pPr>
        <w:jc w:val="left"/>
      </w:pPr>
      <w:r>
        <w:rPr>
          <w:rFonts w:ascii="Times New Roman" w:hAnsi="Times New Roman"/>
          <w:b/>
          <w:sz w:val="22"/>
        </w:rPr>
        <w:t>A. Aggregate ROUGE Scores (100 documents)</w:t>
      </w:r>
    </w:p>
    <w:p>
      <w:pPr>
        <w:ind w:firstLine="360"/>
        <w:jc w:val="both"/>
      </w:pPr>
      <w:r>
        <w:rPr>
          <w:rFonts w:ascii="Times New Roman" w:hAnsi="Times New Roman"/>
          <w:b w:val="0"/>
          <w:i w:val="0"/>
          <w:sz w:val="20"/>
        </w:rPr>
        <w:t>Table II presents the aggregate ROUGE scores on the full dataset.</w:t>
      </w:r>
    </w:p>
    <w:p>
      <w:pPr>
        <w:ind w:firstLine="360"/>
        <w:jc w:val="center"/>
      </w:pPr>
      <w:r>
        <w:rPr>
          <w:rFonts w:ascii="Times New Roman" w:hAnsi="Times New Roman"/>
          <w:b/>
          <w:i w:val="0"/>
          <w:sz w:val="20"/>
        </w:rPr>
        <w:t>TABLE II. AGGREGATE ROUGE SCORES (FULL DATASET)</w:t>
      </w:r>
    </w:p>
    <w:tbl>
      <w:tblPr>
        <w:tblStyle w:val="LightGrid-Accent1"/>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
              <w:rPr>
                <w:rFonts w:ascii="Times New Roman" w:hAnsi="Times New Roman"/>
                <w:b/>
                <w:sz w:val="18"/>
              </w:rPr>
              <w:t>Metric</w:t>
            </w:r>
          </w:p>
        </w:tc>
        <w:tc>
          <w:tcPr>
            <w:tcW w:type="dxa" w:w="2016"/>
          </w:tcPr>
          <w:p>
            <w:pPr>
              <w:jc w:val="center"/>
            </w:pPr>
            <w:r/>
            <w:r>
              <w:rPr>
                <w:rFonts w:ascii="Times New Roman" w:hAnsi="Times New Roman"/>
                <w:b/>
                <w:sz w:val="18"/>
              </w:rPr>
              <w:t>Method</w:t>
            </w:r>
          </w:p>
        </w:tc>
        <w:tc>
          <w:tcPr>
            <w:tcW w:type="dxa" w:w="2016"/>
          </w:tcPr>
          <w:p>
            <w:pPr>
              <w:jc w:val="center"/>
            </w:pPr>
            <w:r/>
            <w:r>
              <w:rPr>
                <w:rFonts w:ascii="Times New Roman" w:hAnsi="Times New Roman"/>
                <w:b/>
                <w:sz w:val="18"/>
              </w:rPr>
              <w:t>Precision</w:t>
            </w:r>
          </w:p>
        </w:tc>
        <w:tc>
          <w:tcPr>
            <w:tcW w:type="dxa" w:w="2016"/>
          </w:tcPr>
          <w:p>
            <w:pPr>
              <w:jc w:val="center"/>
            </w:pPr>
            <w:r/>
            <w:r>
              <w:rPr>
                <w:rFonts w:ascii="Times New Roman" w:hAnsi="Times New Roman"/>
                <w:b/>
                <w:sz w:val="18"/>
              </w:rPr>
              <w:t>Recall</w:t>
            </w:r>
          </w:p>
        </w:tc>
        <w:tc>
          <w:tcPr>
            <w:tcW w:type="dxa" w:w="2016"/>
          </w:tcPr>
          <w:p>
            <w:pPr>
              <w:jc w:val="center"/>
            </w:pPr>
            <w:r/>
            <w:r>
              <w:rPr>
                <w:rFonts w:ascii="Times New Roman" w:hAnsi="Times New Roman"/>
                <w:b/>
                <w:sz w:val="18"/>
              </w:rPr>
              <w:t>F1-Score</w:t>
            </w:r>
          </w:p>
        </w:tc>
      </w:tr>
      <w:tr>
        <w:tc>
          <w:tcPr>
            <w:tcW w:type="dxa" w:w="2016"/>
          </w:tcPr>
          <w:p>
            <w:pPr>
              <w:jc w:val="center"/>
            </w:pPr>
            <w:r/>
            <w:r>
              <w:rPr>
                <w:rFonts w:ascii="Times New Roman" w:hAnsi="Times New Roman"/>
                <w:sz w:val="18"/>
              </w:rPr>
              <w:t>ROUGE-1</w:t>
            </w:r>
          </w:p>
        </w:tc>
        <w:tc>
          <w:tcPr>
            <w:tcW w:type="dxa" w:w="2016"/>
          </w:tcPr>
          <w:p>
            <w:pPr>
              <w:jc w:val="center"/>
            </w:pPr>
            <w:r/>
            <w:r>
              <w:rPr>
                <w:rFonts w:ascii="Times New Roman" w:hAnsi="Times New Roman"/>
                <w:sz w:val="18"/>
              </w:rPr>
              <w:t>Extractive</w:t>
            </w:r>
          </w:p>
        </w:tc>
        <w:tc>
          <w:tcPr>
            <w:tcW w:type="dxa" w:w="2016"/>
          </w:tcPr>
          <w:p>
            <w:pPr>
              <w:jc w:val="center"/>
            </w:pPr>
            <w:r/>
            <w:r>
              <w:rPr>
                <w:rFonts w:ascii="Times New Roman" w:hAnsi="Times New Roman"/>
                <w:sz w:val="18"/>
              </w:rPr>
              <w:t>0.3284</w:t>
            </w:r>
          </w:p>
        </w:tc>
        <w:tc>
          <w:tcPr>
            <w:tcW w:type="dxa" w:w="2016"/>
          </w:tcPr>
          <w:p>
            <w:pPr>
              <w:jc w:val="center"/>
            </w:pPr>
            <w:r/>
            <w:r>
              <w:rPr>
                <w:rFonts w:ascii="Times New Roman" w:hAnsi="Times New Roman"/>
                <w:sz w:val="18"/>
              </w:rPr>
              <w:t>0.4338</w:t>
            </w:r>
          </w:p>
        </w:tc>
        <w:tc>
          <w:tcPr>
            <w:tcW w:type="dxa" w:w="2016"/>
          </w:tcPr>
          <w:p>
            <w:pPr>
              <w:jc w:val="center"/>
            </w:pPr>
            <w:r/>
            <w:r>
              <w:rPr>
                <w:rFonts w:ascii="Times New Roman" w:hAnsi="Times New Roman"/>
                <w:sz w:val="18"/>
              </w:rPr>
              <w:t>0.3452</w:t>
            </w:r>
          </w:p>
        </w:tc>
      </w:tr>
      <w:tr>
        <w:tc>
          <w:tcPr>
            <w:tcW w:type="dxa" w:w="2016"/>
          </w:tcPr>
          <w:p>
            <w:pPr>
              <w:jc w:val="center"/>
            </w:pPr>
            <w:r/>
            <w:r>
              <w:rPr>
                <w:rFonts w:ascii="Times New Roman" w:hAnsi="Times New Roman"/>
                <w:sz w:val="18"/>
              </w:rPr>
              <w:t>ROUGE-1</w:t>
            </w:r>
          </w:p>
        </w:tc>
        <w:tc>
          <w:tcPr>
            <w:tcW w:type="dxa" w:w="2016"/>
          </w:tcPr>
          <w:p>
            <w:pPr>
              <w:jc w:val="center"/>
            </w:pPr>
            <w:r/>
            <w:r>
              <w:rPr>
                <w:rFonts w:ascii="Times New Roman" w:hAnsi="Times New Roman"/>
                <w:sz w:val="18"/>
              </w:rPr>
              <w:t>Abstractive</w:t>
            </w:r>
          </w:p>
        </w:tc>
        <w:tc>
          <w:tcPr>
            <w:tcW w:type="dxa" w:w="2016"/>
          </w:tcPr>
          <w:p>
            <w:pPr>
              <w:jc w:val="center"/>
            </w:pPr>
            <w:r/>
            <w:r>
              <w:rPr>
                <w:rFonts w:ascii="Times New Roman" w:hAnsi="Times New Roman"/>
                <w:sz w:val="18"/>
              </w:rPr>
              <w:t>0.5149</w:t>
            </w:r>
          </w:p>
        </w:tc>
        <w:tc>
          <w:tcPr>
            <w:tcW w:type="dxa" w:w="2016"/>
          </w:tcPr>
          <w:p>
            <w:pPr>
              <w:jc w:val="center"/>
            </w:pPr>
            <w:r/>
            <w:r>
              <w:rPr>
                <w:rFonts w:ascii="Times New Roman" w:hAnsi="Times New Roman"/>
                <w:sz w:val="18"/>
              </w:rPr>
              <w:t>0.1412</w:t>
            </w:r>
          </w:p>
        </w:tc>
        <w:tc>
          <w:tcPr>
            <w:tcW w:type="dxa" w:w="2016"/>
          </w:tcPr>
          <w:p>
            <w:pPr>
              <w:jc w:val="center"/>
            </w:pPr>
            <w:r/>
            <w:r>
              <w:rPr>
                <w:rFonts w:ascii="Times New Roman" w:hAnsi="Times New Roman"/>
                <w:sz w:val="18"/>
              </w:rPr>
              <w:t>0.1971</w:t>
            </w:r>
          </w:p>
        </w:tc>
      </w:tr>
      <w:tr>
        <w:tc>
          <w:tcPr>
            <w:tcW w:type="dxa" w:w="2016"/>
          </w:tcPr>
          <w:p>
            <w:pPr>
              <w:jc w:val="center"/>
            </w:pPr>
            <w:r/>
            <w:r>
              <w:rPr>
                <w:rFonts w:ascii="Times New Roman" w:hAnsi="Times New Roman"/>
                <w:sz w:val="18"/>
              </w:rPr>
              <w:t>ROUGE-2</w:t>
            </w:r>
          </w:p>
        </w:tc>
        <w:tc>
          <w:tcPr>
            <w:tcW w:type="dxa" w:w="2016"/>
          </w:tcPr>
          <w:p>
            <w:pPr>
              <w:jc w:val="center"/>
            </w:pPr>
            <w:r/>
            <w:r>
              <w:rPr>
                <w:rFonts w:ascii="Times New Roman" w:hAnsi="Times New Roman"/>
                <w:sz w:val="18"/>
              </w:rPr>
              <w:t>Extractive</w:t>
            </w:r>
          </w:p>
        </w:tc>
        <w:tc>
          <w:tcPr>
            <w:tcW w:type="dxa" w:w="2016"/>
          </w:tcPr>
          <w:p>
            <w:pPr>
              <w:jc w:val="center"/>
            </w:pPr>
            <w:r/>
            <w:r>
              <w:rPr>
                <w:rFonts w:ascii="Times New Roman" w:hAnsi="Times New Roman"/>
                <w:sz w:val="18"/>
              </w:rPr>
              <w:t>0.1299</w:t>
            </w:r>
          </w:p>
        </w:tc>
        <w:tc>
          <w:tcPr>
            <w:tcW w:type="dxa" w:w="2016"/>
          </w:tcPr>
          <w:p>
            <w:pPr>
              <w:jc w:val="center"/>
            </w:pPr>
            <w:r/>
            <w:r>
              <w:rPr>
                <w:rFonts w:ascii="Times New Roman" w:hAnsi="Times New Roman"/>
                <w:sz w:val="18"/>
              </w:rPr>
              <w:t>0.1626</w:t>
            </w:r>
          </w:p>
        </w:tc>
        <w:tc>
          <w:tcPr>
            <w:tcW w:type="dxa" w:w="2016"/>
          </w:tcPr>
          <w:p>
            <w:pPr>
              <w:jc w:val="center"/>
            </w:pPr>
            <w:r/>
            <w:r>
              <w:rPr>
                <w:rFonts w:ascii="Times New Roman" w:hAnsi="Times New Roman"/>
                <w:sz w:val="18"/>
              </w:rPr>
              <w:t>0.1348</w:t>
            </w:r>
          </w:p>
        </w:tc>
      </w:tr>
      <w:tr>
        <w:tc>
          <w:tcPr>
            <w:tcW w:type="dxa" w:w="2016"/>
          </w:tcPr>
          <w:p>
            <w:pPr>
              <w:jc w:val="center"/>
            </w:pPr>
            <w:r/>
            <w:r>
              <w:rPr>
                <w:rFonts w:ascii="Times New Roman" w:hAnsi="Times New Roman"/>
                <w:sz w:val="18"/>
              </w:rPr>
              <w:t>ROUGE-2</w:t>
            </w:r>
          </w:p>
        </w:tc>
        <w:tc>
          <w:tcPr>
            <w:tcW w:type="dxa" w:w="2016"/>
          </w:tcPr>
          <w:p>
            <w:pPr>
              <w:jc w:val="center"/>
            </w:pPr>
            <w:r/>
            <w:r>
              <w:rPr>
                <w:rFonts w:ascii="Times New Roman" w:hAnsi="Times New Roman"/>
                <w:sz w:val="18"/>
              </w:rPr>
              <w:t>Abstractive</w:t>
            </w:r>
          </w:p>
        </w:tc>
        <w:tc>
          <w:tcPr>
            <w:tcW w:type="dxa" w:w="2016"/>
          </w:tcPr>
          <w:p>
            <w:pPr>
              <w:jc w:val="center"/>
            </w:pPr>
            <w:r/>
            <w:r>
              <w:rPr>
                <w:rFonts w:ascii="Times New Roman" w:hAnsi="Times New Roman"/>
                <w:sz w:val="18"/>
              </w:rPr>
              <w:t>0.2699</w:t>
            </w:r>
          </w:p>
        </w:tc>
        <w:tc>
          <w:tcPr>
            <w:tcW w:type="dxa" w:w="2016"/>
          </w:tcPr>
          <w:p>
            <w:pPr>
              <w:jc w:val="center"/>
            </w:pPr>
            <w:r/>
            <w:r>
              <w:rPr>
                <w:rFonts w:ascii="Times New Roman" w:hAnsi="Times New Roman"/>
                <w:sz w:val="18"/>
              </w:rPr>
              <w:t>0.0708</w:t>
            </w:r>
          </w:p>
        </w:tc>
        <w:tc>
          <w:tcPr>
            <w:tcW w:type="dxa" w:w="2016"/>
          </w:tcPr>
          <w:p>
            <w:pPr>
              <w:jc w:val="center"/>
            </w:pPr>
            <w:r/>
            <w:r>
              <w:rPr>
                <w:rFonts w:ascii="Times New Roman" w:hAnsi="Times New Roman"/>
                <w:sz w:val="18"/>
              </w:rPr>
              <w:t>0.0995</w:t>
            </w:r>
          </w:p>
        </w:tc>
      </w:tr>
      <w:tr>
        <w:tc>
          <w:tcPr>
            <w:tcW w:type="dxa" w:w="2016"/>
          </w:tcPr>
          <w:p>
            <w:pPr>
              <w:jc w:val="center"/>
            </w:pPr>
            <w:r/>
            <w:r>
              <w:rPr>
                <w:rFonts w:ascii="Times New Roman" w:hAnsi="Times New Roman"/>
                <w:sz w:val="18"/>
              </w:rPr>
              <w:t>ROUGE-L</w:t>
            </w:r>
          </w:p>
        </w:tc>
        <w:tc>
          <w:tcPr>
            <w:tcW w:type="dxa" w:w="2016"/>
          </w:tcPr>
          <w:p>
            <w:pPr>
              <w:jc w:val="center"/>
            </w:pPr>
            <w:r/>
            <w:r>
              <w:rPr>
                <w:rFonts w:ascii="Times New Roman" w:hAnsi="Times New Roman"/>
                <w:sz w:val="18"/>
              </w:rPr>
              <w:t>Extractive</w:t>
            </w:r>
          </w:p>
        </w:tc>
        <w:tc>
          <w:tcPr>
            <w:tcW w:type="dxa" w:w="2016"/>
          </w:tcPr>
          <w:p>
            <w:pPr>
              <w:jc w:val="center"/>
            </w:pPr>
            <w:r/>
            <w:r>
              <w:rPr>
                <w:rFonts w:ascii="Times New Roman" w:hAnsi="Times New Roman"/>
                <w:sz w:val="18"/>
              </w:rPr>
              <w:t>0.1914</w:t>
            </w:r>
          </w:p>
        </w:tc>
        <w:tc>
          <w:tcPr>
            <w:tcW w:type="dxa" w:w="2016"/>
          </w:tcPr>
          <w:p>
            <w:pPr>
              <w:jc w:val="center"/>
            </w:pPr>
            <w:r/>
            <w:r>
              <w:rPr>
                <w:rFonts w:ascii="Times New Roman" w:hAnsi="Times New Roman"/>
                <w:sz w:val="18"/>
              </w:rPr>
              <w:t>0.2626</w:t>
            </w:r>
          </w:p>
        </w:tc>
        <w:tc>
          <w:tcPr>
            <w:tcW w:type="dxa" w:w="2016"/>
          </w:tcPr>
          <w:p>
            <w:pPr>
              <w:jc w:val="center"/>
            </w:pPr>
            <w:r/>
            <w:r>
              <w:rPr>
                <w:rFonts w:ascii="Times New Roman" w:hAnsi="Times New Roman"/>
                <w:sz w:val="18"/>
              </w:rPr>
              <w:t>0.2032</w:t>
            </w:r>
          </w:p>
        </w:tc>
      </w:tr>
      <w:tr>
        <w:tc>
          <w:tcPr>
            <w:tcW w:type="dxa" w:w="2016"/>
          </w:tcPr>
          <w:p>
            <w:pPr>
              <w:jc w:val="center"/>
            </w:pPr>
            <w:r/>
            <w:r>
              <w:rPr>
                <w:rFonts w:ascii="Times New Roman" w:hAnsi="Times New Roman"/>
                <w:sz w:val="18"/>
              </w:rPr>
              <w:t>ROUGE-L</w:t>
            </w:r>
          </w:p>
        </w:tc>
        <w:tc>
          <w:tcPr>
            <w:tcW w:type="dxa" w:w="2016"/>
          </w:tcPr>
          <w:p>
            <w:pPr>
              <w:jc w:val="center"/>
            </w:pPr>
            <w:r/>
            <w:r>
              <w:rPr>
                <w:rFonts w:ascii="Times New Roman" w:hAnsi="Times New Roman"/>
                <w:sz w:val="18"/>
              </w:rPr>
              <w:t>Abstractive</w:t>
            </w:r>
          </w:p>
        </w:tc>
        <w:tc>
          <w:tcPr>
            <w:tcW w:type="dxa" w:w="2016"/>
          </w:tcPr>
          <w:p>
            <w:pPr>
              <w:jc w:val="center"/>
            </w:pPr>
            <w:r/>
            <w:r>
              <w:rPr>
                <w:rFonts w:ascii="Times New Roman" w:hAnsi="Times New Roman"/>
                <w:sz w:val="18"/>
              </w:rPr>
              <w:t>0.4194</w:t>
            </w:r>
          </w:p>
        </w:tc>
        <w:tc>
          <w:tcPr>
            <w:tcW w:type="dxa" w:w="2016"/>
          </w:tcPr>
          <w:p>
            <w:pPr>
              <w:jc w:val="center"/>
            </w:pPr>
            <w:r/>
            <w:r>
              <w:rPr>
                <w:rFonts w:ascii="Times New Roman" w:hAnsi="Times New Roman"/>
                <w:sz w:val="18"/>
              </w:rPr>
              <w:t>0.1145</w:t>
            </w:r>
          </w:p>
        </w:tc>
        <w:tc>
          <w:tcPr>
            <w:tcW w:type="dxa" w:w="2016"/>
          </w:tcPr>
          <w:p>
            <w:pPr>
              <w:jc w:val="center"/>
            </w:pPr>
            <w:r/>
            <w:r>
              <w:rPr>
                <w:rFonts w:ascii="Times New Roman" w:hAnsi="Times New Roman"/>
                <w:sz w:val="18"/>
              </w:rPr>
              <w:t>0.1597</w:t>
            </w:r>
          </w:p>
        </w:tc>
      </w:tr>
    </w:tbl>
    <w:p>
      <w:pPr>
        <w:ind w:firstLine="360"/>
        <w:jc w:val="both"/>
      </w:pPr>
      <w:r>
        <w:rPr>
          <w:rFonts w:ascii="Times New Roman" w:hAnsi="Times New Roman"/>
          <w:b w:val="0"/>
          <w:i w:val="0"/>
          <w:sz w:val="20"/>
        </w:rPr>
        <w:t>On the full dataset of 100 documents, the extractive method achieves a higher average ROUGE-1 F1 score (0.3452) compared to the abstractive method (0.1971).</w:t>
      </w:r>
    </w:p>
    <w:p>
      <w:pPr>
        <w:jc w:val="left"/>
      </w:pPr>
      <w:r>
        <w:rPr>
          <w:rFonts w:ascii="Times New Roman" w:hAnsi="Times New Roman"/>
          <w:b/>
          <w:sz w:val="22"/>
        </w:rPr>
        <w:t>B. LLM-Referenced Subset (10 documents)</w:t>
      </w:r>
    </w:p>
    <w:p>
      <w:pPr>
        <w:ind w:firstLine="360"/>
        <w:jc w:val="both"/>
      </w:pPr>
      <w:r>
        <w:rPr>
          <w:rFonts w:ascii="Times New Roman" w:hAnsi="Times New Roman"/>
          <w:b w:val="0"/>
          <w:i w:val="0"/>
          <w:sz w:val="20"/>
        </w:rPr>
        <w:t>Table III presents results on a 10-document subset where summaries are also generated by a Large Language Model (LLM) for three-way comparison.</w:t>
      </w:r>
    </w:p>
    <w:p>
      <w:pPr>
        <w:ind w:firstLine="360"/>
        <w:jc w:val="center"/>
      </w:pPr>
      <w:r>
        <w:rPr>
          <w:rFonts w:ascii="Times New Roman" w:hAnsi="Times New Roman"/>
          <w:b/>
          <w:i w:val="0"/>
          <w:sz w:val="20"/>
        </w:rPr>
        <w:t>TABLE III. ROUGE SCORES ON LLM-REFERENCED SUBSET</w:t>
      </w:r>
    </w:p>
    <w:tbl>
      <w:tblPr>
        <w:tblStyle w:val="LightGrid-Accent1"/>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
              <w:rPr>
                <w:rFonts w:ascii="Times New Roman" w:hAnsi="Times New Roman"/>
                <w:b/>
                <w:sz w:val="18"/>
              </w:rPr>
              <w:t>Metric</w:t>
            </w:r>
          </w:p>
        </w:tc>
        <w:tc>
          <w:tcPr>
            <w:tcW w:type="dxa" w:w="2016"/>
          </w:tcPr>
          <w:p>
            <w:pPr>
              <w:jc w:val="center"/>
            </w:pPr>
            <w:r/>
            <w:r>
              <w:rPr>
                <w:rFonts w:ascii="Times New Roman" w:hAnsi="Times New Roman"/>
                <w:b/>
                <w:sz w:val="18"/>
              </w:rPr>
              <w:t>Method</w:t>
            </w:r>
          </w:p>
        </w:tc>
        <w:tc>
          <w:tcPr>
            <w:tcW w:type="dxa" w:w="2016"/>
          </w:tcPr>
          <w:p>
            <w:pPr>
              <w:jc w:val="center"/>
            </w:pPr>
            <w:r/>
            <w:r>
              <w:rPr>
                <w:rFonts w:ascii="Times New Roman" w:hAnsi="Times New Roman"/>
                <w:b/>
                <w:sz w:val="18"/>
              </w:rPr>
              <w:t>Precision</w:t>
            </w:r>
          </w:p>
        </w:tc>
        <w:tc>
          <w:tcPr>
            <w:tcW w:type="dxa" w:w="2016"/>
          </w:tcPr>
          <w:p>
            <w:pPr>
              <w:jc w:val="center"/>
            </w:pPr>
            <w:r/>
            <w:r>
              <w:rPr>
                <w:rFonts w:ascii="Times New Roman" w:hAnsi="Times New Roman"/>
                <w:b/>
                <w:sz w:val="18"/>
              </w:rPr>
              <w:t>Recall</w:t>
            </w:r>
          </w:p>
        </w:tc>
        <w:tc>
          <w:tcPr>
            <w:tcW w:type="dxa" w:w="2016"/>
          </w:tcPr>
          <w:p>
            <w:pPr>
              <w:jc w:val="center"/>
            </w:pPr>
            <w:r/>
            <w:r>
              <w:rPr>
                <w:rFonts w:ascii="Times New Roman" w:hAnsi="Times New Roman"/>
                <w:b/>
                <w:sz w:val="18"/>
              </w:rPr>
              <w:t>F1-Score</w:t>
            </w:r>
          </w:p>
        </w:tc>
      </w:tr>
      <w:tr>
        <w:tc>
          <w:tcPr>
            <w:tcW w:type="dxa" w:w="2016"/>
          </w:tcPr>
          <w:p>
            <w:pPr>
              <w:jc w:val="center"/>
            </w:pPr>
            <w:r/>
            <w:r>
              <w:rPr>
                <w:rFonts w:ascii="Times New Roman" w:hAnsi="Times New Roman"/>
                <w:sz w:val="18"/>
              </w:rPr>
              <w:t>ROUGE-1</w:t>
            </w:r>
          </w:p>
        </w:tc>
        <w:tc>
          <w:tcPr>
            <w:tcW w:type="dxa" w:w="2016"/>
          </w:tcPr>
          <w:p>
            <w:pPr>
              <w:jc w:val="center"/>
            </w:pPr>
            <w:r/>
            <w:r>
              <w:rPr>
                <w:rFonts w:ascii="Times New Roman" w:hAnsi="Times New Roman"/>
                <w:sz w:val="18"/>
              </w:rPr>
              <w:t>Extractive</w:t>
            </w:r>
          </w:p>
        </w:tc>
        <w:tc>
          <w:tcPr>
            <w:tcW w:type="dxa" w:w="2016"/>
          </w:tcPr>
          <w:p>
            <w:pPr>
              <w:jc w:val="center"/>
            </w:pPr>
            <w:r/>
            <w:r>
              <w:rPr>
                <w:rFonts w:ascii="Times New Roman" w:hAnsi="Times New Roman"/>
                <w:sz w:val="18"/>
              </w:rPr>
              <w:t>0.4801</w:t>
            </w:r>
          </w:p>
        </w:tc>
        <w:tc>
          <w:tcPr>
            <w:tcW w:type="dxa" w:w="2016"/>
          </w:tcPr>
          <w:p>
            <w:pPr>
              <w:jc w:val="center"/>
            </w:pPr>
            <w:r/>
            <w:r>
              <w:rPr>
                <w:rFonts w:ascii="Times New Roman" w:hAnsi="Times New Roman"/>
                <w:sz w:val="18"/>
              </w:rPr>
              <w:t>0.4793</w:t>
            </w:r>
          </w:p>
        </w:tc>
        <w:tc>
          <w:tcPr>
            <w:tcW w:type="dxa" w:w="2016"/>
          </w:tcPr>
          <w:p>
            <w:pPr>
              <w:jc w:val="center"/>
            </w:pPr>
            <w:r/>
            <w:r>
              <w:rPr>
                <w:rFonts w:ascii="Times New Roman" w:hAnsi="Times New Roman"/>
                <w:sz w:val="18"/>
              </w:rPr>
              <w:t>0.4489</w:t>
            </w:r>
          </w:p>
        </w:tc>
      </w:tr>
      <w:tr>
        <w:tc>
          <w:tcPr>
            <w:tcW w:type="dxa" w:w="2016"/>
          </w:tcPr>
          <w:p>
            <w:pPr>
              <w:jc w:val="center"/>
            </w:pPr>
            <w:r/>
            <w:r>
              <w:rPr>
                <w:rFonts w:ascii="Times New Roman" w:hAnsi="Times New Roman"/>
                <w:sz w:val="18"/>
              </w:rPr>
              <w:t>ROUGE-1</w:t>
            </w:r>
          </w:p>
        </w:tc>
        <w:tc>
          <w:tcPr>
            <w:tcW w:type="dxa" w:w="2016"/>
          </w:tcPr>
          <w:p>
            <w:pPr>
              <w:jc w:val="center"/>
            </w:pPr>
            <w:r/>
            <w:r>
              <w:rPr>
                <w:rFonts w:ascii="Times New Roman" w:hAnsi="Times New Roman"/>
                <w:sz w:val="18"/>
              </w:rPr>
              <w:t>Abstractive</w:t>
            </w:r>
          </w:p>
        </w:tc>
        <w:tc>
          <w:tcPr>
            <w:tcW w:type="dxa" w:w="2016"/>
          </w:tcPr>
          <w:p>
            <w:pPr>
              <w:jc w:val="center"/>
            </w:pPr>
            <w:r/>
            <w:r>
              <w:rPr>
                <w:rFonts w:ascii="Times New Roman" w:hAnsi="Times New Roman"/>
                <w:sz w:val="18"/>
              </w:rPr>
              <w:t>0.7794</w:t>
            </w:r>
          </w:p>
        </w:tc>
        <w:tc>
          <w:tcPr>
            <w:tcW w:type="dxa" w:w="2016"/>
          </w:tcPr>
          <w:p>
            <w:pPr>
              <w:jc w:val="center"/>
            </w:pPr>
            <w:r/>
            <w:r>
              <w:rPr>
                <w:rFonts w:ascii="Times New Roman" w:hAnsi="Times New Roman"/>
                <w:sz w:val="18"/>
              </w:rPr>
              <w:t>0.4814</w:t>
            </w:r>
          </w:p>
        </w:tc>
        <w:tc>
          <w:tcPr>
            <w:tcW w:type="dxa" w:w="2016"/>
          </w:tcPr>
          <w:p>
            <w:pPr>
              <w:jc w:val="center"/>
            </w:pPr>
            <w:r/>
            <w:r>
              <w:rPr>
                <w:rFonts w:ascii="Times New Roman" w:hAnsi="Times New Roman"/>
                <w:sz w:val="18"/>
              </w:rPr>
              <w:t>0.5681</w:t>
            </w:r>
          </w:p>
        </w:tc>
      </w:tr>
      <w:tr>
        <w:tc>
          <w:tcPr>
            <w:tcW w:type="dxa" w:w="2016"/>
          </w:tcPr>
          <w:p>
            <w:pPr>
              <w:jc w:val="center"/>
            </w:pPr>
            <w:r/>
            <w:r>
              <w:rPr>
                <w:rFonts w:ascii="Times New Roman" w:hAnsi="Times New Roman"/>
                <w:sz w:val="18"/>
              </w:rPr>
              <w:t>ROUGE-2</w:t>
            </w:r>
          </w:p>
        </w:tc>
        <w:tc>
          <w:tcPr>
            <w:tcW w:type="dxa" w:w="2016"/>
          </w:tcPr>
          <w:p>
            <w:pPr>
              <w:jc w:val="center"/>
            </w:pPr>
            <w:r/>
            <w:r>
              <w:rPr>
                <w:rFonts w:ascii="Times New Roman" w:hAnsi="Times New Roman"/>
                <w:sz w:val="18"/>
              </w:rPr>
              <w:t>Extractive</w:t>
            </w:r>
          </w:p>
        </w:tc>
        <w:tc>
          <w:tcPr>
            <w:tcW w:type="dxa" w:w="2016"/>
          </w:tcPr>
          <w:p>
            <w:pPr>
              <w:jc w:val="center"/>
            </w:pPr>
            <w:r/>
            <w:r>
              <w:rPr>
                <w:rFonts w:ascii="Times New Roman" w:hAnsi="Times New Roman"/>
                <w:sz w:val="18"/>
              </w:rPr>
              <w:t>0.2497</w:t>
            </w:r>
          </w:p>
        </w:tc>
        <w:tc>
          <w:tcPr>
            <w:tcW w:type="dxa" w:w="2016"/>
          </w:tcPr>
          <w:p>
            <w:pPr>
              <w:jc w:val="center"/>
            </w:pPr>
            <w:r/>
            <w:r>
              <w:rPr>
                <w:rFonts w:ascii="Times New Roman" w:hAnsi="Times New Roman"/>
                <w:sz w:val="18"/>
              </w:rPr>
              <w:t>0.2226</w:t>
            </w:r>
          </w:p>
        </w:tc>
        <w:tc>
          <w:tcPr>
            <w:tcW w:type="dxa" w:w="2016"/>
          </w:tcPr>
          <w:p>
            <w:pPr>
              <w:jc w:val="center"/>
            </w:pPr>
            <w:r/>
            <w:r>
              <w:rPr>
                <w:rFonts w:ascii="Times New Roman" w:hAnsi="Times New Roman"/>
                <w:sz w:val="18"/>
              </w:rPr>
              <w:t>0.2232</w:t>
            </w:r>
          </w:p>
        </w:tc>
      </w:tr>
      <w:tr>
        <w:tc>
          <w:tcPr>
            <w:tcW w:type="dxa" w:w="2016"/>
          </w:tcPr>
          <w:p>
            <w:pPr>
              <w:jc w:val="center"/>
            </w:pPr>
            <w:r/>
            <w:r>
              <w:rPr>
                <w:rFonts w:ascii="Times New Roman" w:hAnsi="Times New Roman"/>
                <w:sz w:val="18"/>
              </w:rPr>
              <w:t>ROUGE-2</w:t>
            </w:r>
          </w:p>
        </w:tc>
        <w:tc>
          <w:tcPr>
            <w:tcW w:type="dxa" w:w="2016"/>
          </w:tcPr>
          <w:p>
            <w:pPr>
              <w:jc w:val="center"/>
            </w:pPr>
            <w:r/>
            <w:r>
              <w:rPr>
                <w:rFonts w:ascii="Times New Roman" w:hAnsi="Times New Roman"/>
                <w:sz w:val="18"/>
              </w:rPr>
              <w:t>Abstractive</w:t>
            </w:r>
          </w:p>
        </w:tc>
        <w:tc>
          <w:tcPr>
            <w:tcW w:type="dxa" w:w="2016"/>
          </w:tcPr>
          <w:p>
            <w:pPr>
              <w:jc w:val="center"/>
            </w:pPr>
            <w:r/>
            <w:r>
              <w:rPr>
                <w:rFonts w:ascii="Times New Roman" w:hAnsi="Times New Roman"/>
                <w:sz w:val="18"/>
              </w:rPr>
              <w:t>0.6165</w:t>
            </w:r>
          </w:p>
        </w:tc>
        <w:tc>
          <w:tcPr>
            <w:tcW w:type="dxa" w:w="2016"/>
          </w:tcPr>
          <w:p>
            <w:pPr>
              <w:jc w:val="center"/>
            </w:pPr>
            <w:r/>
            <w:r>
              <w:rPr>
                <w:rFonts w:ascii="Times New Roman" w:hAnsi="Times New Roman"/>
                <w:sz w:val="18"/>
              </w:rPr>
              <w:t>0.3946</w:t>
            </w:r>
          </w:p>
        </w:tc>
        <w:tc>
          <w:tcPr>
            <w:tcW w:type="dxa" w:w="2016"/>
          </w:tcPr>
          <w:p>
            <w:pPr>
              <w:jc w:val="center"/>
            </w:pPr>
            <w:r/>
            <w:r>
              <w:rPr>
                <w:rFonts w:ascii="Times New Roman" w:hAnsi="Times New Roman"/>
                <w:sz w:val="18"/>
              </w:rPr>
              <w:t>0.4649</w:t>
            </w:r>
          </w:p>
        </w:tc>
      </w:tr>
      <w:tr>
        <w:tc>
          <w:tcPr>
            <w:tcW w:type="dxa" w:w="2016"/>
          </w:tcPr>
          <w:p>
            <w:pPr>
              <w:jc w:val="center"/>
            </w:pPr>
            <w:r/>
            <w:r>
              <w:rPr>
                <w:rFonts w:ascii="Times New Roman" w:hAnsi="Times New Roman"/>
                <w:sz w:val="18"/>
              </w:rPr>
              <w:t>ROUGE-L</w:t>
            </w:r>
          </w:p>
        </w:tc>
        <w:tc>
          <w:tcPr>
            <w:tcW w:type="dxa" w:w="2016"/>
          </w:tcPr>
          <w:p>
            <w:pPr>
              <w:jc w:val="center"/>
            </w:pPr>
            <w:r/>
            <w:r>
              <w:rPr>
                <w:rFonts w:ascii="Times New Roman" w:hAnsi="Times New Roman"/>
                <w:sz w:val="18"/>
              </w:rPr>
              <w:t>Extractive</w:t>
            </w:r>
          </w:p>
        </w:tc>
        <w:tc>
          <w:tcPr>
            <w:tcW w:type="dxa" w:w="2016"/>
          </w:tcPr>
          <w:p>
            <w:pPr>
              <w:jc w:val="center"/>
            </w:pPr>
            <w:r/>
            <w:r>
              <w:rPr>
                <w:rFonts w:ascii="Times New Roman" w:hAnsi="Times New Roman"/>
                <w:sz w:val="18"/>
              </w:rPr>
              <w:t>0.2945</w:t>
            </w:r>
          </w:p>
        </w:tc>
        <w:tc>
          <w:tcPr>
            <w:tcW w:type="dxa" w:w="2016"/>
          </w:tcPr>
          <w:p>
            <w:pPr>
              <w:jc w:val="center"/>
            </w:pPr>
            <w:r/>
            <w:r>
              <w:rPr>
                <w:rFonts w:ascii="Times New Roman" w:hAnsi="Times New Roman"/>
                <w:sz w:val="18"/>
              </w:rPr>
              <w:t>0.2896</w:t>
            </w:r>
          </w:p>
        </w:tc>
        <w:tc>
          <w:tcPr>
            <w:tcW w:type="dxa" w:w="2016"/>
          </w:tcPr>
          <w:p>
            <w:pPr>
              <w:jc w:val="center"/>
            </w:pPr>
            <w:r/>
            <w:r>
              <w:rPr>
                <w:rFonts w:ascii="Times New Roman" w:hAnsi="Times New Roman"/>
                <w:sz w:val="18"/>
              </w:rPr>
              <w:t>0.2715</w:t>
            </w:r>
          </w:p>
        </w:tc>
      </w:tr>
      <w:tr>
        <w:tc>
          <w:tcPr>
            <w:tcW w:type="dxa" w:w="2016"/>
          </w:tcPr>
          <w:p>
            <w:pPr>
              <w:jc w:val="center"/>
            </w:pPr>
            <w:r/>
            <w:r>
              <w:rPr>
                <w:rFonts w:ascii="Times New Roman" w:hAnsi="Times New Roman"/>
                <w:sz w:val="18"/>
              </w:rPr>
              <w:t>ROUGE-L</w:t>
            </w:r>
          </w:p>
        </w:tc>
        <w:tc>
          <w:tcPr>
            <w:tcW w:type="dxa" w:w="2016"/>
          </w:tcPr>
          <w:p>
            <w:pPr>
              <w:jc w:val="center"/>
            </w:pPr>
            <w:r/>
            <w:r>
              <w:rPr>
                <w:rFonts w:ascii="Times New Roman" w:hAnsi="Times New Roman"/>
                <w:sz w:val="18"/>
              </w:rPr>
              <w:t>Abstractive</w:t>
            </w:r>
          </w:p>
        </w:tc>
        <w:tc>
          <w:tcPr>
            <w:tcW w:type="dxa" w:w="2016"/>
          </w:tcPr>
          <w:p>
            <w:pPr>
              <w:jc w:val="center"/>
            </w:pPr>
            <w:r/>
            <w:r>
              <w:rPr>
                <w:rFonts w:ascii="Times New Roman" w:hAnsi="Times New Roman"/>
                <w:sz w:val="18"/>
              </w:rPr>
              <w:t>0.7098</w:t>
            </w:r>
          </w:p>
        </w:tc>
        <w:tc>
          <w:tcPr>
            <w:tcW w:type="dxa" w:w="2016"/>
          </w:tcPr>
          <w:p>
            <w:pPr>
              <w:jc w:val="center"/>
            </w:pPr>
            <w:r/>
            <w:r>
              <w:rPr>
                <w:rFonts w:ascii="Times New Roman" w:hAnsi="Times New Roman"/>
                <w:sz w:val="18"/>
              </w:rPr>
              <w:t>0.4482</w:t>
            </w:r>
          </w:p>
        </w:tc>
        <w:tc>
          <w:tcPr>
            <w:tcW w:type="dxa" w:w="2016"/>
          </w:tcPr>
          <w:p>
            <w:pPr>
              <w:jc w:val="center"/>
            </w:pPr>
            <w:r/>
            <w:r>
              <w:rPr>
                <w:rFonts w:ascii="Times New Roman" w:hAnsi="Times New Roman"/>
                <w:sz w:val="18"/>
              </w:rPr>
              <w:t>0.5270</w:t>
            </w:r>
          </w:p>
        </w:tc>
      </w:tr>
    </w:tbl>
    <w:p>
      <w:pPr>
        <w:ind w:firstLine="360"/>
        <w:jc w:val="both"/>
      </w:pPr>
      <w:r>
        <w:rPr>
          <w:rFonts w:ascii="Times New Roman" w:hAnsi="Times New Roman"/>
          <w:b w:val="0"/>
          <w:i w:val="0"/>
          <w:sz w:val="20"/>
        </w:rPr>
        <w:t>Best Method on this subset: Abstractive.</w:t>
      </w:r>
    </w:p>
    <w:p>
      <w:pPr>
        <w:jc w:val="left"/>
      </w:pPr>
      <w:r>
        <w:rPr>
          <w:rFonts w:ascii="Times New Roman" w:hAnsi="Times New Roman"/>
          <w:b/>
          <w:sz w:val="22"/>
        </w:rPr>
        <w:t>C. Precision vs. Recall Trade-off</w:t>
      </w:r>
    </w:p>
    <w:p>
      <w:pPr>
        <w:ind w:firstLine="360"/>
        <w:jc w:val="both"/>
      </w:pPr>
      <w:r>
        <w:rPr>
          <w:rFonts w:ascii="Times New Roman" w:hAnsi="Times New Roman"/>
          <w:b w:val="0"/>
          <w:i w:val="0"/>
          <w:sz w:val="20"/>
        </w:rPr>
        <w:t>A notable finding is the contrasting precision-recall profiles of the two methods. The extractive method achieves moderate precision and higher recall, indicating that selected sentences capture a broader range of reference content but include some irrelevant material. The abstractive method achieves high precision but lower recall, suggesting that generated summaries are concise and relevant but miss significant portions of the reference content. This trade-off is largely attributed to the fixed maximum target length (128 tokens) imposed on the abstractive model.</w:t>
      </w:r>
    </w:p>
    <w:p>
      <w:pPr>
        <w:jc w:val="left"/>
      </w:pPr>
      <w:r>
        <w:rPr>
          <w:rFonts w:ascii="Times New Roman" w:hAnsi="Times New Roman"/>
          <w:b/>
          <w:sz w:val="22"/>
        </w:rPr>
        <w:t>D. Per-Document Factor Analysis</w:t>
      </w:r>
    </w:p>
    <w:p>
      <w:pPr>
        <w:ind w:firstLine="360"/>
        <w:jc w:val="both"/>
      </w:pPr>
      <w:r>
        <w:rPr>
          <w:rFonts w:ascii="Times New Roman" w:hAnsi="Times New Roman"/>
          <w:b w:val="0"/>
          <w:i w:val="0"/>
          <w:sz w:val="20"/>
        </w:rPr>
        <w:t>Analysis of per-document ROUGE scores reveals substantial variation across documents. Three key factors influence performance: (1) Document Length—longer documents reduce abstractive performance due to fixed output length; (2) Sentence Count—more sentences provide more candidates for extractive selection; (3) Compression Ratio—higher ratios favor extractive methods, which can directly select key sentences.</w:t>
      </w:r>
    </w:p>
    <w:p>
      <w:pPr>
        <w:jc w:val="left"/>
      </w:pPr>
      <w:r>
        <w:rPr>
          <w:rFonts w:ascii="Times New Roman" w:hAnsi="Times New Roman"/>
          <w:b/>
          <w:sz w:val="22"/>
        </w:rPr>
        <w:t>E. Why Results Differ Per Document</w:t>
      </w:r>
    </w:p>
    <w:p>
      <w:pPr>
        <w:ind w:firstLine="360"/>
        <w:jc w:val="both"/>
      </w:pPr>
      <w:r>
        <w:rPr>
          <w:rFonts w:ascii="Times New Roman" w:hAnsi="Times New Roman"/>
          <w:b w:val="0"/>
          <w:i w:val="0"/>
          <w:sz w:val="20"/>
        </w:rPr>
        <w:t>Several factors contribute to per-document variation: document structure (well-structured documents with clear topic sentences favor extractive); vocabulary overlap between source and reference summary; reference summary style (extractive style favors extractive method); and domain specificity (technical vocabulary may challenge mT5).</w:t>
      </w:r>
    </w:p>
    <w:p>
      <w:pPr>
        <w:jc w:val="left"/>
      </w:pPr>
      <w:r>
        <w:rPr>
          <w:rFonts w:ascii="Times New Roman" w:hAnsi="Times New Roman"/>
          <w:b/>
          <w:sz w:val="24"/>
        </w:rPr>
        <w:t>V. WEB APPLICATION</w:t>
      </w:r>
    </w:p>
    <w:p>
      <w:pPr>
        <w:ind w:firstLine="360"/>
        <w:jc w:val="both"/>
      </w:pPr>
      <w:r>
        <w:rPr>
          <w:rFonts w:ascii="Times New Roman" w:hAnsi="Times New Roman"/>
          <w:b w:val="0"/>
          <w:i w:val="0"/>
          <w:sz w:val="20"/>
        </w:rPr>
        <w:t>An interactive web application was developed using Flask to demonstrate the complete pipeline. Key features include multi-format input (CSV, PDF, manual text), step-by-step pipeline visualization, an analysis dashboard with Chart.js visualizations (line charts, bar charts, scatter plots, distribution histograms), LLM-comparison capability with side-by-side ROUGE evaluation, and a bilingual (Indonesian/English) interface.</w:t>
      </w:r>
    </w:p>
    <w:p>
      <w:pPr>
        <w:jc w:val="left"/>
      </w:pPr>
      <w:r>
        <w:rPr>
          <w:rFonts w:ascii="Times New Roman" w:hAnsi="Times New Roman"/>
          <w:b/>
          <w:sz w:val="24"/>
        </w:rPr>
        <w:t>VI. CONCLUSION</w:t>
      </w:r>
    </w:p>
    <w:p>
      <w:pPr>
        <w:ind w:firstLine="360"/>
        <w:jc w:val="both"/>
      </w:pPr>
      <w:r>
        <w:rPr>
          <w:rFonts w:ascii="Times New Roman" w:hAnsi="Times New Roman"/>
          <w:b w:val="0"/>
          <w:i w:val="0"/>
          <w:sz w:val="20"/>
        </w:rPr>
        <w:t>This study presented a comparative analysis of extractive and abstractive text summarization methods for Indonesian academic documents. On the full 100-document dataset, the extractive method (TF-IDF + TextRank) outperformed the abstractive method (mT5) with ROUGE-1 F1 scores of 0.3452 vs 0.1971. However, on a 10-document LLM-referenced subset, the abstractive method achieved superior results (F1 = 0.5681). The abstractive method consistently yields higher precision but lower recall due to output length constraints, while document characteristics significantly affect per-document performance.</w:t>
      </w:r>
    </w:p>
    <w:p>
      <w:pPr>
        <w:ind w:firstLine="360"/>
        <w:jc w:val="both"/>
      </w:pPr>
      <w:r>
        <w:rPr>
          <w:rFonts w:ascii="Times New Roman" w:hAnsi="Times New Roman"/>
          <w:b w:val="0"/>
          <w:i w:val="0"/>
          <w:sz w:val="20"/>
        </w:rPr>
        <w:t>Future work includes: (a) fine-tuning mT5 on Indonesian academic texts with GPU resources; (b) exploring hybrid extractive-then-abstractive methods; (c) expanding the dataset; and (d) incorporating BERTScore and human evaluation.</w:t>
      </w:r>
    </w:p>
    <w:p>
      <w:pPr>
        <w:jc w:val="left"/>
      </w:pPr>
      <w:r>
        <w:rPr>
          <w:rFonts w:ascii="Times New Roman" w:hAnsi="Times New Roman"/>
          <w:b/>
          <w:sz w:val="24"/>
        </w:rPr>
        <w:t>REFERENCES</w:t>
      </w:r>
    </w:p>
    <w:p>
      <w:pPr>
        <w:ind w:left="432" w:hanging="432"/>
      </w:pPr>
      <w:r>
        <w:rPr>
          <w:rFonts w:ascii="Times New Roman" w:hAnsi="Times New Roman"/>
          <w:sz w:val="18"/>
        </w:rPr>
        <w:t>[1]</w:t>
        <w:tab/>
        <w:t>H. P. Luhn, "The automatic creation of literature abstracts," IBM J. Res. Dev., vol. 2, no. 2, pp. 159–165, 1958.</w:t>
      </w:r>
    </w:p>
    <w:p>
      <w:pPr>
        <w:ind w:left="432" w:hanging="432"/>
      </w:pPr>
      <w:r>
        <w:rPr>
          <w:rFonts w:ascii="Times New Roman" w:hAnsi="Times New Roman"/>
          <w:sz w:val="18"/>
        </w:rPr>
        <w:t>[2]</w:t>
        <w:tab/>
        <w:t>R. Mihalcea and P. Tarau, "TextRank: Bringing order into texts," in Proc. EMNLP, 2004, pp. 404–411.</w:t>
      </w:r>
    </w:p>
    <w:p>
      <w:pPr>
        <w:ind w:left="432" w:hanging="432"/>
      </w:pPr>
      <w:r>
        <w:rPr>
          <w:rFonts w:ascii="Times New Roman" w:hAnsi="Times New Roman"/>
          <w:sz w:val="18"/>
        </w:rPr>
        <w:t>[3]</w:t>
        <w:tab/>
        <w:t>G. Salton and C. Buckley, "Term-weighting approaches in automatic text retrieval," Inf. Process. Manag., vol. 24, no. 5, pp. 513–523, 1988.</w:t>
      </w:r>
    </w:p>
    <w:p>
      <w:pPr>
        <w:ind w:left="432" w:hanging="432"/>
      </w:pPr>
      <w:r>
        <w:rPr>
          <w:rFonts w:ascii="Times New Roman" w:hAnsi="Times New Roman"/>
          <w:sz w:val="18"/>
        </w:rPr>
        <w:t>[4]</w:t>
        <w:tab/>
        <w:t>A. Vaswani et al., "Attention is all you need," in Proc. NeurIPS, 2017, pp. 5998–6008.</w:t>
      </w:r>
    </w:p>
    <w:p>
      <w:pPr>
        <w:ind w:left="432" w:hanging="432"/>
      </w:pPr>
      <w:r>
        <w:rPr>
          <w:rFonts w:ascii="Times New Roman" w:hAnsi="Times New Roman"/>
          <w:sz w:val="18"/>
        </w:rPr>
        <w:t>[5]</w:t>
        <w:tab/>
        <w:t>M. Lewis et al., "BART: Denoising sequence-to-sequence pre-training for natural language generation, translation, and comprehension," in Proc. ACL, 2020, pp. 7871–7880.</w:t>
      </w:r>
    </w:p>
    <w:p>
      <w:pPr>
        <w:ind w:left="432" w:hanging="432"/>
      </w:pPr>
      <w:r>
        <w:rPr>
          <w:rFonts w:ascii="Times New Roman" w:hAnsi="Times New Roman"/>
          <w:sz w:val="18"/>
        </w:rPr>
        <w:t>[6]</w:t>
        <w:tab/>
        <w:t>C. Raffel et al., "Exploring the limits of transfer learning with a unified text-to-text transformer," JMLR, vol. 21, pp. 1–67, 2020.</w:t>
      </w:r>
    </w:p>
    <w:p>
      <w:pPr>
        <w:ind w:left="432" w:hanging="432"/>
      </w:pPr>
      <w:r>
        <w:rPr>
          <w:rFonts w:ascii="Times New Roman" w:hAnsi="Times New Roman"/>
          <w:sz w:val="18"/>
        </w:rPr>
        <w:t>[7]</w:t>
        <w:tab/>
        <w:t>T. Hasan et al., "XL-Sum: Large-scale multilingual abstractive summarization for 44 languages," in Findings of ACL, 2021, pp. 4693–4703.</w:t>
      </w:r>
    </w:p>
    <w:p>
      <w:pPr>
        <w:ind w:left="432" w:hanging="432"/>
      </w:pPr>
      <w:r>
        <w:rPr>
          <w:rFonts w:ascii="Times New Roman" w:hAnsi="Times New Roman"/>
          <w:sz w:val="18"/>
        </w:rPr>
        <w:t>[8]</w:t>
        <w:tab/>
        <w:t>F. Koto, J. H. Lau, and T. Baldwin, "IndoLEM and IndoBERT: A benchmark dataset and pre-trained language model for Indonesian NLP," in Proc. COLING, 2020, pp. 757–770.</w:t>
      </w:r>
    </w:p>
    <w:p>
      <w:pPr>
        <w:ind w:left="432" w:hanging="432"/>
      </w:pPr>
      <w:r>
        <w:rPr>
          <w:rFonts w:ascii="Times New Roman" w:hAnsi="Times New Roman"/>
          <w:sz w:val="18"/>
        </w:rPr>
        <w:t>[9]</w:t>
        <w:tab/>
        <w:t>B. Wilie et al., "IndoNLU: Benchmark and resources for evaluating Indonesian natural language understanding," in Proc. AACL-IJCNLP, 2020, pp. 843–857.</w:t>
      </w:r>
    </w:p>
    <w:p>
      <w:pPr>
        <w:ind w:left="432" w:hanging="432"/>
      </w:pPr>
      <w:r>
        <w:rPr>
          <w:rFonts w:ascii="Times New Roman" w:hAnsi="Times New Roman"/>
          <w:sz w:val="18"/>
        </w:rPr>
        <w:t>[10]</w:t>
        <w:tab/>
        <w:t>C.-Y. Lin, "ROUGE: A package for automatic evaluation of summaries," in Text Summarization Branches Out, 2004, pp. 74–81.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