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custom-properties" Target="/docProps/custom.xml" Id="R1e5f5d3a9f6d44e9" /><Relationship Type="http://schemas.openxmlformats.org/officeDocument/2006/relationships/extended-properties" Target="docProps/app.xml" Id="rId3" /><Relationship Type="http://schemas.openxmlformats.org/officeDocument/2006/relationships/officeDocument" Target="word/document.xml" Id="rId1" /></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body>
    <w:p w:rsidRPr="008B6524" w:rsidR="009303D9" w:rsidP="008B6524" w:rsidRDefault="009303D9" w14:paraId="31BC6E45" w14:textId="7FC814ED">
      <w:pPr>
        <w:pStyle w:val="papertitle"/>
        <w:spacing w:before="5pt" w:beforeAutospacing="1" w:after="5pt" w:afterAutospacing="1"/>
        <w:rPr>
          <w:kern w:val="48"/>
        </w:rPr>
      </w:pPr>
      <w:r w:rsidRPr="008B6524">
        <w:rPr>
          <w:kern w:val="48"/>
        </w:rPr>
        <w:t xml:space="preserve">Neuro-Symbolic Agentic System for Synthesis Gap Detection in Scientific Literature</w:t>
      </w:r>
    </w:p>
    <w:p w:rsidR="009303D9" w:rsidP="008B6524" w:rsidRDefault="00D7522C" w14:paraId="24DF2CD4" w14:textId="7FC814EE">
      <w:pPr>
        <w:pStyle w:val="Author"/>
        <w:spacing w:before="5pt" w:beforeAutospacing="1" w:after="5pt" w:afterAutospacing="1"/>
        <w:rPr>
          <w:sz w:val="16"/>
          <w:szCs w:val="16"/>
        </w:rPr>
      </w:pPr>
      <w:r>
        <w:rPr>
          <w:sz w:val="16"/>
          <w:szCs w:val="16"/>
        </w:rPr>
        <w:t xml:space="preserve"/>
      </w:r>
    </w:p>
    <w:p w:rsidR="00D7522C" w:rsidP="003B4E04" w:rsidRDefault="00D7522C" w14:paraId="20C779BD" w14:textId="77777777">
      <w:pPr>
        <w:pStyle w:val="Author"/>
        <w:spacing w:before="5pt" w:beforeAutospacing="1" w:after="5pt" w:afterAutospacing="1" w:line="6pt" w:lineRule="auto"/>
        <w:rPr>
          <w:sz w:val="16"/>
          <w:szCs w:val="16"/>
        </w:rPr>
      </w:pPr>
    </w:p>
    <w:p w:rsidRPr="00CA4392" w:rsidR="00D7522C" w:rsidP="00CA4392" w:rsidRDefault="00D7522C" w14:paraId="1F960E65" w14:textId="77777777">
      <w:pPr>
        <w:pStyle w:val="Author"/>
        <w:spacing w:before="5pt" w:beforeAutospacing="1" w:after="5pt" w:afterAutospacing="1" w:line="6pt" w:lineRule="auto"/>
        <w:rPr>
          <w:sz w:val="16"/>
          <w:szCs w:val="16"/>
        </w:rPr>
        <w:sectPr w:rsidRPr="00CA4392" w:rsidR="00D7522C" w:rsidSect="003B4E04">
          <w:footerReference w:type="first" r:id="rId8"/>
          <w:pgSz w:w="595.30pt" w:h="841.90pt" w:code="9"/>
          <w:pgMar w:top="27pt" w:right="44.65pt" w:bottom="72pt" w:left="44.65pt" w:header="36pt" w:footer="36pt" w:gutter="0pt"/>
          <w:cols w:space="36pt"/>
          <w:titlePg/>
          <w:docGrid w:linePitch="360"/>
        </w:sectPr>
      </w:pPr>
    </w:p>
    <w:p w:rsidR="00BD670B" w:rsidP="00BD670B" w:rsidRDefault="009303D9" w14:paraId="5AB2FE26" w14:textId="77777777">
      <w:pPr>
        <w:pStyle w:val="Author"/>
        <w:spacing w:before="5pt" w:beforeAutospacing="1"/>
        <w:rPr>
          <w:sz w:val="18"/>
          <w:szCs w:val="18"/>
        </w:rPr>
      </w:pPr>
      <w:r w:rsidRPr="00F847A6">
        <w:rPr>
          <w:sz w:val="18"/>
          <w:szCs w:val="18"/>
        </w:rPr>
        <w:t>line 1</w:t>
      </w:r>
      <w:r w:rsidRPr="00F847A6" w:rsidR="001A3B3D">
        <w:rPr>
          <w:sz w:val="18"/>
          <w:szCs w:val="18"/>
        </w:rPr>
        <w:t>: 1</w:t>
      </w:r>
      <w:r w:rsidRPr="00F847A6" w:rsidR="001A3B3D">
        <w:rPr>
          <w:sz w:val="18"/>
          <w:szCs w:val="18"/>
          <w:vertAlign w:val="superscript"/>
        </w:rPr>
        <w:t>st</w:t>
      </w:r>
      <w:r w:rsidRPr="00F847A6" w:rsidR="001A3B3D">
        <w:rPr>
          <w:sz w:val="18"/>
          <w:szCs w:val="18"/>
        </w:rPr>
        <w:t xml:space="preserve"> </w:t>
      </w:r>
      <w:r w:rsidRPr="00F847A6" w:rsidR="00F847A6">
        <w:rPr>
          <w:sz w:val="18"/>
          <w:szCs w:val="18"/>
        </w:rPr>
        <w:t>Given Name Surname</w:t>
      </w:r>
      <w:r w:rsidRPr="00F847A6" w:rsidR="001A3B3D">
        <w:rPr>
          <w:sz w:val="18"/>
          <w:szCs w:val="18"/>
        </w:rPr>
        <w:t xml:space="preserve"> </w:t>
      </w:r>
      <w:r w:rsidRPr="00F847A6" w:rsidR="001A3B3D">
        <w:rPr>
          <w:sz w:val="18"/>
          <w:szCs w:val="18"/>
        </w:rPr>
        <w:br/>
        <w:t>line 2:</w:t>
      </w:r>
      <w:r w:rsidRPr="00F847A6">
        <w:rPr>
          <w:sz w:val="18"/>
          <w:szCs w:val="18"/>
        </w:rPr>
        <w:t xml:space="preserve"> </w:t>
      </w:r>
      <w:r w:rsidRPr="00F847A6">
        <w:rPr>
          <w:i/>
          <w:sz w:val="18"/>
          <w:szCs w:val="18"/>
        </w:rPr>
        <w:t>dept. name of organization</w:t>
      </w:r>
      <w:r w:rsidRPr="00F847A6" w:rsidR="001A3B3D">
        <w:rPr>
          <w:i/>
          <w:sz w:val="18"/>
          <w:szCs w:val="18"/>
        </w:rPr>
        <w:t xml:space="preserve">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D72D06">
        <w:rPr>
          <w:sz w:val="18"/>
          <w:szCs w:val="18"/>
        </w:rPr>
        <w:br/>
      </w:r>
      <w:r w:rsidRPr="00F847A6" w:rsidR="00645D22">
        <w:rPr>
          <w:sz w:val="18"/>
          <w:szCs w:val="18"/>
        </w:rPr>
        <w:t>li</w:t>
      </w:r>
      <w:r w:rsidRPr="00F847A6">
        <w:rPr>
          <w:sz w:val="18"/>
          <w:szCs w:val="18"/>
        </w:rPr>
        <w:t xml:space="preserve">ne </w:t>
      </w:r>
      <w:r w:rsidRPr="00F847A6" w:rsidR="001A3B3D">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Pr>
          <w:sz w:val="18"/>
          <w:szCs w:val="18"/>
        </w:rPr>
        <w:t xml:space="preserve">line </w:t>
      </w:r>
      <w:r w:rsidRPr="00F847A6" w:rsidR="001A3B3D">
        <w:rPr>
          <w:sz w:val="18"/>
          <w:szCs w:val="18"/>
        </w:rPr>
        <w:t>4</w:t>
      </w:r>
      <w:r w:rsidRPr="00F847A6">
        <w:rPr>
          <w:sz w:val="18"/>
          <w:szCs w:val="18"/>
        </w:rPr>
        <w:t>: City, Country</w:t>
      </w:r>
      <w:r w:rsidRPr="00F847A6" w:rsidR="001A3B3D">
        <w:rPr>
          <w:sz w:val="18"/>
          <w:szCs w:val="18"/>
        </w:rPr>
        <w:br/>
      </w:r>
      <w:r w:rsidRPr="00F847A6">
        <w:rPr>
          <w:sz w:val="18"/>
          <w:szCs w:val="18"/>
        </w:rPr>
        <w:t xml:space="preserve">line </w:t>
      </w:r>
      <w:r w:rsidRPr="00F847A6" w:rsidR="001A3B3D">
        <w:rPr>
          <w:sz w:val="18"/>
          <w:szCs w:val="18"/>
        </w:rPr>
        <w:t>5: e</w:t>
      </w:r>
      <w:r w:rsidRPr="00F847A6">
        <w:rPr>
          <w:sz w:val="18"/>
          <w:szCs w:val="18"/>
        </w:rPr>
        <w:t>ma</w:t>
      </w:r>
      <w:r w:rsidRPr="00F847A6" w:rsidR="001A3B3D">
        <w:rPr>
          <w:sz w:val="18"/>
          <w:szCs w:val="18"/>
        </w:rPr>
        <w:t>il address</w:t>
      </w:r>
      <w:r w:rsidR="00B768D1">
        <w:rPr>
          <w:sz w:val="18"/>
          <w:szCs w:val="18"/>
        </w:rPr>
        <w:t xml:space="preserve"> or ORCID</w:t>
      </w:r>
    </w:p>
    <w:p w:rsidRPr="00F847A6" w:rsidR="001A3B3D" w:rsidP="007B6DDA" w:rsidRDefault="00447BB9" w14:paraId="1FCCE042" w14:textId="77777777">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2</w:t>
      </w:r>
      <w:r w:rsidRPr="00F847A6" w:rsidR="001A3B3D">
        <w:rPr>
          <w:sz w:val="18"/>
          <w:szCs w:val="18"/>
          <w:vertAlign w:val="superscript"/>
        </w:rPr>
        <w:t>nd</w:t>
      </w:r>
      <w:r w:rsidRPr="00F847A6" w:rsidR="001A3B3D">
        <w:rPr>
          <w:sz w:val="18"/>
          <w:szCs w:val="18"/>
        </w:rPr>
        <w:t xml:space="preserve"> </w:t>
      </w:r>
      <w:r w:rsidRPr="00F847A6" w:rsidR="00F847A6">
        <w:rPr>
          <w:sz w:val="18"/>
          <w:szCs w:val="18"/>
        </w:rPr>
        <w:t>Given Name Surname</w:t>
      </w:r>
      <w:r w:rsidRPr="00F847A6" w:rsidR="001A3B3D">
        <w:rPr>
          <w:sz w:val="18"/>
          <w:szCs w:val="18"/>
        </w:rPr>
        <w:b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t>line 5: email address</w:t>
      </w:r>
      <w:r w:rsidR="00B768D1">
        <w:rPr>
          <w:sz w:val="18"/>
          <w:szCs w:val="18"/>
        </w:rPr>
        <w:t xml:space="preserve"> or ORCID</w:t>
      </w:r>
    </w:p>
    <w:p w:rsidRPr="00F847A6" w:rsidR="001A3B3D" w:rsidP="00447BB9" w:rsidRDefault="00447BB9" w14:paraId="11C3FF66" w14:textId="77777777">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3</w:t>
      </w:r>
      <w:r w:rsidRPr="00F847A6" w:rsidR="001A3B3D">
        <w:rPr>
          <w:sz w:val="18"/>
          <w:szCs w:val="18"/>
          <w:vertAlign w:val="superscript"/>
        </w:rPr>
        <w:t>rd</w:t>
      </w:r>
      <w:r w:rsidRPr="00F847A6" w:rsidR="001A3B3D">
        <w:rPr>
          <w:sz w:val="18"/>
          <w:szCs w:val="18"/>
        </w:rPr>
        <w:t xml:space="preserve"> </w:t>
      </w:r>
      <w:r w:rsidRPr="00F847A6" w:rsidR="00F847A6">
        <w:rPr>
          <w:sz w:val="18"/>
          <w:szCs w:val="18"/>
        </w:rPr>
        <w:t>Given Name Surname</w:t>
      </w:r>
      <w:r w:rsidRPr="00F847A6" w:rsidR="001A3B3D">
        <w:rPr>
          <w:sz w:val="18"/>
          <w:szCs w:val="18"/>
        </w:rPr>
        <w:b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t>line 5: email address</w:t>
      </w:r>
      <w:r w:rsidR="00B768D1">
        <w:rPr>
          <w:sz w:val="18"/>
          <w:szCs w:val="18"/>
        </w:rPr>
        <w:t xml:space="preserve"> or ORCID</w:t>
      </w:r>
    </w:p>
    <w:p w:rsidR="00447BB9" w:rsidP="00447BB9" w:rsidRDefault="00447BB9" w14:paraId="2729A11B" w14:textId="77777777">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14:paraId="0316535E" w14:textId="77777777">
      <w:pPr>
        <w:sectPr w:rsidR="009F1D79" w:rsidSect="003B4E04">
          <w:type w:val="continuous"/>
          <w:pgSz w:w="595.30pt" w:h="841.90pt" w:code="9"/>
          <w:pgMar w:top="22.50pt" w:right="44.65pt" w:bottom="72pt" w:left="44.65pt" w:header="36pt" w:footer="36pt" w:gutter="0pt"/>
          <w:cols w:space="36pt" w:num="3"/>
          <w:docGrid w:linePitch="360"/>
        </w:sectPr>
      </w:pPr>
    </w:p>
    <w:p w:rsidRPr="005B520E" w:rsidR="009303D9" w:rsidRDefault="00BD670B" w14:paraId="0A88E65D" w14:textId="77777777">
      <w:pPr>
        <w:sectPr w:rsidRPr="005B520E" w:rsidR="009303D9" w:rsidSect="003B4E04">
          <w:type w:val="continuous"/>
          <w:pgSz w:w="595.30pt" w:h="841.90pt" w:code="9"/>
          <w:pgMar w:top="22.50pt" w:right="44.65pt" w:bottom="72pt" w:left="44.65pt" w:header="36pt" w:footer="36pt" w:gutter="0pt"/>
          <w:cols w:space="36pt" w:num="3"/>
          <w:docGrid w:linePitch="360"/>
        </w:sectPr>
      </w:pPr>
      <w:r>
        <w:br w:type="column"/>
      </w:r>
    </w:p>
    <w:p w:rsidR="004D72B5" w:rsidP="00972203" w:rsidRDefault="009303D9" w14:paraId="40FA2D84" w14:textId="7FC814EF">
      <w:pPr>
        <w:pStyle w:val="Abstract"/>
        <w:rPr>
          <w:i/>
          <w:iCs/>
        </w:rPr>
      </w:pPr>
      <w:r>
        <w:rPr>
          <w:i/>
          <w:iCs/>
        </w:rPr>
        <w:t xml:space="preserve">Abstract—The exponential growth of scientific publications makes it increasingly difficult for researchers to synthesize literature and identify meaningful research opportunities. Linear retrieval-augmented generation (RAG) pipelines operate purely at the level of semantic similarity and probabilistic generation, risking spurious correlations and unvalidated gap claims. This paper presents a neuro-symbolic agentic system for detecting synthesis gap indicators—fragmentation, inconsistency, and collective incompleteness—in scientific literature. The system integrates (1) an agentic multi-step reasoning loop (Observe–Think–Act–Evaluate) orchestrated with LangGraph, (2) RAG for factual grounding, (3) a Subject–Predicate–Object (SPO) fact table and lightweight knowledge graph, and (4) a rule-based validation layer with nine formal rules covering feasibility, causality, and consistency. Experiments on a benchmark corpus of 23 computer-science papers across four topics extracted 248 SPO facts and identified 14 gap indicators with an average confidence of 0.70. An adversarial validation phase confirmed the discriminative power of the symbolic layer: all six injected rule-violating claims received the expected verdicts (100% accuracy), while validation overhead remained below 0.01 seconds. Compared with a linear RAG+LLM baseline, the proposed approach adds structured evidence, reasoning traces, and calibrated epistemic claims. The system is positioned as a decision-support tool whose outputs are gap indicators requiring human validation, not definitive research gaps.</w:t>
      </w:r>
    </w:p>
    <w:p w:rsidRPr="004D72B5" w:rsidR="009303D9" w:rsidP="00972203" w:rsidRDefault="004D72B5" w14:paraId="58B10678" w14:textId="7FC814F0">
      <w:pPr>
        <w:pStyle w:val="Keywords"/>
      </w:pPr>
      <w:r w:rsidRPr="004D72B5">
        <w:t xml:space="preserve">Keywords—synthesis gap detection, neuro-symbolic AI, large language models, retrieval-augmented generation, knowledge graph, rule-based validation, agentic systems</w:t>
      </w:r>
    </w:p>
    <w:p w:rsidRPr="00D632BE" w:rsidR="009303D9" w:rsidP="006B6B66" w:rsidRDefault="009303D9" w14:paraId="1A521F3C" w14:textId="7FC814F1">
      <w:pPr>
        <w:pStyle w:val="Heading1"/>
      </w:pPr>
      <w:r w:rsidRPr="00D632BE">
        <w:t xml:space="preserve">Introduction</w:t>
      </w:r>
    </w:p>
    <w:p w:rsidRPr="005B520E" w:rsidR="009303D9" w:rsidP="00E7596C" w:rsidRDefault="009303D9" w14:paraId="5B84FB04" w14:textId="7FC814F2">
      <w:pPr>
        <w:pStyle w:val="BodyText"/>
      </w:pPr>
      <w:r w:rsidRPr="005B520E">
        <w:t xml:space="preserve">The volume of scientific publications has grown exponentially over the past two decades, with repositories such as arXiv recording tens of thousands of new papers every month in computer science alone. This condition poses a fundamental challenge: how can researchers effectively review, synthesize, and identify research opportunities from such a massive body of literature? Large language models (LLMs) have demonstrated remarkable capabilities in processing scientific text, yet they suffer from hallucination, limited context windows, and static knowledge [1]. Retrieval-augmented generation (RAG) mitigates some of these limitations by grounding generation in retrieved documents [2], but identifying research gaps—particularly synthesis gaps—demands far more than retrieval and summarization.</w:t>
      </w:r>
    </w:p>
    <w:p w14:paraId="7FC814F3" w14:textId="7FC814F4">
      <w:pPr>
        <w:pStyle w:val="BodyText"/>
      </w:pPr>
      <w:r>
        <w:rPr/>
        <w:t xml:space="preserve">A synthesis gap arises when the existing literature on a phenomenon has not produced an integrated, conclusive understanding—whether through fragmentation, inconsistency, or collective incompleteness [3], [4]. Detecting such gaps requires comparative multi-paper analysis: researchers compare findings across studies, evaluate their consistency, and induce what remains collectively unanswered. Linear retrieve-then-generate pipelines operate on semantic-vector similarity and probabilistic generation without stepwise reasoning or logical validation, and therefore risk producing spurious correlations, mistaking semantic co-occurrence for genuine causal or contradictory relations.</w:t>
      </w:r>
    </w:p>
    <w:p w14:paraId="7FC814F5" w14:textId="7FC814F6">
      <w:pPr>
        <w:pStyle w:val="BodyText"/>
      </w:pPr>
      <w:r>
        <w:rPr/>
        <w:t xml:space="preserve">This paper proposes a neuro-symbolic agentic approach that combines neural reasoning (an LLM agent with multi-step reasoning) and symbolic reasoning (a rule engine over a structured fact table). The contributions are threefold: (1) a rule-based validation layer with nine formal rules in three categories—feasibility (F1–F3), causality (C1–C3), and consistency (K1–K3)—operating independently of the LLM; (2) an SPO-based fact table and lightweight knowledge graph that ground gap claims in verifiable facts rather than purely stochastic LLM output; and (3) calibrated epistemic claims, in which system outputs are explicitly framed as gap indicators requiring human validation rather than definitive research gaps. The system is thus positioned as a decision-support tool, not a replacement for human inductive reasoning.</w:t>
      </w:r>
    </w:p>
    <w:p w14:paraId="7FC814F7" w14:textId="7FC814F8">
      <w:pPr>
        <w:pStyle w:val="Heading1"/>
      </w:pPr>
      <w:r>
        <w:rPr/>
        <w:t xml:space="preserve">System Architecture</w:t>
      </w:r>
    </w:p>
    <w:p w14:paraId="7FC814F9" w14:textId="7FC814FA">
      <w:pPr>
        <w:pStyle w:val="BodyText"/>
      </w:pPr>
      <w:r>
        <w:rPr/>
        <w:t xml:space="preserve">The system is implemented as a client-server web application with four layers: a React frontend, a FastAPI backend, an agentic core, and a storage layer using ChromaDB as the vector database with Sentence-Transformers embeddings. The processing pipeline consists of four phases: (1) Ingestion, in which PDF documents are parsed and section-aware chunks are embedded and indexed; (2) Fact Extraction, in which an LLM with structured JSON output, assisted by linguistic-pattern matching, extracts entities and relations into an SPO fact table; (3) Agentic Analysis, in which a LangGraph state machine executes an Observe–Think–Act–Evaluate loop that retrieves evidence, detects gap indicators, and self-criticizes intermediate results for up to three iterations; and (4) Logical Validation, in which the rule engine renders a PASS, FLAG, or REJECT verdict for every candidate indicator and adjusts its confidence score accordingly.</w:t>
      </w:r>
    </w:p>
    <w:p w14:paraId="7FC814FB" w14:textId="7FC814FC">
      <w:pPr>
        <w:pStyle w:val="Heading2"/>
      </w:pPr>
      <w:r>
        <w:rPr/>
        <w:t xml:space="preserve">Gap Indicator Detection</w:t>
      </w:r>
    </w:p>
    <w:p w14:paraId="7FC814FD" w14:textId="7FC814FE">
      <w:pPr>
        <w:pStyle w:val="BodyText"/>
      </w:pPr>
      <w:r>
        <w:rPr/>
        <w:t xml:space="preserve">Following Cooper and Booth, three operational indicators of synthesis gaps are detected. Fragmentation is measured by clustering paper approaches and computing an isolation score over the knowledge graph: clusters with little cross-linkage indicate literature that addresses the same phenomenon from disconnected angles. Inconsistency is detected by comparing SPO claims across papers using linguistic contradiction markers and a natural language inference (NLI) cross-encoder; conflicting claims about the same subject signal unreconciled findings. Incompleteness is detected through coverage analysis: expected aspects of a topic are enumerated and compared against the aspects collectively covered by the corpus, and sparsely covered aspects are reported as candidate gaps.</w:t>
      </w:r>
    </w:p>
    <w:p w14:paraId="7FC814FF" w14:textId="7FC81500">
      <w:pPr>
        <w:pStyle w:val="Heading2"/>
      </w:pPr>
      <w:r>
        <w:rPr/>
        <w:t xml:space="preserve">Rule-Based Validation Layer</w:t>
      </w:r>
    </w:p>
    <w:p w14:paraId="7FC81501" w14:textId="7FC81502">
      <w:pPr>
        <w:pStyle w:val="BodyText"/>
      </w:pPr>
      <w:r>
        <w:rPr/>
        <w:t xml:space="preserve">The symbolic layer implements nine rules in three categories. Feasibility rules check resource compatibility (F1), data compatibility (F2), and scale compatibility (F3) between a proposed method and its target domain. Causality rules require minimal causal evidence (C1), verify temporal direction (C2), and check for confounders (C3). Consistency rules test internal non-contradiction (K1), agreement with knowledge-graph facts (K2), and transitivity of relation chains (K3). Each rule renders an independent verdict; verdicts are aggregated into an overall PASS, FLAG, or REJECT decision, and confidence scores are adjusted per violated rule. When evidence is insufficient for a rule to fire, the engine defaults to FLAG rather than PASS, ensuring that unverifiable claims are surfaced for human review rather than silently accepted.</w:t>
      </w:r>
    </w:p>
    <w:p w14:paraId="7FC81503" w14:textId="7FC81504">
      <w:pPr>
        <w:pStyle w:val="Heading2"/>
      </w:pPr>
      <w:r>
        <w:rPr/>
        <w:t xml:space="preserve">Distinguishing Semantic Association from Logical Relations</w:t>
      </w:r>
    </w:p>
    <w:p w14:paraId="7FC81505" w14:textId="7FC81506">
      <w:pPr>
        <w:pStyle w:val="BodyText"/>
      </w:pPr>
      <w:r>
        <w:rPr/>
        <w:t xml:space="preserve">A three-layer relation classifier distinguishes semantic co-occurrence from genuine causal or contradictory relations: (1) linguistic markers provide an initial hypothesis, (2) structural analysis of the sentence context refines it, and (3) NLI verification confirms or rejects the relation. Indicators derived from purely semantic association are explicitly flagged as requiring human validation, in line with the epistemological position that neither probabilistic LLMs nor deductive rule engines perform true inductive reasoning.</w:t>
      </w:r>
    </w:p>
    <w:p w14:paraId="7FC81507" w14:textId="7FC81508">
      <w:pPr>
        <w:pStyle w:val="Heading1"/>
      </w:pPr>
      <w:r>
        <w:rPr/>
        <w:t xml:space="preserve">Experimental Setup</w:t>
      </w:r>
    </w:p>
    <w:p w14:paraId="7FC81509" w14:textId="7FC8150A">
      <w:pPr>
        <w:pStyle w:val="BodyText"/>
      </w:pPr>
      <w:r>
        <w:rPr/>
        <w:t xml:space="preserve">Experiments used a benchmark corpus of 23 computer-science papers (2014–2021) downloaded reproducibly from arXiv and organized into four topic groups: T1, deep learning architectures and optimization (6 papers, e.g., ResNet, Adam); T2, computer vision and object detection (6 papers, e.g., YOLO, ViT); T3, NLP and attention mechanisms (6 papers, e.g., Transformer, BERT); and T4, efficient deployment on resource-constrained devices (5 papers, e.g., MobileNet, DistilBERT). Topic T4 was deliberately included because its resource-constraint characteristics activate the feasibility rules (F1–F3).</w:t>
      </w:r>
    </w:p>
    <w:p w14:paraId="7FC8150B" w14:textId="7FC8150C">
      <w:pPr>
        <w:pStyle w:val="BodyText"/>
      </w:pPr>
      <w:r>
        <w:rPr/>
        <w:t xml:space="preserve">The LLM was llama3.2 (3B parameters) served via Ollama with temperature 0.3 and structured JSON output; a 13B reasoning model (gpt-oss) was used for model-sensitivity comparison. Embeddings used the all-MiniLM-L6-v2 model (384 dimensions) with chunk size 512 and overlap 50. Three ablation modes isolate component contributions: full (the complete pipeline), no-rule-engine (ablating the symbolic validation layer), and linear-baseline (single-prompt RAG+LLM without agentic loop, fact table, or rule engine). In addition, an adversarial validation phase injects six claims deliberately violating specific rules (F1, F2, F3, K1, C1, plus one clean control) into an isolated fact table to verify that the rule engine genuinely discriminates rather than passing all inputs.</w:t>
      </w:r>
    </w:p>
    <w:p w14:paraId="7FC8150D" w14:textId="7FC8150E">
      <w:pPr>
        <w:pStyle w:val="BodyText"/>
      </w:pPr>
      <w:r>
        <w:rPr/>
        <w:t xml:space="preserve">Eight metrics were measured: number of gap indicators (M1), indicator type distribution (M2), confidence scores (M3), rule-engine verdict distribution (M4), execution time (M5), human-validation requirement (M6), rule-engine rejection rate (M7), and adversarial accuracy (M8).</w:t>
      </w:r>
    </w:p>
    <w:p w14:paraId="7FC8150F" w14:textId="7FC81510">
      <w:pPr>
        <w:pStyle w:val="Heading1"/>
      </w:pPr>
      <w:r>
        <w:rPr/>
        <w:t xml:space="preserve">Results and Discussion</w:t>
      </w:r>
    </w:p>
    <w:p w14:paraId="7FC81511" w14:textId="7FC81512">
      <w:pPr>
        <w:pStyle w:val="Heading2"/>
      </w:pPr>
      <w:r>
        <w:rPr/>
        <w:t xml:space="preserve">Pipeline Results</w:t>
      </w:r>
    </w:p>
    <w:p w14:paraId="7FC81513" w14:textId="7FC81514">
      <w:pPr>
        <w:pStyle w:val="BodyText"/>
      </w:pPr>
      <w:r>
        <w:rPr/>
        <w:t xml:space="preserve">All 23 papers were ingested into 3,146 indexed chunks (about 137 per paper). Fact extraction produced 248 SPO facts, with 22 of 23 papers (95.7%) yielding at least one fact (mean 10.8 facts per paper); the single zero-fact paper was dominated by mathematical notation without recognizable SPO patterns. Gap detection identified 14 indicators across the four topics (3–4 per topic) with an average confidence of 0.70 (range 0.50–0.85). The type distribution was incompleteness 42.9%, fragmentation 28.6%, and inconsistency 28.6%, consistent with Cooper's observation that synthesis gaps frequently arise from aspects left collectively unexamined. Fragmentation indicators, measured quantitatively via topic clustering, were the most confident (0.85), whereas inconsistency indicators scored lowest (0.50) and were all flagged as requiring human validation, reflecting the system's calibrated treatment of LLM-based contradiction detection.</w:t>
      </w:r>
    </w:p>
    <w:p w14:paraId="7FC81515" w14:textId="7FC81516">
      <w:pPr>
        <w:pStyle w:val="Heading2"/>
      </w:pPr>
      <w:r>
        <w:rPr/>
        <w:t xml:space="preserve">Adversarial Validation of the Rule Engine</w:t>
      </w:r>
    </w:p>
    <w:p w14:paraId="7FC81517" w14:textId="7FC81518">
      <w:pPr>
        <w:pStyle w:val="BodyText"/>
      </w:pPr>
      <w:r>
        <w:rPr/>
        <w:t xml:space="preserve">On the clean benchmark corpus, all 14 indicators received a PASS verdict (rule-engine rejection rate 0.0%). To demonstrate that this reflects input quality rather than an over-permissive validator, six adversarial claims were injected. The rule engine achieved 6/6 (100%) expected verdicts: it rejected resource-infeasible and scale-incompatible claims (F1: confidence 0.90 to 0.30; F3: 0.85 to 0.25), flagged data-incompatible, internally contradictory, and evidence-poor causal claims (F2, K1, C1), and passed the clean control unchanged (0.70 to 0.70). The largest confidence penalties were applied to hard feasibility violations, while claims needing human review received moderate reductions—evidence of sensible calibration.</w:t>
      </w:r>
    </w:p>
    <w:p w14:paraId="7FC81519" w14:textId="7FC8151A">
      <w:pPr>
        <w:pStyle w:val="Heading2"/>
      </w:pPr>
      <w:r>
        <w:rPr/>
        <w:t xml:space="preserve">Ablation and Baseline Comparison</w:t>
      </w:r>
    </w:p>
    <w:p w14:paraId="7FC8151B" w14:textId="7FC8151C">
      <w:pPr>
        <w:pStyle w:val="BodyText"/>
      </w:pPr>
      <w:r>
        <w:rPr/>
        <w:t xml:space="preserve">The linear RAG+LLM baseline produced more indicators (20 versus 14) but with no structured facts, no verdicts, and no reasoning traces; its output pattern was uniform across topics (five indicators with identical distribution per topic), suggesting templated LLM output rather than topic-specific analysis. This supports the hypothesis that the symbolic components add accountability rather than raw output volume. Model comparison revealed a practical finding: the 13B reasoning model initially returned empty responses under forced JSON decoding, requiring a fallback mechanism (structured output only on the first attempt) — highlighting the sensitivity of fact-extraction pipelines to model decoding behavior. Execution time was dominated by fact extraction (1,735 s of a 1,757 s pipeline, 98.7%), while rule-engine validation of all indicators plus adversarial cases completed in under 0.01 s, confirming that the symbolic layer adds negligible overhead.</w:t>
      </w:r>
    </w:p>
    <w:p w14:paraId="7FC8151D" w14:textId="7FC8151E">
      <w:pPr>
        <w:pStyle w:val="Heading2"/>
      </w:pPr>
      <w:r>
        <w:rPr/>
        <w:t xml:space="preserve">Epistemological Limitations</w:t>
      </w:r>
    </w:p>
    <w:p w14:paraId="7FC8151F" w14:textId="7FC81520">
      <w:pPr>
        <w:pStyle w:val="BodyText"/>
      </w:pPr>
      <w:r>
        <w:rPr/>
        <w:t xml:space="preserve">The system operates at the semantic-associative level (LLM) and the deductive-symbolic level (rule engine); neither performs true inductive reasoning. It therefore detects contradiction without explaining why findings conflict, and it ranks gaps heuristically without substantive scientific judgment. Well-known benchmark papers may also appear in LLM pre-training data, a threat to internal validity inherent to all LLM-based systems and only partially mitigated by RAG grounding and symbolic validation. Accordingly, every output is an indicator requiring human validation, and the final decision remains with the researcher.</w:t>
      </w:r>
    </w:p>
    <w:p w14:paraId="7FC81521" w14:textId="7FC81522">
      <w:pPr>
        <w:pStyle w:val="Heading1"/>
      </w:pPr>
      <w:r>
        <w:rPr/>
        <w:t xml:space="preserve">Conclusion</w:t>
      </w:r>
    </w:p>
    <w:p w14:paraId="7FC81523" w14:textId="7FC81524">
      <w:pPr>
        <w:pStyle w:val="BodyText"/>
      </w:pPr>
      <w:r>
        <w:rPr/>
        <w:t xml:space="preserve">This paper presented a neuro-symbolic agentic system for synthesis gap detection that couples LLM-based multi-step reasoning with an independent rule-based validation layer over an SPO fact table. On a 23-paper benchmark, the system extracted 248 facts and produced 14 validated gap indicators, and an adversarial evaluation demonstrated that the symbolic layer discriminates correctly in 6/6 cases at negligible (&lt;0.01 s) cost. Relative to a linear RAG+LLM baseline, the approach trades raw output volume for transparency, structured evidence, and calibrated claims. Future work includes expert evaluation of indicator quality (expert acceptance rate, logical coherence), scaling to larger multi-domain corpora, sensitivity analysis of rule thresholds, and extending linguistic markers and embeddings beyond English.</w:t>
      </w:r>
    </w:p>
    <w:p w14:paraId="7FC81525" w14:textId="7FC8152B">
      <w:pPr>
        <w:pStyle w:val="Heading5"/>
      </w:pPr>
      <w:r>
        <w:rPr/>
        <w:t xml:space="preserve">Acknowledgment</w:t>
      </w:r>
    </w:p>
    <w:p w14:paraId="7FC81527" w14:textId="7FC81528">
      <w:pPr>
        <w:pStyle w:val="BodyText"/>
      </w:pPr>
      <w:r>
        <w:rPr/>
        <w:t xml:space="preserve">The authors thank the Department of Informatics, Universitas Hasanuddin, for supporting this research.</w:t>
      </w:r>
    </w:p>
    <w:p w14:paraId="7FC81529" w14:textId="7FC8152C">
      <w:pPr>
        <w:pStyle w:val="Heading5"/>
      </w:pPr>
      <w:r>
        <w:rPr/>
        <w:t xml:space="preserve">References</w:t>
      </w:r>
    </w:p>
    <w:p w14:paraId="7FC8152D" w14:textId="7FC8152E">
      <w:pPr>
        <w:pStyle w:val="references"/>
      </w:pPr>
      <w:r>
        <w:rPr/>
        <w:t xml:space="preserve">[1] A. Chelli et al., "Hallucination rates and reference accuracy of ChatGPT and Bard for systematic reviews," J. Med. Internet Res., vol. 26, e53164, 2024.</w:t>
      </w:r>
    </w:p>
    <w:p w14:paraId="7FC8152F" w14:textId="7FC81530">
      <w:pPr>
        <w:pStyle w:val="references"/>
      </w:pPr>
      <w:r>
        <w:rPr/>
        <w:t xml:space="preserve">[2] P. Lewis et al., "Retrieval-augmented generation for knowledge-intensive NLP tasks," in Proc. NeurIPS, 2020, pp. 9459-9474.</w:t>
      </w:r>
    </w:p>
    <w:p w14:paraId="7FC81531" w14:textId="7FC81532">
      <w:pPr>
        <w:pStyle w:val="references"/>
      </w:pPr>
      <w:r>
        <w:rPr/>
        <w:t xml:space="preserve">[3] H. Cooper, Synthesizing Research: A Guide for Literature Reviews, 3rd ed. Thousand Oaks, CA: Sage, 1998.</w:t>
      </w:r>
    </w:p>
    <w:p w14:paraId="7FC81533" w14:textId="7FC81534">
      <w:pPr>
        <w:pStyle w:val="references"/>
      </w:pPr>
      <w:r>
        <w:rPr/>
        <w:t xml:space="preserve">[4] A. Booth, A. Sutton, and D. Papaioannou, Systematic Approaches to a Successful Literature Review. London: Sage, 2012.</w:t>
      </w:r>
    </w:p>
    <w:p w14:paraId="7FC81535" w14:textId="7FC81536">
      <w:pPr>
        <w:pStyle w:val="references"/>
      </w:pPr>
      <w:r>
        <w:rPr/>
        <w:t xml:space="preserve">[5] S. Yao et al., "ReAct: Synergizing reasoning and acting in language models," in Proc. ICLR, 2023.</w:t>
      </w:r>
    </w:p>
    <w:p w14:paraId="7FC81537" w14:textId="7FC81538">
      <w:pPr>
        <w:pStyle w:val="references"/>
      </w:pPr>
      <w:r>
        <w:rPr/>
        <w:t xml:space="preserve">[6] G. Marcus, "The next decade in AI: Four steps towards robust artificial intelligence," arXiv:2002.06177, 2020.</w:t>
      </w:r>
    </w:p>
    <w:p w14:paraId="7FC81539" w14:textId="7FC8153A">
      <w:pPr>
        <w:pStyle w:val="references"/>
      </w:pPr>
      <w:r>
        <w:rPr/>
        <w:t xml:space="preserve">[7] A. Vaswani et al., "Attention is all you need," in Proc. NeurIPS, 2017, pp. 5998-6008.</w:t>
      </w:r>
    </w:p>
    <w:p w14:paraId="7FC8153B" w14:textId="7FC8153C">
      <w:pPr>
        <w:pStyle w:val="references"/>
      </w:pPr>
      <w:r>
        <w:rPr/>
        <w:t xml:space="preserve">[8] N. Reimers and I. Gurevych, "Sentence-BERT: Sentence embeddings using Siamese BERT-networks," in Proc. EMNLP-IJCNLP, 2019, pp. 3982-3992.</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6A5D82" w:rsidP="001A3B3D" w:rsidRDefault="006A5D82" w14:paraId="2877A9C7" w14:textId="77777777">
      <w:r>
        <w:separator/>
      </w:r>
    </w:p>
  </w:endnote>
  <w:endnote w:type="continuationSeparator" w:id="0">
    <w:p w:rsidR="006A5D82" w:rsidP="001A3B3D" w:rsidRDefault="006A5D82" w14:paraId="7F388C0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69E75918" w14:textId="77777777">
    <w:pPr>
      <w:pStyle w:val="Footer"/>
      <w:jc w:val="lef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6A5D82" w:rsidP="001A3B3D" w:rsidRDefault="006A5D82" w14:paraId="06DFCDA7" w14:textId="77777777">
      <w:r>
        <w:separator/>
      </w:r>
    </w:p>
  </w:footnote>
  <w:footnote w:type="continuationSeparator" w:id="0">
    <w:p w:rsidR="006A5D82" w:rsidP="001A3B3D" w:rsidRDefault="006A5D82" w14:paraId="2309B469"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lef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lef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left" w:pos="36pt"/>
      </w:tabs>
      <w:spacing w:before="2pt" w:after="2pt"/>
      <w:ind w:firstLine="25.20pt"/>
      <w:jc w:val="both"/>
      <w:outlineLvl w:val="3"/>
    </w:pPr>
    <w:rPr>
      <w:i/>
      <w:iCs/>
      <w:noProof/>
    </w:rPr>
  </w:style>
  <w:style w:type="paragraph" w:styleId="Heading5">
    <w:name w:val="heading 5"/>
    <w:basedOn w:val="Normal"/>
    <w:next w:val="Normal"/>
    <w:qFormat/>
    <w:pPr>
      <w:tabs>
        <w:tab w:val="lef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lef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right"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lef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right"/>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right"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right" w:pos="468pt"/>
      </w:tabs>
    </w:pPr>
  </w:style>
  <w:style w:type="character" w:styleId="FooterChar" w:customStyle="1">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yperlink" Target="https://arxiv.org/abs/1312.6114" TargetMode="External" Id="rId10" /><Relationship Type="http://schemas.openxmlformats.org/officeDocument/2006/relationships/settings" Target="settings.xml" Id="rId4" /><Relationship Type="http://schemas.openxmlformats.org/officeDocument/2006/relationships/hyperlink" Target="https://codeocean.com/capsule/4989235/tree" TargetMode="External" Id="rI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3</ap:Pages>
  <ap:Words>2276</ap:Words>
  <ap:Characters>12975</ap:Characters>
  <ap:Application>Microsoft Office Word</ap:Application>
  <ap:DocSecurity>0</ap:DocSecurity>
  <ap:Lines>108</ap:Lines>
  <ap:Paragraphs>30</ap:Paragraphs>
  <ap:ScaleCrop>false</ap:ScaleCrop>
  <ap:HeadingPairs>
    <vt:vector baseType="variant" size="2">
      <vt:variant>
        <vt:lpstr>Title</vt:lpstr>
      </vt:variant>
      <vt:variant>
        <vt:i4>1</vt:i4>
      </vt:variant>
    </vt:vector>
  </ap:HeadingPairs>
  <ap:TitlesOfParts>
    <vt:vector baseType="lpstr" size="1">
      <vt:lpstr>Paper Title (use style: paper title)</vt:lpstr>
    </vt:vector>
  </ap:TitlesOfParts>
  <ap:Company>IEEE</ap:Company>
  <ap:LinksUpToDate>false</ap:LinksUpToDate>
  <ap:CharactersWithSpaces>15221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1.0.120</vt:lpwstr>
  </op:property>
  <op:property fmtid="{D5CDD505-2E9C-101B-9397-08002B2CF9AE}" pid="3" name="OfficeCLI.LastModified">
    <vt:lpwstr xmlns:vt="http://schemas.openxmlformats.org/officeDocument/2006/docPropsVTypes">2026-07-09T15:53:56Z</vt:lpwstr>
  </op:property>
</op:Properties>
</file>