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8A1B15"/>
          <w:sz w:val="56"/>
          <w:szCs w:val="56"/>
        </w:rPr>
        <w:t xml:space="preserve">CRUSCOTTO</w:t>
      </w:r>
    </w:p>
    <w:p>
      <w:pPr>
        <w:spacing w:after="200"/>
        <w:jc w:val="center"/>
      </w:pPr>
      <w:r>
        <w:rPr>
          <w:color w:val="1F2328"/>
          <w:sz w:val="26"/>
          <w:szCs w:val="26"/>
        </w:rPr>
        <w:t xml:space="preserve">Gestionale didattico — Autoscuola La Centauro</w:t>
      </w:r>
    </w:p>
    <w:p>
      <w:pPr>
        <w:spacing w:after="600"/>
        <w:jc w:val="center"/>
      </w:pPr>
      <w:r>
        <w:rPr>
          <w:i/>
          <w:iCs/>
          <w:color w:val="5B6472"/>
          <w:sz w:val="20"/>
          <w:szCs w:val="20"/>
        </w:rPr>
        <w:t xml:space="preserve">Prezzo, sicurezza e piano di pubblicazione — dossier per la consegna</w:t>
      </w:r>
    </w:p>
    <w:p>
      <w:pPr>
        <w:spacing w:after="60"/>
        <w:jc w:val="center"/>
      </w:pPr>
      <w:r>
        <w:rPr>
          <w:color w:val="5B6472"/>
          <w:sz w:val="18"/>
          <w:szCs w:val="18"/>
        </w:rPr>
        <w:t xml:space="preserve">Agosto 2026</w:t>
      </w:r>
    </w:p>
    <w:p>
      <w:pPr>
        <w:jc w:val="center"/>
      </w:pPr>
      <w:r>
        <w:rPr>
          <w:color w:val="5B6472"/>
          <w:sz w:val="18"/>
          <w:szCs w:val="18"/>
        </w:rPr>
        <w:t xml:space="preserve">Tre risposte alle domande della consegna: quanto vale il prodotto, se i dati degli allievi sono al sicuro, come portarlo online.</w:t>
      </w:r>
    </w:p>
    <w:p>
      <w:pPr>
        <w:pageBreakBefore/>
      </w:pPr>
      <w:r>
        <w:br/>
        <w:t xml:space="preserve"/>
      </w:r>
    </w:p>
    <w:p>
      <w:pPr>
        <w:pStyle w:val="Heading1"/>
        <w:pBdr>
          <w:bottom w:val="single" w:color="C0271E" w:sz="8" w:space="4"/>
        </w:pBdr>
        <w:spacing w:after="200" w:before="400"/>
      </w:pPr>
      <w:r>
        <w:rPr>
          <w:b/>
          <w:bCs/>
          <w:color w:val="8A1B15"/>
          <w:sz w:val="30"/>
          <w:szCs w:val="30"/>
        </w:rPr>
        <w:t xml:space="preserve">1. Prezzo e abbonamento</w:t>
      </w:r>
    </w:p>
    <w:p>
      <w:pPr>
        <w:spacing w:after="160" w:line="300"/>
      </w:pPr>
      <w:r>
        <w:rPr>
          <w:color w:val="1F2328"/>
          <w:sz w:val="21"/>
          <w:szCs w:val="21"/>
        </w:rPr>
        <w:t xml:space="preserve">Il prodotto è tecnicamente pronto per essere venduto a più di un'autoscuola dallo stesso server (multi-tenant: ogni scuola vede solo i propri allievi e i propri dati). Questo cambia la logica del prezzo: il costo marginale di aggiungere una nuova autoscuola cliente è quasi zero — server condiviso, database condiviso, nessuna installazione separata. Conviene quindi vendere in abbonamento, non con licenza una tantum.</w:t>
      </w:r>
    </w:p>
    <w:p>
      <w:pPr>
        <w:pStyle w:val="Heading2"/>
        <w:spacing w:after="120" w:before="280"/>
      </w:pPr>
      <w:r>
        <w:rPr>
          <w:b/>
          <w:bCs/>
          <w:color w:val="1F2328"/>
          <w:sz w:val="24"/>
          <w:szCs w:val="24"/>
        </w:rPr>
        <w:t xml:space="preserve">Cosa fa il prodotto (e cosa non fa)</w:t>
      </w:r>
    </w:p>
    <w:p>
      <w:pPr>
        <w:spacing w:after="160" w:line="300"/>
      </w:pPr>
      <w:r>
        <w:rPr>
          <w:color w:val="1F2328"/>
          <w:sz w:val="21"/>
          <w:szCs w:val="21"/>
        </w:rPr>
        <w:t xml:space="preserve">Cruscotto è una piattaforma di preparazione teorica e formazione: quiz ministeriali con ripasso mirato sugli errori, tutor AI che spiega perché una risposta è sbagliata, videocorsi e lezioni live, statistiche di classe e per singolo allievo, gestione di allievi con più patenti. Non gestisce libretti di guida cartacei, pratiche MCTC, pagamenti rateali o veicoli — è la parte didattica e di monitoraggio, non un gestionale amministrativo completo. Conta per il confronto con i concorrenti sotto.</w:t>
      </w:r>
    </w:p>
    <w:p>
      <w:pPr>
        <w:pStyle w:val="Heading2"/>
        <w:spacing w:after="120" w:before="280"/>
      </w:pPr>
      <w:r>
        <w:rPr>
          <w:b/>
          <w:bCs/>
          <w:color w:val="1F2328"/>
          <w:sz w:val="24"/>
          <w:szCs w:val="24"/>
        </w:rPr>
        <w:t xml:space="preserve">Cosa fanno pagare i concorrenti (ricerca di mercato, agosto 2026)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744"/>
        <w:gridCol w:w="2448"/>
        <w:gridCol w:w="3600"/>
      </w:tblGrid>
      <w:tr>
        <w:trPr>
          <w:tblHeader/>
        </w:trPr>
        <w:tc>
          <w:tcPr>
            <w:tcW w:type="dxa" w:w="3744"/>
            <w:shd w:fill="8A1B15" w:val="clear"/>
            <w:tcMar>
              <w:top w:type="dxa" w:w="90"/>
              <w:left w:type="dxa" w:w="120"/>
              <w:bottom w:type="dxa" w:w="90"/>
              <w:right w:type="dxa" w:w="120"/>
            </w:tcMar>
          </w:tcPr>
          <w:p>
            <w:r>
              <w:rPr>
                <w:b/>
                <w:bCs/>
                <w:color w:val="FFFFFF"/>
                <w:sz w:val="20"/>
                <w:szCs w:val="20"/>
              </w:rPr>
              <w:t xml:space="preserve">Tipo di prodotto</w:t>
            </w:r>
          </w:p>
        </w:tc>
        <w:tc>
          <w:tcPr>
            <w:tcW w:type="dxa" w:w="2448"/>
            <w:shd w:fill="8A1B15" w:val="clear"/>
            <w:tcMar>
              <w:top w:type="dxa" w:w="90"/>
              <w:left w:type="dxa" w:w="120"/>
              <w:bottom w:type="dxa" w:w="90"/>
              <w:right w:type="dxa" w:w="120"/>
            </w:tcMar>
          </w:tcPr>
          <w:p>
            <w:r>
              <w:rPr>
                <w:b/>
                <w:bCs/>
                <w:color w:val="FFFFFF"/>
                <w:sz w:val="20"/>
                <w:szCs w:val="20"/>
              </w:rPr>
              <w:t xml:space="preserve">Prezzo tipico</w:t>
            </w:r>
          </w:p>
        </w:tc>
        <w:tc>
          <w:tcPr>
            <w:tcW w:type="dxa" w:w="3600"/>
            <w:shd w:fill="8A1B15" w:val="clear"/>
            <w:tcMar>
              <w:top w:type="dxa" w:w="90"/>
              <w:left w:type="dxa" w:w="120"/>
              <w:bottom w:type="dxa" w:w="90"/>
              <w:right w:type="dxa" w:w="120"/>
            </w:tcMar>
          </w:tcPr>
          <w:p>
            <w:r>
              <w:rPr>
                <w:b/>
                <w:bCs/>
                <w:color w:val="FFFFFF"/>
                <w:sz w:val="20"/>
                <w:szCs w:val="20"/>
              </w:rPr>
              <w:t xml:space="preserve">Confronto con Cruscotto</w:t>
            </w:r>
          </w:p>
        </w:tc>
      </w:tr>
      <w:tr>
        <w:tc>
          <w:tcPr>
            <w:tcW w:type="dxa" w:w="3744"/>
            <w:tcMar>
              <w:top w:type="dxa" w:w="90"/>
              <w:left w:type="dxa" w:w="120"/>
              <w:bottom w:type="dxa" w:w="90"/>
              <w:right w:type="dxa" w:w="120"/>
            </w:tcMar>
          </w:tcPr>
          <w:p>
            <w:r>
              <w:rPr>
                <w:b w:val="false"/>
                <w:bCs w:val="false"/>
                <w:color w:val="1F2328"/>
                <w:sz w:val="20"/>
                <w:szCs w:val="20"/>
              </w:rPr>
              <w:t xml:space="preserve">Gestionale completo per autoscuola
(registro guide, pratiche MCTC, pagamenti)</w:t>
            </w:r>
          </w:p>
        </w:tc>
        <w:tc>
          <w:tcPr>
            <w:tcW w:type="dxa" w:w="2448"/>
            <w:tcMar>
              <w:top w:type="dxa" w:w="90"/>
              <w:left w:type="dxa" w:w="120"/>
              <w:bottom w:type="dxa" w:w="90"/>
              <w:right w:type="dxa" w:w="120"/>
            </w:tcMar>
          </w:tcPr>
          <w:p>
            <w:r>
              <w:rPr>
                <w:b w:val="false"/>
                <w:bCs w:val="false"/>
                <w:color w:val="1F2328"/>
                <w:sz w:val="20"/>
                <w:szCs w:val="20"/>
              </w:rPr>
              <w:t xml:space="preserve">€49–89/mese
oppure €1.600–2.500 una tantum</w:t>
            </w:r>
          </w:p>
        </w:tc>
        <w:tc>
          <w:tcPr>
            <w:tcW w:type="dxa" w:w="3600"/>
            <w:tcMar>
              <w:top w:type="dxa" w:w="90"/>
              <w:left w:type="dxa" w:w="120"/>
              <w:bottom w:type="dxa" w:w="90"/>
              <w:right w:type="dxa" w:w="120"/>
            </w:tcMar>
          </w:tcPr>
          <w:p>
            <w:r>
              <w:rPr>
                <w:b w:val="false"/>
                <w:bCs w:val="false"/>
                <w:color w:val="1F2328"/>
                <w:sz w:val="20"/>
                <w:szCs w:val="20"/>
              </w:rPr>
              <w:t xml:space="preserve">Fa molto di più: gestione veicoli, modulistica, pagamenti rateali. Prezzo non direttamente confrontabile.</w:t>
            </w:r>
          </w:p>
        </w:tc>
      </w:tr>
      <w:tr>
        <w:tc>
          <w:tcPr>
            <w:tcW w:type="dxa" w:w="3744"/>
            <w:shd w:fill="F2F3F5" w:val="clear"/>
            <w:tcMar>
              <w:top w:type="dxa" w:w="90"/>
              <w:left w:type="dxa" w:w="120"/>
              <w:bottom w:type="dxa" w:w="90"/>
              <w:right w:type="dxa" w:w="120"/>
            </w:tcMar>
          </w:tcPr>
          <w:p>
            <w:r>
              <w:rPr>
                <w:b w:val="false"/>
                <w:bCs w:val="false"/>
                <w:color w:val="1F2328"/>
                <w:sz w:val="20"/>
                <w:szCs w:val="20"/>
              </w:rPr>
              <w:t xml:space="preserve">App quiz patente per il singolo allievo
(consumer, non venduta alla scuola)</w:t>
            </w:r>
          </w:p>
        </w:tc>
        <w:tc>
          <w:tcPr>
            <w:tcW w:type="dxa" w:w="2448"/>
            <w:shd w:fill="F2F3F5" w:val="clear"/>
            <w:tcMar>
              <w:top w:type="dxa" w:w="90"/>
              <w:left w:type="dxa" w:w="120"/>
              <w:bottom w:type="dxa" w:w="90"/>
              <w:right w:type="dxa" w:w="120"/>
            </w:tcMar>
          </w:tcPr>
          <w:p>
            <w:r>
              <w:rPr>
                <w:b w:val="false"/>
                <w:bCs w:val="false"/>
                <w:color w:val="1F2328"/>
                <w:sz w:val="20"/>
                <w:szCs w:val="20"/>
              </w:rPr>
              <w:t xml:space="preserve">€5–8/mese a persona</w:t>
            </w:r>
          </w:p>
        </w:tc>
        <w:tc>
          <w:tcPr>
            <w:tcW w:type="dxa" w:w="3600"/>
            <w:shd w:fill="F2F3F5" w:val="clear"/>
            <w:tcMar>
              <w:top w:type="dxa" w:w="90"/>
              <w:left w:type="dxa" w:w="120"/>
              <w:bottom w:type="dxa" w:w="90"/>
              <w:right w:type="dxa" w:w="120"/>
            </w:tcMar>
          </w:tcPr>
          <w:p>
            <w:r>
              <w:rPr>
                <w:b w:val="false"/>
                <w:bCs w:val="false"/>
                <w:color w:val="1F2328"/>
                <w:sz w:val="20"/>
                <w:szCs w:val="20"/>
              </w:rPr>
              <w:t xml:space="preserve">Cruscotto include anche tutor AI, videocorsi, analisi di classe: un prodotto più ricco, venduto alla scuola non al singolo.</w:t>
            </w:r>
          </w:p>
        </w:tc>
      </w:tr>
      <w:tr>
        <w:tc>
          <w:tcPr>
            <w:tcW w:type="dxa" w:w="3744"/>
            <w:tcMar>
              <w:top w:type="dxa" w:w="90"/>
              <w:left w:type="dxa" w:w="120"/>
              <w:bottom w:type="dxa" w:w="90"/>
              <w:right w:type="dxa" w:w="120"/>
            </w:tcMar>
          </w:tcPr>
          <w:p>
            <w:r>
              <w:rPr>
                <w:b w:val="false"/>
                <w:bCs w:val="false"/>
                <w:color w:val="1F2328"/>
                <w:sz w:val="20"/>
                <w:szCs w:val="20"/>
              </w:rPr>
              <w:t xml:space="preserve">Strumenti di prenotazione/booking base</w:t>
            </w:r>
          </w:p>
        </w:tc>
        <w:tc>
          <w:tcPr>
            <w:tcW w:type="dxa" w:w="2448"/>
            <w:tcMar>
              <w:top w:type="dxa" w:w="90"/>
              <w:left w:type="dxa" w:w="120"/>
              <w:bottom w:type="dxa" w:w="90"/>
              <w:right w:type="dxa" w:w="120"/>
            </w:tcMar>
          </w:tcPr>
          <w:p>
            <w:r>
              <w:rPr>
                <w:b w:val="false"/>
                <w:bCs w:val="false"/>
                <w:color w:val="1F2328"/>
                <w:sz w:val="20"/>
                <w:szCs w:val="20"/>
              </w:rPr>
              <w:t xml:space="preserve">da €7/mese</w:t>
            </w:r>
          </w:p>
        </w:tc>
        <w:tc>
          <w:tcPr>
            <w:tcW w:type="dxa" w:w="3600"/>
            <w:tcMar>
              <w:top w:type="dxa" w:w="90"/>
              <w:left w:type="dxa" w:w="120"/>
              <w:bottom w:type="dxa" w:w="90"/>
              <w:right w:type="dxa" w:w="120"/>
            </w:tcMar>
          </w:tcPr>
          <w:p>
            <w:r>
              <w:rPr>
                <w:b w:val="false"/>
                <w:bCs w:val="false"/>
                <w:color w:val="1F2328"/>
                <w:sz w:val="20"/>
                <w:szCs w:val="20"/>
              </w:rPr>
              <w:t xml:space="preserve">Ambito troppo ristretto per un confronto diretto.</w:t>
            </w:r>
          </w:p>
        </w:tc>
      </w:tr>
    </w:tbl>
    <w:p>
      <w:pPr>
        <w:spacing w:after="200"/>
      </w:pPr>
      <w:r>
        <w:rPr>
          <w:i/>
          <w:iCs/>
          <w:color w:val="5B6472"/>
          <w:sz w:val="19"/>
          <w:szCs w:val="19"/>
        </w:rPr>
        <w:t xml:space="preserve">Fonti: andreapiani.com (DriveSchool Manager), ricerche su Hacka/Quiz Patente e SuperSaaS — dati rilevati ad agosto 2026, i listini B2B specifici per l'e-learning spesso non sono pubblici e si negoziano su richiesta.</w:t>
      </w:r>
    </w:p>
    <w:p>
      <w:pPr>
        <w:pStyle w:val="Heading2"/>
        <w:spacing w:after="120" w:before="280"/>
      </w:pPr>
      <w:r>
        <w:rPr>
          <w:b/>
          <w:bCs/>
          <w:color w:val="1F2328"/>
          <w:sz w:val="24"/>
          <w:szCs w:val="24"/>
        </w:rPr>
        <w:t xml:space="preserve">Proposta</w:t>
      </w:r>
    </w:p>
    <w:p>
      <w:pPr>
        <w:spacing w:after="160" w:line="300"/>
      </w:pPr>
      <w:r>
        <w:rPr>
          <w:color w:val="1F2328"/>
          <w:sz w:val="21"/>
          <w:szCs w:val="21"/>
        </w:rPr>
        <w:t xml:space="preserve">Un prezzo posizionato sotto i gestionali completi (che fanno più cose) ma sopra le app quiz da pochi euro (che ne fanno meno), giustificato dal tutor AI e dalle statistiche — sono le due cose che un'app quiz da solitaria non offre.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24"/>
        <w:gridCol w:w="2304"/>
        <w:gridCol w:w="4464"/>
      </w:tblGrid>
      <w:tr>
        <w:trPr>
          <w:tblHeader/>
        </w:trPr>
        <w:tc>
          <w:tcPr>
            <w:tcW w:type="dxa" w:w="3024"/>
            <w:shd w:fill="8A1B15" w:val="clear"/>
            <w:tcMar>
              <w:top w:type="dxa" w:w="90"/>
              <w:left w:type="dxa" w:w="120"/>
              <w:bottom w:type="dxa" w:w="90"/>
              <w:right w:type="dxa" w:w="120"/>
            </w:tcMar>
          </w:tcPr>
          <w:p>
            <w:r>
              <w:rPr>
                <w:b/>
                <w:bCs/>
                <w:color w:val="FFFFFF"/>
                <w:sz w:val="20"/>
                <w:szCs w:val="20"/>
              </w:rPr>
              <w:t xml:space="preserve">Voce</w:t>
            </w:r>
          </w:p>
        </w:tc>
        <w:tc>
          <w:tcPr>
            <w:tcW w:type="dxa" w:w="2304"/>
            <w:shd w:fill="8A1B15" w:val="clear"/>
            <w:tcMar>
              <w:top w:type="dxa" w:w="90"/>
              <w:left w:type="dxa" w:w="120"/>
              <w:bottom w:type="dxa" w:w="90"/>
              <w:right w:type="dxa" w:w="120"/>
            </w:tcMar>
          </w:tcPr>
          <w:p>
            <w:r>
              <w:rPr>
                <w:b/>
                <w:bCs/>
                <w:color w:val="FFFFFF"/>
                <w:sz w:val="20"/>
                <w:szCs w:val="20"/>
              </w:rPr>
              <w:t xml:space="preserve">Prezzo consigliato</w:t>
            </w:r>
          </w:p>
        </w:tc>
        <w:tc>
          <w:tcPr>
            <w:tcW w:type="dxa" w:w="4464"/>
            <w:shd w:fill="8A1B15" w:val="clear"/>
            <w:tcMar>
              <w:top w:type="dxa" w:w="90"/>
              <w:left w:type="dxa" w:w="120"/>
              <w:bottom w:type="dxa" w:w="90"/>
              <w:right w:type="dxa" w:w="120"/>
            </w:tcMar>
          </w:tcPr>
          <w:p>
            <w:r>
              <w:rPr>
                <w:b/>
                <w:bCs/>
                <w:color w:val="FFFFFF"/>
                <w:sz w:val="20"/>
                <w:szCs w:val="20"/>
              </w:rPr>
              <w:t xml:space="preserve">Cosa copre</w:t>
            </w:r>
          </w:p>
        </w:tc>
      </w:tr>
      <w:tr>
        <w:tc>
          <w:tcPr>
            <w:tcW w:type="dxa" w:w="3024"/>
            <w:tcMar>
              <w:top w:type="dxa" w:w="90"/>
              <w:left w:type="dxa" w:w="120"/>
              <w:bottom w:type="dxa" w:w="90"/>
              <w:right w:type="dxa" w:w="120"/>
            </w:tcMar>
          </w:tcPr>
          <w:p>
            <w:r>
              <w:rPr>
                <w:b w:val="false"/>
                <w:bCs w:val="false"/>
                <w:color w:val="1F2328"/>
                <w:sz w:val="20"/>
                <w:szCs w:val="20"/>
              </w:rPr>
              <w:t xml:space="preserve">Attivazione (una tantum)</w:t>
            </w:r>
          </w:p>
        </w:tc>
        <w:tc>
          <w:tcPr>
            <w:tcW w:type="dxa" w:w="2304"/>
            <w:tcMar>
              <w:top w:type="dxa" w:w="90"/>
              <w:left w:type="dxa" w:w="120"/>
              <w:bottom w:type="dxa" w:w="90"/>
              <w:right w:type="dxa" w:w="120"/>
            </w:tcMar>
          </w:tcPr>
          <w:p>
            <w:r>
              <w:rPr>
                <w:b w:val="false"/>
                <w:bCs w:val="false"/>
                <w:color w:val="1F2328"/>
                <w:sz w:val="20"/>
                <w:szCs w:val="20"/>
              </w:rPr>
              <w:t xml:space="preserve">€200 – €350</w:t>
            </w:r>
          </w:p>
        </w:tc>
        <w:tc>
          <w:tcPr>
            <w:tcW w:type="dxa" w:w="4464"/>
            <w:tcMar>
              <w:top w:type="dxa" w:w="90"/>
              <w:left w:type="dxa" w:w="120"/>
              <w:bottom w:type="dxa" w:w="90"/>
              <w:right w:type="dxa" w:w="120"/>
            </w:tcMar>
          </w:tcPr>
          <w:p>
            <w:r>
              <w:rPr>
                <w:b w:val="false"/>
                <w:bCs w:val="false"/>
                <w:color w:val="1F2328"/>
                <w:sz w:val="20"/>
                <w:szCs w:val="20"/>
              </w:rPr>
              <w:t xml:space="preserve">Personalizzazione con logo e colori della scuola (fatta in questa sessione), importazione degli allievi esistenti, account del personale, formazione di 1 ora per segreteria e istruttori.</w:t>
            </w:r>
          </w:p>
        </w:tc>
      </w:tr>
      <w:tr>
        <w:tc>
          <w:tcPr>
            <w:tcW w:type="dxa" w:w="3024"/>
            <w:shd w:fill="F2F3F5" w:val="clear"/>
            <w:tcMar>
              <w:top w:type="dxa" w:w="90"/>
              <w:left w:type="dxa" w:w="120"/>
              <w:bottom w:type="dxa" w:w="90"/>
              <w:right w:type="dxa" w:w="120"/>
            </w:tcMar>
          </w:tcPr>
          <w:p>
            <w:r>
              <w:rPr>
                <w:b w:val="false"/>
                <w:bCs w:val="false"/>
                <w:color w:val="1F2328"/>
                <w:sz w:val="20"/>
                <w:szCs w:val="20"/>
              </w:rPr>
              <w:t xml:space="preserve">Abbonamento mensile — Base</w:t>
            </w:r>
          </w:p>
        </w:tc>
        <w:tc>
          <w:tcPr>
            <w:tcW w:type="dxa" w:w="2304"/>
            <w:shd w:fill="F2F3F5" w:val="clear"/>
            <w:tcMar>
              <w:top w:type="dxa" w:w="90"/>
              <w:left w:type="dxa" w:w="120"/>
              <w:bottom w:type="dxa" w:w="90"/>
              <w:right w:type="dxa" w:w="120"/>
            </w:tcMar>
          </w:tcPr>
          <w:p>
            <w:r>
              <w:rPr>
                <w:b w:val="false"/>
                <w:bCs w:val="false"/>
                <w:color w:val="1F2328"/>
                <w:sz w:val="20"/>
                <w:szCs w:val="20"/>
              </w:rPr>
              <w:t xml:space="preserve">€39/mese</w:t>
            </w:r>
          </w:p>
        </w:tc>
        <w:tc>
          <w:tcPr>
            <w:tcW w:type="dxa" w:w="4464"/>
            <w:shd w:fill="F2F3F5" w:val="clear"/>
            <w:tcMar>
              <w:top w:type="dxa" w:w="90"/>
              <w:left w:type="dxa" w:w="120"/>
              <w:bottom w:type="dxa" w:w="90"/>
              <w:right w:type="dxa" w:w="120"/>
            </w:tcMar>
          </w:tcPr>
          <w:p>
            <w:r>
              <w:rPr>
                <w:b w:val="false"/>
                <w:bCs w:val="false"/>
                <w:color w:val="1F2328"/>
                <w:sz w:val="20"/>
                <w:szCs w:val="20"/>
              </w:rPr>
              <w:t xml:space="preserve">Fino a 80 allievi attivi, 1 sede, tutte le funzioni attuali (quiz, tutor AI, videocorsi, statistiche).</w:t>
            </w:r>
          </w:p>
        </w:tc>
      </w:tr>
      <w:tr>
        <w:tc>
          <w:tcPr>
            <w:tcW w:type="dxa" w:w="3024"/>
            <w:tcMar>
              <w:top w:type="dxa" w:w="90"/>
              <w:left w:type="dxa" w:w="120"/>
              <w:bottom w:type="dxa" w:w="90"/>
              <w:right w:type="dxa" w:w="120"/>
            </w:tcMar>
          </w:tcPr>
          <w:p>
            <w:r>
              <w:rPr>
                <w:b w:val="false"/>
                <w:bCs w:val="false"/>
                <w:color w:val="1F2328"/>
                <w:sz w:val="20"/>
                <w:szCs w:val="20"/>
              </w:rPr>
              <w:t xml:space="preserve">Abbonamento mensile — Plus</w:t>
            </w:r>
          </w:p>
        </w:tc>
        <w:tc>
          <w:tcPr>
            <w:tcW w:type="dxa" w:w="2304"/>
            <w:tcMar>
              <w:top w:type="dxa" w:w="90"/>
              <w:left w:type="dxa" w:w="120"/>
              <w:bottom w:type="dxa" w:w="90"/>
              <w:right w:type="dxa" w:w="120"/>
            </w:tcMar>
          </w:tcPr>
          <w:p>
            <w:r>
              <w:rPr>
                <w:b w:val="false"/>
                <w:bCs w:val="false"/>
                <w:color w:val="1F2328"/>
                <w:sz w:val="20"/>
                <w:szCs w:val="20"/>
              </w:rPr>
              <w:t xml:space="preserve">€59/mese</w:t>
            </w:r>
          </w:p>
        </w:tc>
        <w:tc>
          <w:tcPr>
            <w:tcW w:type="dxa" w:w="4464"/>
            <w:tcMar>
              <w:top w:type="dxa" w:w="90"/>
              <w:left w:type="dxa" w:w="120"/>
              <w:bottom w:type="dxa" w:w="90"/>
              <w:right w:type="dxa" w:w="120"/>
            </w:tcMar>
          </w:tcPr>
          <w:p>
            <w:r>
              <w:rPr>
                <w:b w:val="false"/>
                <w:bCs w:val="false"/>
                <w:color w:val="1F2328"/>
                <w:sz w:val="20"/>
                <w:szCs w:val="20"/>
              </w:rPr>
              <w:t xml:space="preserve">Allievi illimitati, più sedi/istruttori, priorità sull'assistenza.</w:t>
            </w:r>
          </w:p>
        </w:tc>
      </w:tr>
      <w:tr>
        <w:tc>
          <w:tcPr>
            <w:tcW w:type="dxa" w:w="3024"/>
            <w:shd w:fill="F2F3F5" w:val="clear"/>
            <w:tcMar>
              <w:top w:type="dxa" w:w="90"/>
              <w:left w:type="dxa" w:w="120"/>
              <w:bottom w:type="dxa" w:w="90"/>
              <w:right w:type="dxa" w:w="120"/>
            </w:tcMar>
          </w:tcPr>
          <w:p>
            <w:r>
              <w:rPr>
                <w:b w:val="false"/>
                <w:bCs w:val="false"/>
                <w:color w:val="1F2328"/>
                <w:sz w:val="20"/>
                <w:szCs w:val="20"/>
              </w:rPr>
              <w:t xml:space="preserve">Sconto pagamento annuale</w:t>
            </w:r>
          </w:p>
        </w:tc>
        <w:tc>
          <w:tcPr>
            <w:tcW w:type="dxa" w:w="2304"/>
            <w:shd w:fill="F2F3F5" w:val="clear"/>
            <w:tcMar>
              <w:top w:type="dxa" w:w="90"/>
              <w:left w:type="dxa" w:w="120"/>
              <w:bottom w:type="dxa" w:w="90"/>
              <w:right w:type="dxa" w:w="120"/>
            </w:tcMar>
          </w:tcPr>
          <w:p>
            <w:r>
              <w:rPr>
                <w:b w:val="false"/>
                <w:bCs w:val="false"/>
                <w:color w:val="1F2328"/>
                <w:sz w:val="20"/>
                <w:szCs w:val="20"/>
              </w:rPr>
              <w:t xml:space="preserve">–15% circa</w:t>
            </w:r>
          </w:p>
        </w:tc>
        <w:tc>
          <w:tcPr>
            <w:tcW w:type="dxa" w:w="4464"/>
            <w:shd w:fill="F2F3F5" w:val="clear"/>
            <w:tcMar>
              <w:top w:type="dxa" w:w="90"/>
              <w:left w:type="dxa" w:w="120"/>
              <w:bottom w:type="dxa" w:w="90"/>
              <w:right w:type="dxa" w:w="120"/>
            </w:tcMar>
          </w:tcPr>
          <w:p>
            <w:r>
              <w:rPr>
                <w:b w:val="false"/>
                <w:bCs w:val="false"/>
                <w:color w:val="1F2328"/>
                <w:sz w:val="20"/>
                <w:szCs w:val="20"/>
              </w:rPr>
              <w:t xml:space="preserve">Es. Base: €39 × 12 × 0,85 ≈ €398/anno invece di €468.</w:t>
            </w:r>
          </w:p>
        </w:tc>
      </w:tr>
    </w:tbl>
    <w:p>
      <w:pPr>
        <w:spacing w:after="160" w:line="300"/>
      </w:pPr>
      <w:r>
        <w:rPr>
          <w:color w:val="1F2328"/>
          <w:sz w:val="21"/>
          <w:szCs w:val="21"/>
        </w:rPr>
        <w:t xml:space="preserve">Con questi numeri, il costo vivo mensile (server VPS 5–12 €, dominio spalmato sull'anno, chiamate AI dell'ordine di pochi centesimi per allievo) resta sotto il 20% del prezzo Base: margine ampio per assistenza, aggiornamenti e imprevisti. Per La Centauro stessa, se il gestionale nasce come strumento interno prima ancora che come prodotto da rivendere, l'abbonamento Base è già oltre il necessario — il numero sopra è pensato per quando lo si offre ad altre autoscuole.</w:t>
      </w:r>
    </w:p>
    <w:p>
      <w:pPr>
        <w:spacing w:after="200"/>
      </w:pPr>
      <w:r>
        <w:rPr>
          <w:i/>
          <w:iCs/>
          <w:color w:val="5B6472"/>
          <w:sz w:val="19"/>
          <w:szCs w:val="19"/>
        </w:rPr>
        <w:t xml:space="preserve">Il prezzo esatto resta una scelta commerciale: qui c'è la fascia di mercato e il ragionamento dietro, la decisione finale spetta a voi. Non è una raccomandazione di investimento, solo un confronto con quello che si vede sul mercato oggi.</w:t>
      </w:r>
    </w:p>
    <w:p>
      <w:pPr>
        <w:pStyle w:val="Heading1"/>
        <w:pBdr>
          <w:bottom w:val="single" w:color="C0271E" w:sz="8" w:space="4"/>
        </w:pBdr>
        <w:spacing w:after="200" w:before="400"/>
      </w:pPr>
      <w:r>
        <w:rPr>
          <w:b/>
          <w:bCs/>
          <w:color w:val="8A1B15"/>
          <w:sz w:val="30"/>
          <w:szCs w:val="30"/>
        </w:rPr>
        <w:t xml:space="preserve">2. Sicurezza e capacità di carico</w:t>
      </w:r>
    </w:p>
    <w:p>
      <w:pPr>
        <w:spacing w:after="160" w:line="300"/>
      </w:pPr>
      <w:r>
        <w:rPr>
          <w:color w:val="1F2328"/>
          <w:sz w:val="21"/>
          <w:szCs w:val="21"/>
        </w:rPr>
        <w:t xml:space="preserve">Ho controllato il codice del backend riga per riga: autenticazione, gestione delle password, isolamento dei dati tra scuole diverse, query al database, upload dei file. Il livello di partenza è già buono — ma c'è un blocco da risolvere prima di andare online, e un paio di cose da rifinire.</w:t>
      </w:r>
    </w:p>
    <w:p>
      <w:pPr>
        <w:pStyle w:val="Heading2"/>
        <w:spacing w:after="120" w:before="280"/>
      </w:pPr>
      <w:r>
        <w:rPr>
          <w:b/>
          <w:bCs/>
          <w:color w:val="1F2328"/>
          <w:sz w:val="24"/>
          <w:szCs w:val="24"/>
        </w:rPr>
        <w:t xml:space="preserve">Cosa funziona già bene</w:t>
      </w:r>
    </w:p>
    <w:p>
      <w:pPr>
        <w:pStyle w:val="ListParagraph"/>
        <w:numPr>
          <w:ilvl w:val="0"/>
          <w:numId w:val="2"/>
        </w:numPr>
        <w:spacing w:after="90" w:line="290"/>
      </w:pPr>
      <w:r>
        <w:rPr>
          <w:color w:val="1F2328"/>
          <w:sz w:val="21"/>
          <w:szCs w:val="21"/>
        </w:rPr>
        <w:t xml:space="preserve">Password: hashing PBKDF2-SHA256 con 260.000 iterazioni e sale casuale — standard robusto, nessun problema.</w:t>
      </w:r>
    </w:p>
    <w:p>
      <w:pPr>
        <w:pStyle w:val="ListParagraph"/>
        <w:numPr>
          <w:ilvl w:val="0"/>
          <w:numId w:val="2"/>
        </w:numPr>
        <w:spacing w:after="90" w:line="290"/>
      </w:pPr>
      <w:r>
        <w:rPr>
          <w:color w:val="1F2328"/>
          <w:sz w:val="21"/>
          <w:szCs w:val="21"/>
        </w:rPr>
        <w:t xml:space="preserve">Login: il confronto password viene eseguito anche per email inesistenti, così i tempi di risposta non rivelano quali account esistono.</w:t>
      </w:r>
    </w:p>
    <w:p>
      <w:pPr>
        <w:pStyle w:val="ListParagraph"/>
        <w:numPr>
          <w:ilvl w:val="0"/>
          <w:numId w:val="2"/>
        </w:numPr>
        <w:spacing w:after="90" w:line="290"/>
      </w:pPr>
      <w:r>
        <w:rPr>
          <w:color w:val="1F2328"/>
          <w:sz w:val="21"/>
          <w:szCs w:val="21"/>
        </w:rPr>
        <w:t xml:space="preserve">Sessioni: token di accesso di vita breve (30 minuti) + token di refresh "rotante" — se un token di refresh già usato viene ripresentato (segno di furto), l'intera sessione viene revocata in automatico.</w:t>
      </w:r>
    </w:p>
    <w:p>
      <w:pPr>
        <w:pStyle w:val="ListParagraph"/>
        <w:numPr>
          <w:ilvl w:val="0"/>
          <w:numId w:val="2"/>
        </w:numPr>
        <w:spacing w:after="90" w:line="290"/>
      </w:pPr>
      <w:r>
        <w:rPr>
          <w:color w:val="1F2328"/>
          <w:sz w:val="21"/>
          <w:szCs w:val="21"/>
        </w:rPr>
        <w:t xml:space="preserve">Isolamento tra scuole: ogni query filtra sempre per l'autoscuola del token, mai per un id ricevuto dal client. Un admin di una scuola non può vedere allievi di un'altra scuola nemmeno forzando gli indirizzi.</w:t>
      </w:r>
    </w:p>
    <w:p>
      <w:pPr>
        <w:pStyle w:val="ListParagraph"/>
        <w:numPr>
          <w:ilvl w:val="0"/>
          <w:numId w:val="2"/>
        </w:numPr>
        <w:spacing w:after="90" w:line="290"/>
      </w:pPr>
      <w:r>
        <w:rPr>
          <w:color w:val="1F2328"/>
          <w:sz w:val="21"/>
          <w:szCs w:val="21"/>
        </w:rPr>
        <w:t xml:space="preserve">Database: tutte le query usano parametri (nessuna concatenazione di testo proveniente dall'utente dentro le query SQL) — non ho trovato punti vulnerabili a SQL injection.</w:t>
      </w:r>
    </w:p>
    <w:p>
      <w:pPr>
        <w:pStyle w:val="ListParagraph"/>
        <w:numPr>
          <w:ilvl w:val="0"/>
          <w:numId w:val="2"/>
        </w:numPr>
        <w:spacing w:after="90" w:line="290"/>
      </w:pPr>
      <w:r>
        <w:rPr>
          <w:color w:val="1F2328"/>
          <w:sz w:val="21"/>
          <w:szCs w:val="21"/>
        </w:rPr>
        <w:t xml:space="preserve">Errori: un errore imprevisto del server risponde con un messaggio generico, mai con il dettaglio tecnico interno (niente informazioni utili a un attaccante).</w:t>
      </w:r>
    </w:p>
    <w:p>
      <w:pPr>
        <w:pStyle w:val="ListParagraph"/>
        <w:numPr>
          <w:ilvl w:val="0"/>
          <w:numId w:val="2"/>
        </w:numPr>
        <w:spacing w:after="90" w:line="290"/>
      </w:pPr>
      <w:r>
        <w:rPr>
          <w:color w:val="1F2328"/>
          <w:sz w:val="21"/>
          <w:szCs w:val="21"/>
        </w:rPr>
        <w:t xml:space="preserve">Caricamento video: solo per il personale, estensioni ammesse limitate, nome del file rigenerato in modo casuale, limite di dimensione rispettato durante il caricamento.</w:t>
      </w:r>
    </w:p>
    <w:p>
      <w:pPr>
        <w:pStyle w:val="Heading2"/>
        <w:spacing w:after="120" w:before="280"/>
      </w:pPr>
      <w:r>
        <w:rPr>
          <w:b/>
          <w:bCs/>
          <w:color w:val="1F2328"/>
          <w:sz w:val="24"/>
          <w:szCs w:val="24"/>
        </w:rPr>
        <w:t xml:space="preserve">Da correggere prima di pubblicare — priorità alta</w:t>
      </w: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2592"/>
        <w:gridCol w:w="4176"/>
        <w:gridCol w:w="2448"/>
      </w:tblGrid>
      <w:tr>
        <w:trPr>
          <w:tblHeader/>
        </w:trPr>
        <w:tc>
          <w:tcPr>
            <w:tcW w:type="dxa" w:w="2592"/>
            <w:shd w:fill="8A1B15" w:val="clear"/>
            <w:tcMar>
              <w:top w:type="dxa" w:w="90"/>
              <w:left w:type="dxa" w:w="120"/>
              <w:bottom w:type="dxa" w:w="90"/>
              <w:right w:type="dxa" w:w="120"/>
            </w:tcMar>
          </w:tcPr>
          <w:p>
            <w:r>
              <w:rPr>
                <w:b/>
                <w:bCs/>
                <w:color w:val="FFFFFF"/>
                <w:sz w:val="20"/>
                <w:szCs w:val="20"/>
              </w:rPr>
              <w:t xml:space="preserve">Punto</w:t>
            </w:r>
          </w:p>
        </w:tc>
        <w:tc>
          <w:tcPr>
            <w:tcW w:type="dxa" w:w="4176"/>
            <w:shd w:fill="8A1B15" w:val="clear"/>
            <w:tcMar>
              <w:top w:type="dxa" w:w="90"/>
              <w:left w:type="dxa" w:w="120"/>
              <w:bottom w:type="dxa" w:w="90"/>
              <w:right w:type="dxa" w:w="120"/>
            </w:tcMar>
          </w:tcPr>
          <w:p>
            <w:r>
              <w:rPr>
                <w:b/>
                <w:bCs/>
                <w:color w:val="FFFFFF"/>
                <w:sz w:val="20"/>
                <w:szCs w:val="20"/>
              </w:rPr>
              <w:t xml:space="preserve">Rischio</w:t>
            </w:r>
          </w:p>
        </w:tc>
        <w:tc>
          <w:tcPr>
            <w:tcW w:type="dxa" w:w="2448"/>
            <w:shd w:fill="8A1B15" w:val="clear"/>
            <w:tcMar>
              <w:top w:type="dxa" w:w="90"/>
              <w:left w:type="dxa" w:w="120"/>
              <w:bottom w:type="dxa" w:w="90"/>
              <w:right w:type="dxa" w:w="120"/>
            </w:tcMar>
          </w:tcPr>
          <w:p>
            <w:r>
              <w:rPr>
                <w:b/>
                <w:bCs/>
                <w:color w:val="FFFFFF"/>
                <w:sz w:val="20"/>
                <w:szCs w:val="20"/>
              </w:rPr>
              <w:t xml:space="preserve">Stato</w:t>
            </w:r>
          </w:p>
        </w:tc>
      </w:tr>
      <w:tr>
        <w:tc>
          <w:tcPr>
            <w:tcW w:type="dxa" w:w="2592"/>
            <w:tcMar>
              <w:top w:type="dxa" w:w="90"/>
              <w:left w:type="dxa" w:w="120"/>
              <w:bottom w:type="dxa" w:w="90"/>
              <w:right w:type="dxa" w:w="120"/>
            </w:tcMar>
          </w:tcPr>
          <w:p>
            <w:r>
              <w:rPr>
                <w:b w:val="false"/>
                <w:bCs w:val="false"/>
                <w:color w:val="1F2328"/>
                <w:sz w:val="20"/>
                <w:szCs w:val="20"/>
              </w:rPr>
              <w:t xml:space="preserve">Chiave segreta dei token (JWT)</w:t>
            </w:r>
          </w:p>
        </w:tc>
        <w:tc>
          <w:tcPr>
            <w:tcW w:type="dxa" w:w="4176"/>
            <w:tcMar>
              <w:top w:type="dxa" w:w="90"/>
              <w:left w:type="dxa" w:w="120"/>
              <w:bottom w:type="dxa" w:w="90"/>
              <w:right w:type="dxa" w:w="120"/>
            </w:tcMar>
          </w:tcPr>
          <w:p>
            <w:r>
              <w:rPr>
                <w:b w:val="false"/>
                <w:bCs w:val="false"/>
                <w:color w:val="1F2328"/>
                <w:sz w:val="20"/>
                <w:szCs w:val="20"/>
              </w:rPr>
              <w:t xml:space="preserve">Il file di configurazione attuale usa ancora il valore di esempio (letteralmente "cambiami-in-produzione"). Chiunque lo conoscesse potrebbe generare un token valido per qualsiasi utente, incluso admin.</w:t>
            </w:r>
          </w:p>
        </w:tc>
        <w:tc>
          <w:tcPr>
            <w:tcW w:type="dxa" w:w="2448"/>
            <w:tcMar>
              <w:top w:type="dxa" w:w="90"/>
              <w:left w:type="dxa" w:w="120"/>
              <w:bottom w:type="dxa" w:w="90"/>
              <w:right w:type="dxa" w:w="120"/>
            </w:tcMar>
          </w:tcPr>
          <w:p>
            <w:r>
              <w:rPr>
                <w:b w:val="false"/>
                <w:bCs w:val="false"/>
                <w:color w:val="1F2328"/>
                <w:sz w:val="20"/>
                <w:szCs w:val="20"/>
              </w:rPr>
              <w:t xml:space="preserve">Da fare prima di esporre il sito su internet: generare una chiave nuova e casuale (comando incluso nella guida di pubblicazione).</w:t>
            </w:r>
          </w:p>
        </w:tc>
      </w:tr>
      <w:tr>
        <w:tc>
          <w:tcPr>
            <w:tcW w:type="dxa" w:w="2592"/>
            <w:shd w:fill="F2F3F5" w:val="clear"/>
            <w:tcMar>
              <w:top w:type="dxa" w:w="90"/>
              <w:left w:type="dxa" w:w="120"/>
              <w:bottom w:type="dxa" w:w="90"/>
              <w:right w:type="dxa" w:w="120"/>
            </w:tcMar>
          </w:tcPr>
          <w:p>
            <w:r>
              <w:rPr>
                <w:b w:val="false"/>
                <w:bCs w:val="false"/>
                <w:color w:val="1F2328"/>
                <w:sz w:val="20"/>
                <w:szCs w:val="20"/>
              </w:rPr>
              <w:t xml:space="preserve">Origini ammesse (CORS)</w:t>
            </w:r>
          </w:p>
        </w:tc>
        <w:tc>
          <w:tcPr>
            <w:tcW w:type="dxa" w:w="4176"/>
            <w:shd w:fill="F2F3F5" w:val="clear"/>
            <w:tcMar>
              <w:top w:type="dxa" w:w="90"/>
              <w:left w:type="dxa" w:w="120"/>
              <w:bottom w:type="dxa" w:w="90"/>
              <w:right w:type="dxa" w:w="120"/>
            </w:tcMar>
          </w:tcPr>
          <w:p>
            <w:r>
              <w:rPr>
                <w:b w:val="false"/>
                <w:bCs w:val="false"/>
                <w:color w:val="1F2328"/>
                <w:sz w:val="20"/>
                <w:szCs w:val="20"/>
              </w:rPr>
              <w:t xml:space="preserve">L'API accettava richieste da qualunque sito web, non solo dal proprio dominio.</w:t>
            </w:r>
          </w:p>
        </w:tc>
        <w:tc>
          <w:tcPr>
            <w:tcW w:type="dxa" w:w="2448"/>
            <w:shd w:fill="F2F3F5" w:val="clear"/>
            <w:tcMar>
              <w:top w:type="dxa" w:w="90"/>
              <w:left w:type="dxa" w:w="120"/>
              <w:bottom w:type="dxa" w:w="90"/>
              <w:right w:type="dxa" w:w="120"/>
            </w:tcMar>
          </w:tcPr>
          <w:p>
            <w:r>
              <w:rPr>
                <w:b w:val="false"/>
                <w:bCs w:val="false"/>
                <w:color w:val="1F2328"/>
                <w:sz w:val="20"/>
                <w:szCs w:val="20"/>
              </w:rPr>
              <w:t xml:space="preserve">Corretto in questa sessione: ora si configura con una variabile (AC_CORS_ORIGINS) da impostare col dominio reale in produzione.</w:t>
            </w:r>
          </w:p>
        </w:tc>
      </w:tr>
    </w:tbl>
    <w:p>
      <w:pPr>
        <w:spacing w:after="200"/>
      </w:pPr>
      <w:r>
        <w:rPr>
          <w:i/>
          <w:iCs/>
          <w:color w:val="5B6472"/>
          <w:sz w:val="19"/>
          <w:szCs w:val="19"/>
        </w:rPr>
        <w:t xml:space="preserve">La chiave JWT non è un rischio finché il sito gira solo in rete locale, come oggi. Diventa un rischio reale nel momento in cui è raggiungibile da internet: va cambiata come primo passo della pubblicazione, non dopo.</w:t>
      </w:r>
    </w:p>
    <w:p>
      <w:pPr>
        <w:pStyle w:val="Heading2"/>
        <w:spacing w:after="120" w:before="280"/>
      </w:pPr>
      <w:r>
        <w:rPr>
          <w:b/>
          <w:bCs/>
          <w:color w:val="1F2328"/>
          <w:sz w:val="24"/>
          <w:szCs w:val="24"/>
        </w:rPr>
        <w:t xml:space="preserve">Da migliorare — priorità media, non bloccante</w:t>
      </w:r>
    </w:p>
    <w:p>
      <w:pPr>
        <w:pStyle w:val="ListParagraph"/>
        <w:numPr>
          <w:ilvl w:val="0"/>
          <w:numId w:val="2"/>
        </w:numPr>
        <w:spacing w:after="90" w:line="290"/>
      </w:pPr>
      <w:r>
        <w:rPr>
          <w:color w:val="1F2328"/>
          <w:sz w:val="21"/>
          <w:szCs w:val="21"/>
        </w:rPr>
        <w:t xml:space="preserve">Non c'è un limite al numero di tentativi di login sbagliati: oggi nulla impedisce a un attaccante di provare molte password di seguito sullo stesso account. Consiglio: bloccare l'account per qualche minuto dopo 5-6 tentativi falliti consecutivi.</w:t>
      </w:r>
    </w:p>
    <w:p>
      <w:pPr>
        <w:pStyle w:val="ListParagraph"/>
        <w:numPr>
          <w:ilvl w:val="0"/>
          <w:numId w:val="2"/>
        </w:numPr>
        <w:spacing w:after="90" w:line="290"/>
      </w:pPr>
      <w:r>
        <w:rPr>
          <w:color w:val="1F2328"/>
          <w:sz w:val="21"/>
          <w:szCs w:val="21"/>
        </w:rPr>
        <w:t xml:space="preserve">L'endpoint pubblico di stato (/api/salute) restituisce anche il numero totale di utenti registrati: informazione minore, ma non necessaria a chi non è autenticato.</w:t>
      </w:r>
    </w:p>
    <w:p>
      <w:pPr>
        <w:pStyle w:val="ListParagraph"/>
        <w:numPr>
          <w:ilvl w:val="0"/>
          <w:numId w:val="2"/>
        </w:numPr>
        <w:spacing w:after="90" w:line="290"/>
      </w:pPr>
      <w:r>
        <w:rPr>
          <w:color w:val="1F2328"/>
          <w:sz w:val="21"/>
          <w:szCs w:val="21"/>
        </w:rPr>
        <w:t xml:space="preserve">Dati di minori: la piattaforma tratta dati di allievi che possono avere 14 anni (patentino AM). Il GDPR richiede un'informativa privacy e, per gli under 14, il consenso di un genitore. Va predisposta prima della pubblicazione — è un adempimento legale, non tecnico: ve lo segnalo perché emerge dai controlli, ma per il testo esatto meglio un consulente privacy.</w:t>
      </w:r>
    </w:p>
    <w:p>
      <w:pPr>
        <w:pStyle w:val="Heading2"/>
        <w:spacing w:after="120" w:before="280"/>
      </w:pPr>
      <w:r>
        <w:rPr>
          <w:b/>
          <w:bCs/>
          <w:color w:val="1F2328"/>
          <w:sz w:val="24"/>
          <w:szCs w:val="24"/>
        </w:rPr>
        <w:t xml:space="preserve">Quante persone regge insieme</w:t>
      </w:r>
    </w:p>
    <w:p>
      <w:pPr>
        <w:spacing w:after="160" w:line="300"/>
      </w:pPr>
      <w:r>
        <w:rPr>
          <w:color w:val="1F2328"/>
          <w:sz w:val="21"/>
          <w:szCs w:val="21"/>
        </w:rPr>
        <w:t xml:space="preserve">Il database è SQLite in modalità WAL (Write-Ahead Logging): permette letture simultanee illimitate, mentre le scritture (una nuova risposta al quiz, un login) vengono messe in coda una alla volta. Per un'app dove la maggior parte del traffico è lettura (vedere quiz, statistiche, videocorsi) e le scritture sono piccole e veloci, questa configurazione regge comodamente qualche centinaio di persone connesse nello stesso momento su un server economico (2 vCPU, 4 GB di RAM). Il server è già impostato per usare 4 processi paralleli.</w:t>
      </w:r>
    </w:p>
    <w:p>
      <w:pPr>
        <w:spacing w:after="160" w:line="300"/>
      </w:pPr>
      <w:r>
        <w:rPr>
          <w:color w:val="1F2328"/>
          <w:sz w:val="21"/>
          <w:szCs w:val="21"/>
        </w:rPr>
        <w:t xml:space="preserve">Se in futuro il numero di autoscuole clienti crescesse molto (migliaia di allievi attivi in contemporanea, più server), il collo di bottiglia diventerebbe la scrittura seriale di SQLite: a quel punto la soluzione già prevista nel codice è passare a PostgreSQL, un cambio che riguarda solo un modulo isolato (non tutta l'applicazione) perché le query sono SQL standard. Per il lancio con La Centauro e le prime autoscuole clienti, non serve pensarci ora.</w:t>
      </w:r>
    </w:p>
    <w:p>
      <w:pPr>
        <w:pStyle w:val="Heading1"/>
        <w:pBdr>
          <w:bottom w:val="single" w:color="C0271E" w:sz="8" w:space="4"/>
        </w:pBdr>
        <w:spacing w:after="200" w:before="400"/>
      </w:pPr>
      <w:r>
        <w:rPr>
          <w:b/>
          <w:bCs/>
          <w:color w:val="8A1B15"/>
          <w:sz w:val="30"/>
          <w:szCs w:val="30"/>
        </w:rPr>
        <w:t xml:space="preserve">3. Da demo a sito pubblicato</w:t>
      </w:r>
    </w:p>
    <w:p>
      <w:pPr>
        <w:spacing w:after="160" w:line="300"/>
      </w:pPr>
      <w:r>
        <w:rPr>
          <w:color w:val="1F2328"/>
          <w:sz w:val="21"/>
          <w:szCs w:val="21"/>
        </w:rPr>
        <w:t xml:space="preserve">Oggi il sito gira sul PC di La Centauro ed è raggiungibile solo dalla stessa rete Wi-Fi (da qui il QR code e l'indirizzo locale alla schermata di avvio). Per renderlo un prodotto raggiungibile da qualunque dispositivo, con indirizzo internet e HTTPS, serve un server sempre acceso. Il progetto ha già tutto il necessario preparato nella cartella deploy/: Dockerfile, configurazione Caddy per il certificato HTTPS automatico, e un file di istruzioni (deploy/README.md).</w:t>
      </w:r>
    </w:p>
    <w:p>
      <w:pPr>
        <w:pStyle w:val="Heading2"/>
        <w:spacing w:after="120" w:before="280"/>
      </w:pPr>
      <w:r>
        <w:rPr>
          <w:b/>
          <w:bCs/>
          <w:color w:val="1F2328"/>
          <w:sz w:val="24"/>
          <w:szCs w:val="24"/>
        </w:rPr>
        <w:t xml:space="preserve">Percorso consigliato: server + Docker + Caddy</w:t>
      </w:r>
    </w:p>
    <w:p>
      <w:pPr>
        <w:spacing w:after="160" w:line="300"/>
      </w:pPr>
      <w:r>
        <w:rPr>
          <w:color w:val="1F2328"/>
          <w:sz w:val="21"/>
          <w:szCs w:val="21"/>
        </w:rPr>
        <w:t xml:space="preserve">È il più semplice da mantenere: un unico comando avvia sito, HTTPS automatico (si rinnova da solo, niente scadenze dimenticate) e backup notturno del database.</w:t>
      </w:r>
    </w:p>
    <w:p>
      <w:pPr>
        <w:pStyle w:val="ListParagraph"/>
        <w:numPr>
          <w:ilvl w:val="0"/>
          <w:numId w:val="2"/>
        </w:numPr>
        <w:spacing w:after="90" w:line="290"/>
      </w:pPr>
      <w:r>
        <w:rPr>
          <w:b w:val="false"/>
          <w:bCs w:val="false"/>
          <w:color w:val="1F2328"/>
          <w:sz w:val="21"/>
          <w:szCs w:val="21"/>
        </w:rPr>
        <w:t xml:space="preserve">Costo mensile: un server (VPS) da 2 vCPU / 4 GB — Hetzner, Contabo o Aruba — costa 5–12 €/mese. Un dominio .it costa 10–15 €/anno. Il certificato HTTPS è gratuito (Let's Encrypt).</w:t>
      </w:r>
    </w:p>
    <w:p>
      <w:pPr>
        <w:pStyle w:val="ListParagraph"/>
        <w:numPr>
          <w:ilvl w:val="0"/>
          <w:numId w:val="2"/>
        </w:numPr>
        <w:spacing w:after="90" w:line="290"/>
      </w:pPr>
      <w:r>
        <w:rPr>
          <w:color w:val="1F2328"/>
          <w:sz w:val="21"/>
          <w:szCs w:val="21"/>
        </w:rPr>
        <w:t xml:space="preserve">Passaggi: (1) acquistare il dominio e il server; (2) puntare il dominio all'indirizzo del server; (3) copiare il progetto sul server; (4) generare la chiave JWT nuova e le altre variabili in deploy/.env; (5) lanciare "docker compose up -d"; (6) verificare con /api/salute che risponda.</w:t>
      </w:r>
    </w:p>
    <w:p>
      <w:pPr>
        <w:pStyle w:val="ListParagraph"/>
        <w:numPr>
          <w:ilvl w:val="0"/>
          <w:numId w:val="2"/>
        </w:numPr>
        <w:spacing w:after="90" w:line="290"/>
      </w:pPr>
      <w:r>
        <w:rPr>
          <w:color w:val="1F2328"/>
          <w:sz w:val="21"/>
          <w:szCs w:val="21"/>
        </w:rPr>
        <w:t xml:space="preserve">Aggiornare il sito dopo, senza perdere dati: basta "git pull" seguito dal comando di ricostruzione — il database vive fuori dall'immagine, su un volume separato.</w:t>
      </w:r>
    </w:p>
    <w:p>
      <w:pPr>
        <w:pStyle w:val="Heading2"/>
        <w:spacing w:after="120" w:before="280"/>
      </w:pPr>
      <w:r>
        <w:rPr>
          <w:b/>
          <w:bCs/>
          <w:color w:val="1F2328"/>
          <w:sz w:val="24"/>
          <w:szCs w:val="24"/>
        </w:rPr>
        <w:t xml:space="preserve">Checklist prima di andare online</w:t>
      </w: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4752"/>
        <w:gridCol w:w="4464"/>
      </w:tblGrid>
      <w:tr>
        <w:trPr>
          <w:tblHeader/>
        </w:trPr>
        <w:tc>
          <w:tcPr>
            <w:tcW w:type="dxa" w:w="4752"/>
            <w:shd w:fill="8A1B15" w:val="clear"/>
            <w:tcMar>
              <w:top w:type="dxa" w:w="90"/>
              <w:left w:type="dxa" w:w="120"/>
              <w:bottom w:type="dxa" w:w="90"/>
              <w:right w:type="dxa" w:w="120"/>
            </w:tcMar>
          </w:tcPr>
          <w:p>
            <w:r>
              <w:rPr>
                <w:b/>
                <w:bCs/>
                <w:color w:val="FFFFFF"/>
                <w:sz w:val="20"/>
                <w:szCs w:val="20"/>
              </w:rPr>
              <w:t xml:space="preserve">Da fare</w:t>
            </w:r>
          </w:p>
        </w:tc>
        <w:tc>
          <w:tcPr>
            <w:tcW w:type="dxa" w:w="4464"/>
            <w:shd w:fill="8A1B15" w:val="clear"/>
            <w:tcMar>
              <w:top w:type="dxa" w:w="90"/>
              <w:left w:type="dxa" w:w="120"/>
              <w:bottom w:type="dxa" w:w="90"/>
              <w:right w:type="dxa" w:w="120"/>
            </w:tcMar>
          </w:tcPr>
          <w:p>
            <w:r>
              <w:rPr>
                <w:b/>
                <w:bCs/>
                <w:color w:val="FFFFFF"/>
                <w:sz w:val="20"/>
                <w:szCs w:val="20"/>
              </w:rPr>
              <w:t xml:space="preserve">Perché</w:t>
            </w:r>
          </w:p>
        </w:tc>
      </w:tr>
      <w:tr>
        <w:tc>
          <w:tcPr>
            <w:tcW w:type="dxa" w:w="4752"/>
            <w:tcMar>
              <w:top w:type="dxa" w:w="90"/>
              <w:left w:type="dxa" w:w="120"/>
              <w:bottom w:type="dxa" w:w="90"/>
              <w:right w:type="dxa" w:w="120"/>
            </w:tcMar>
          </w:tcPr>
          <w:p>
            <w:r>
              <w:rPr>
                <w:b w:val="false"/>
                <w:bCs w:val="false"/>
                <w:color w:val="1F2328"/>
                <w:sz w:val="20"/>
                <w:szCs w:val="20"/>
              </w:rPr>
              <w:t xml:space="preserve">Generare una nuova chiave AC_JWT_SECRET casuale</w:t>
            </w:r>
          </w:p>
        </w:tc>
        <w:tc>
          <w:tcPr>
            <w:tcW w:type="dxa" w:w="4464"/>
            <w:tcMar>
              <w:top w:type="dxa" w:w="90"/>
              <w:left w:type="dxa" w:w="120"/>
              <w:bottom w:type="dxa" w:w="90"/>
              <w:right w:type="dxa" w:w="120"/>
            </w:tcMar>
          </w:tcPr>
          <w:p>
            <w:r>
              <w:rPr>
                <w:b w:val="false"/>
                <w:bCs w:val="false"/>
                <w:color w:val="1F2328"/>
                <w:sz w:val="20"/>
                <w:szCs w:val="20"/>
              </w:rPr>
              <w:t xml:space="preserve">Il valore attuale è quello di esempio, pubblico</w:t>
            </w:r>
          </w:p>
        </w:tc>
      </w:tr>
      <w:tr>
        <w:tc>
          <w:tcPr>
            <w:tcW w:type="dxa" w:w="4752"/>
            <w:shd w:fill="F2F3F5" w:val="clear"/>
            <w:tcMar>
              <w:top w:type="dxa" w:w="90"/>
              <w:left w:type="dxa" w:w="120"/>
              <w:bottom w:type="dxa" w:w="90"/>
              <w:right w:type="dxa" w:w="120"/>
            </w:tcMar>
          </w:tcPr>
          <w:p>
            <w:r>
              <w:rPr>
                <w:b w:val="false"/>
                <w:bCs w:val="false"/>
                <w:color w:val="1F2328"/>
                <w:sz w:val="20"/>
                <w:szCs w:val="20"/>
              </w:rPr>
              <w:t xml:space="preserve">Impostare AC_CORS_ORIGINS sul dominio reale</w:t>
            </w:r>
          </w:p>
        </w:tc>
        <w:tc>
          <w:tcPr>
            <w:tcW w:type="dxa" w:w="4464"/>
            <w:shd w:fill="F2F3F5" w:val="clear"/>
            <w:tcMar>
              <w:top w:type="dxa" w:w="90"/>
              <w:left w:type="dxa" w:w="120"/>
              <w:bottom w:type="dxa" w:w="90"/>
              <w:right w:type="dxa" w:w="120"/>
            </w:tcMar>
          </w:tcPr>
          <w:p>
            <w:r>
              <w:rPr>
                <w:b w:val="false"/>
                <w:bCs w:val="false"/>
                <w:color w:val="1F2328"/>
                <w:sz w:val="20"/>
                <w:szCs w:val="20"/>
              </w:rPr>
              <w:t xml:space="preserve">Oggi accetta richieste da qualunque sito</w:t>
            </w:r>
          </w:p>
        </w:tc>
      </w:tr>
      <w:tr>
        <w:tc>
          <w:tcPr>
            <w:tcW w:type="dxa" w:w="4752"/>
            <w:tcMar>
              <w:top w:type="dxa" w:w="90"/>
              <w:left w:type="dxa" w:w="120"/>
              <w:bottom w:type="dxa" w:w="90"/>
              <w:right w:type="dxa" w:w="120"/>
            </w:tcMar>
          </w:tcPr>
          <w:p>
            <w:r>
              <w:rPr>
                <w:b w:val="false"/>
                <w:bCs w:val="false"/>
                <w:color w:val="1F2328"/>
                <w:sz w:val="20"/>
                <w:szCs w:val="20"/>
              </w:rPr>
              <w:t xml:space="preserve">Disattivare o cambiare password gli utenti demo (marco@demo…)</w:t>
            </w:r>
          </w:p>
        </w:tc>
        <w:tc>
          <w:tcPr>
            <w:tcW w:type="dxa" w:w="4464"/>
            <w:tcMar>
              <w:top w:type="dxa" w:w="90"/>
              <w:left w:type="dxa" w:w="120"/>
              <w:bottom w:type="dxa" w:w="90"/>
              <w:right w:type="dxa" w:w="120"/>
            </w:tcMar>
          </w:tcPr>
          <w:p>
            <w:r>
              <w:rPr>
                <w:b w:val="false"/>
                <w:bCs w:val="false"/>
                <w:color w:val="1F2328"/>
                <w:sz w:val="20"/>
                <w:szCs w:val="20"/>
              </w:rPr>
              <w:t xml:space="preserve">Sono account con password nota, usati per le prove</w:t>
            </w:r>
          </w:p>
        </w:tc>
      </w:tr>
      <w:tr>
        <w:tc>
          <w:tcPr>
            <w:tcW w:type="dxa" w:w="4752"/>
            <w:shd w:fill="F2F3F5" w:val="clear"/>
            <w:tcMar>
              <w:top w:type="dxa" w:w="90"/>
              <w:left w:type="dxa" w:w="120"/>
              <w:bottom w:type="dxa" w:w="90"/>
              <w:right w:type="dxa" w:w="120"/>
            </w:tcMar>
          </w:tcPr>
          <w:p>
            <w:r>
              <w:rPr>
                <w:b w:val="false"/>
                <w:bCs w:val="false"/>
                <w:color w:val="1F2328"/>
                <w:sz w:val="20"/>
                <w:szCs w:val="20"/>
              </w:rPr>
              <w:t xml:space="preserve">Verificare HTTPS attivo e redirect da HTTP</w:t>
            </w:r>
          </w:p>
        </w:tc>
        <w:tc>
          <w:tcPr>
            <w:tcW w:type="dxa" w:w="4464"/>
            <w:shd w:fill="F2F3F5" w:val="clear"/>
            <w:tcMar>
              <w:top w:type="dxa" w:w="90"/>
              <w:left w:type="dxa" w:w="120"/>
              <w:bottom w:type="dxa" w:w="90"/>
              <w:right w:type="dxa" w:w="120"/>
            </w:tcMar>
          </w:tcPr>
          <w:p>
            <w:r>
              <w:rPr>
                <w:b w:val="false"/>
                <w:bCs w:val="false"/>
                <w:color w:val="1F2328"/>
                <w:sz w:val="20"/>
                <w:szCs w:val="20"/>
              </w:rPr>
              <w:t xml:space="preserve">Senza HTTPS valido i telefoni non installano la PWA</w:t>
            </w:r>
          </w:p>
        </w:tc>
      </w:tr>
      <w:tr>
        <w:tc>
          <w:tcPr>
            <w:tcW w:type="dxa" w:w="4752"/>
            <w:tcMar>
              <w:top w:type="dxa" w:w="90"/>
              <w:left w:type="dxa" w:w="120"/>
              <w:bottom w:type="dxa" w:w="90"/>
              <w:right w:type="dxa" w:w="120"/>
            </w:tcMar>
          </w:tcPr>
          <w:p>
            <w:r>
              <w:rPr>
                <w:b w:val="false"/>
                <w:bCs w:val="false"/>
                <w:color w:val="1F2328"/>
                <w:sz w:val="20"/>
                <w:szCs w:val="20"/>
              </w:rPr>
              <w:t xml:space="preserve">Provare un ripristino di backup almeno una volta</w:t>
            </w:r>
          </w:p>
        </w:tc>
        <w:tc>
          <w:tcPr>
            <w:tcW w:type="dxa" w:w="4464"/>
            <w:tcMar>
              <w:top w:type="dxa" w:w="90"/>
              <w:left w:type="dxa" w:w="120"/>
              <w:bottom w:type="dxa" w:w="90"/>
              <w:right w:type="dxa" w:w="120"/>
            </w:tcMar>
          </w:tcPr>
          <w:p>
            <w:r>
              <w:rPr>
                <w:b w:val="false"/>
                <w:bCs w:val="false"/>
                <w:color w:val="1F2328"/>
                <w:sz w:val="20"/>
                <w:szCs w:val="20"/>
              </w:rPr>
              <w:t xml:space="preserve">Un backup mai testato equivale a non avere backup</w:t>
            </w:r>
          </w:p>
        </w:tc>
      </w:tr>
      <w:tr>
        <w:tc>
          <w:tcPr>
            <w:tcW w:type="dxa" w:w="4752"/>
            <w:shd w:fill="F2F3F5" w:val="clear"/>
            <w:tcMar>
              <w:top w:type="dxa" w:w="90"/>
              <w:left w:type="dxa" w:w="120"/>
              <w:bottom w:type="dxa" w:w="90"/>
              <w:right w:type="dxa" w:w="120"/>
            </w:tcMar>
          </w:tcPr>
          <w:p>
            <w:r>
              <w:rPr>
                <w:b w:val="false"/>
                <w:bCs w:val="false"/>
                <w:color w:val="1F2328"/>
                <w:sz w:val="20"/>
                <w:szCs w:val="20"/>
              </w:rPr>
              <w:t xml:space="preserve">Predisporre informativa privacy (dati di minori)</w:t>
            </w:r>
          </w:p>
        </w:tc>
        <w:tc>
          <w:tcPr>
            <w:tcW w:type="dxa" w:w="4464"/>
            <w:shd w:fill="F2F3F5" w:val="clear"/>
            <w:tcMar>
              <w:top w:type="dxa" w:w="90"/>
              <w:left w:type="dxa" w:w="120"/>
              <w:bottom w:type="dxa" w:w="90"/>
              <w:right w:type="dxa" w:w="120"/>
            </w:tcMar>
          </w:tcPr>
          <w:p>
            <w:r>
              <w:rPr>
                <w:b w:val="false"/>
                <w:bCs w:val="false"/>
                <w:color w:val="1F2328"/>
                <w:sz w:val="20"/>
                <w:szCs w:val="20"/>
              </w:rPr>
              <w:t xml:space="preserve">Obbligo di legge, non tecnico</w:t>
            </w:r>
          </w:p>
        </w:tc>
      </w:tr>
    </w:tbl>
    <w:p>
      <w:pPr>
        <w:pStyle w:val="Heading2"/>
        <w:spacing w:after="120" w:before="280"/>
      </w:pPr>
      <w:r>
        <w:rPr>
          <w:b/>
          <w:bCs/>
          <w:color w:val="1F2328"/>
          <w:sz w:val="24"/>
          <w:szCs w:val="24"/>
        </w:rPr>
        <w:t xml:space="preserve">Alternative più veloci per una prima prova pubblica</w:t>
      </w:r>
    </w:p>
    <w:p>
      <w:pPr>
        <w:spacing w:after="160" w:line="300"/>
      </w:pPr>
      <w:r>
        <w:rPr>
          <w:color w:val="1F2328"/>
          <w:sz w:val="21"/>
          <w:szCs w:val="21"/>
        </w:rPr>
        <w:t xml:space="preserve">Se prima della consegna serve solo far vedere il sito online per qualche giorno (non ancora il lancio definitivo), piattaforme come Railway o Fly.io permettono di pubblicare il Dockerfile già pronto in pochi minuti, senza gestire un server. Attenzione però: su queste piattaforme il database SQLite va collegato a un volume persistente esplicito, altrimenti i progressi degli allievi si perdono a ogni riavvio — il dettaglio è già documentato in deploy/README.md con la piattaforma giusta per ciascun caso.</w:t>
      </w:r>
    </w:p>
    <w:p>
      <w:pPr>
        <w:pBdr>
          <w:bottom w:val="single" w:color="D8DCE1" w:sz="4" w:space="1"/>
        </w:pBdr>
        <w:spacing w:after="120" w:before="120"/>
      </w:pPr>
    </w:p>
    <w:p>
      <w:pPr>
        <w:spacing w:after="160" w:line="300"/>
      </w:pPr>
      <w:r>
        <w:rPr>
          <w:i/>
          <w:iCs/>
          <w:color w:val="5B6472"/>
          <w:sz w:val="19"/>
          <w:szCs w:val="19"/>
        </w:rPr>
        <w:t xml:space="preserve">Guida completa, comandi esatti e risoluzione dei problemi più comuni: file deploy/README.md nel progetto.</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Pagina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Autoscuola La Centauro — Cruscotto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2026-08-11T08:42:13.431Z</dcterms:created>
  <dcterms:modified xsi:type="dcterms:W3CDTF">2026-08-11T08:42:13.432Z</dcterms:modified>
</cp:coreProperties>
</file>

<file path=docProps/custom.xml><?xml version="1.0" encoding="utf-8"?>
<Properties xmlns="http://schemas.openxmlformats.org/officeDocument/2006/custom-properties" xmlns:vt="http://schemas.openxmlformats.org/officeDocument/2006/docPropsVTypes"/>
</file>