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5496"/>
          <w:sz w:val="20"/>
          <w:szCs w:val="20"/>
        </w:rPr>
        <w:t xml:space="preserve">LAUDEREM · Brief de artículo · Categoría Puzzles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Cluster de origen SEO: Puzzles por número de piezas (macro-idea, consolidado — 13 microclusters)</w:t>
      </w:r>
    </w:p>
    <w:p>
      <w:pPr>
        <w:pStyle w:val="Heading1"/>
        <w:spacing w:after="120" w:before="200"/>
      </w:pPr>
      <w:r>
        <w:t xml:space="preserve">Guía de puzzles por número de piezas: cuál elegir según la edad</w:t>
      </w:r>
    </w:p>
    <w:p>
      <w:pPr>
        <w:pStyle w:val="Heading2"/>
        <w:spacing w:after="100" w:before="280"/>
      </w:pPr>
      <w:r>
        <w:t xml:space="preserve">1. Ficha SEO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Título SEO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Puzzle: ¿Cuántas Piezas Elegir Según la Edad? Guía Completa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H1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Guía de puzzles por número de piezas: cuál elegir según la edad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Guía para elegir el número de piezas de un puzzle según la edad: de 2 a 6.000 piezas. Tabla comparativa y recomendaciones por rango.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sugerida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/puzzles/numero-de-piezas-guia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 principal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piezas según edad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Keywords secundarias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puzzle 500 piezas, puzzle 2000 piezas, puzzle 3000 piezas, cuantas piezas puzzle niños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2. Datos del cluster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6911"/>
      </w:tblGrid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Volumen total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26.900 búsq./mes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Nº de keywords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220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Intención de búsqueda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Informacional + comercial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Formato sugerido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Guía con tabla comparativa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48"/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¿Mayoritariamente long tail?</w:t>
            </w:r>
          </w:p>
        </w:tc>
        <w:tc>
          <w:tcPr>
            <w:tcW w:type="dxa" w:w="6911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100"/>
      </w:pPr>
    </w:p>
    <w:p>
      <w:pPr>
        <w:pStyle w:val="Heading2"/>
        <w:spacing w:after="100" w:before="280"/>
      </w:pPr>
      <w:r>
        <w:t xml:space="preserve">3. Estructura sugerida (H2 / H3)</w:t>
      </w:r>
    </w:p>
    <w:p>
      <w:pPr>
        <w:spacing w:after="120"/>
      </w:pPr>
      <w:r>
        <w:rPr>
          <w:b/>
          <w:bCs/>
        </w:rPr>
        <w:t xml:space="preserve">Introducción</w:t>
      </w:r>
    </w:p>
    <w:p>
      <w:pPr>
        <w:spacing w:after="120"/>
      </w:pPr>
      <w:r>
        <w:t xml:space="preserve">Presentar la tabla comparativa piezas↔edad como gancho principal (buen candidato a featured snippet). Dejar claro desde el inicio que el artículo de 1000 piezas tiene su propia guía dedicada (enlazar).</w:t>
      </w:r>
    </w:p>
    <w:p>
      <w:pPr>
        <w:pStyle w:val="Heading3"/>
        <w:spacing w:after="60" w:before="160"/>
      </w:pPr>
      <w:r>
        <w:t xml:space="preserve">Tabla: piezas recomendadas según la edad</w:t>
      </w:r>
      <w:r>
        <w:t xml:space="preserve"/>
      </w:r>
    </w:p>
    <w:p>
      <w:pPr>
        <w:spacing w:after="120"/>
      </w:pPr>
      <w:r>
        <w:t xml:space="preserve">De 2-12 piezas (bebés 1-3 años) a 5.000-6.000 piezas (adultos expertos). Cubre el long tail de piezas bajas (2, 3, 4, 5, 6, 7, 8, 9, 10, 12 piezas ≈ 1.700 vol combinado) que corresponde a primera infancia.</w:t>
      </w:r>
    </w:p>
    <w:p>
      <w:pPr>
        <w:pStyle w:val="Heading3"/>
        <w:spacing w:after="60" w:before="160"/>
      </w:pPr>
      <w:r>
        <w:t xml:space="preserve">Puzzles de 500 piezas</w:t>
      </w:r>
      <w:r>
        <w:rPr>
          <w:i/>
          <w:iCs/>
          <w:color w:val="595959"/>
          <w:sz w:val="20"/>
          <w:szCs w:val="20"/>
        </w:rPr>
        <w:t xml:space="preserve">  (6150 búsq./mes)</w:t>
      </w:r>
    </w:p>
    <w:p>
      <w:pPr>
        <w:pStyle w:val="Heading3"/>
        <w:spacing w:after="60" w:before="160"/>
      </w:pPr>
      <w:r>
        <w:t xml:space="preserve">Puzzles de 1000 piezas</w:t>
      </w:r>
      <w:r>
        <w:rPr>
          <w:i/>
          <w:iCs/>
          <w:color w:val="595959"/>
          <w:sz w:val="20"/>
          <w:szCs w:val="20"/>
        </w:rPr>
        <w:t xml:space="preserve">  (15.550 búsq./mes)</w:t>
      </w:r>
    </w:p>
    <w:p>
      <w:pPr>
        <w:spacing w:after="120"/>
      </w:pPr>
      <w:r>
        <w:t xml:space="preserve">NO desarrollar aquí: solo 2-3 líneas + enlace al artículo dedicado (evitar canibalización / contenido duplicado).</w:t>
      </w:r>
    </w:p>
    <w:p>
      <w:pPr>
        <w:pStyle w:val="Heading3"/>
        <w:spacing w:after="60" w:before="160"/>
      </w:pPr>
      <w:r>
        <w:t xml:space="preserve">Puzzles de 2000 y 3000 piezas</w:t>
      </w:r>
      <w:r>
        <w:rPr>
          <w:i/>
          <w:iCs/>
          <w:color w:val="595959"/>
          <w:sz w:val="20"/>
          <w:szCs w:val="20"/>
        </w:rPr>
        <w:t xml:space="preserve">  (12.000 búsq./mes)</w:t>
      </w:r>
    </w:p>
    <w:p>
      <w:pPr>
        <w:spacing w:after="120"/>
      </w:pPr>
      <w:r>
        <w:t xml:space="preserve">Agrupados por volumen similar (6.050 y 5.950).</w:t>
      </w:r>
    </w:p>
    <w:p>
      <w:pPr>
        <w:pStyle w:val="Heading3"/>
        <w:spacing w:after="60" w:before="160"/>
      </w:pPr>
      <w:r>
        <w:t xml:space="preserve">Puzzles de 1500 y 5000 piezas</w:t>
      </w:r>
      <w:r>
        <w:rPr>
          <w:i/>
          <w:iCs/>
          <w:color w:val="595959"/>
          <w:sz w:val="20"/>
          <w:szCs w:val="20"/>
        </w:rPr>
        <w:t xml:space="preserve">  (3650 búsq./mes)</w:t>
      </w:r>
    </w:p>
    <w:p>
      <w:pPr>
        <w:pStyle w:val="Heading3"/>
        <w:spacing w:after="60" w:before="160"/>
      </w:pPr>
      <w:r>
        <w:t xml:space="preserve">Otros formatos: 100, 200, 300, 4.000 y 6.000 piezas</w:t>
      </w:r>
      <w:r>
        <w:rPr>
          <w:i/>
          <w:iCs/>
          <w:color w:val="595959"/>
          <w:sz w:val="20"/>
          <w:szCs w:val="20"/>
        </w:rPr>
        <w:t xml:space="preserve">  (3850 búsq./mes)</w:t>
      </w:r>
    </w:p>
    <w:p>
      <w:pPr>
        <w:spacing w:after="120"/>
      </w:pPr>
      <w:r>
        <w:t xml:space="preserve">Tabla resumen breve, sin desarrollo individual.</w:t>
      </w:r>
    </w:p>
    <w:p>
      <w:pPr>
        <w:pStyle w:val="Heading3"/>
        <w:spacing w:after="60" w:before="160"/>
      </w:pPr>
      <w:r>
        <w:t xml:space="preserve">Puzzles de pocas piezas para bebés y primera infancia</w:t>
      </w:r>
      <w:r>
        <w:rPr>
          <w:i/>
          <w:iCs/>
          <w:color w:val="595959"/>
          <w:sz w:val="20"/>
          <w:szCs w:val="20"/>
        </w:rPr>
        <w:t xml:space="preserve">  (1700 búsq./mes)</w:t>
      </w:r>
    </w:p>
    <w:p>
      <w:pPr>
        <w:spacing w:after="120"/>
      </w:pPr>
      <w:r>
        <w:t xml:space="preserve">Cubre el rango 2-24 piezas. Ángulo perfecto para la arquitectura por edades de Lauderem aunque no tenga artículo propio.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4. Afiliación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 producto destacado por rango de piezas grande (500, 2000, 3000); el resto en tabla comparativa ligera.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Placeholders ASIN por cada rango destacado: [PENDIENTE DE COMPLETAR — ASIN 500 piezas], etc.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5. Enlazado interno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artículo dedicado "Puzzles de 1000 piezas" (no reescribir ese contenido aquí).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pilar de la categoría.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"Puzzles de madera" y "Puzzles personalizados" cuando el rango de piezas coincida con productos de esos artículos.</w:t>
      </w:r>
    </w:p>
    <w:p>
      <w:pPr>
        <w:spacing w:after="100"/>
      </w:pPr>
    </w:p>
    <w:p>
      <w:pPr>
        <w:pStyle w:val="Heading2"/>
        <w:spacing w:after="100" w:before="280"/>
      </w:pPr>
      <w:r>
        <w:t xml:space="preserve">6. Notas y alertas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8CBAD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⚠ Alerta</w:t>
            </w:r>
          </w:p>
          <w:p>
            <w:r>
              <w:t xml:space="preserve">CANIBALIZACIÓN: NO crear artículos individuales por cada rango de piezas (500, 2000, 3000...) — todo va en esta guía única, salvo 1000 piezas que sí tiene pieza propia por su volumen. Excluidos los rangos irreales (10.000 / 24.000 / 42.000 piezas) del CSV original.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Volumen más alto de todo el set de propuestas (26.900) — prioridad de producción máxima.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2026-08-05T20:13:12.781Z</dcterms:created>
  <dcterms:modified xsi:type="dcterms:W3CDTF">2026-08-05T20:13:12.781Z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