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por marca / fabricante / Educa</w:t>
      </w:r>
    </w:p>
    <w:p>
      <w:pPr>
        <w:pStyle w:val="Heading1"/>
        <w:spacing w:after="120" w:before="200"/>
      </w:pPr>
      <w:r>
        <w:t xml:space="preserve">Puzzles Educa: catálogo y mejores modelos para regalar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Educa: Catálogo y Mejores Modelos 2026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Educa: catálogo y mejores modelos para regalar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de puzzles Educa: los mejores modelos por número de piezas y novedades. Guía de compra de la marca líder en España.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/puzzles/marcas/educa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educa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educa 1000 piezas, puzzles educa 2000 piezas, puzzle educa 3000 piezas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10.600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 (marca)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por marca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Breve presentación de la marca (líder en España) antes del listado.</w:t>
      </w:r>
    </w:p>
    <w:p>
      <w:pPr>
        <w:pStyle w:val="Heading3"/>
        <w:spacing w:after="60" w:before="160"/>
      </w:pPr>
      <w:r>
        <w:t xml:space="preserve">Los mejores puzzles Educa</w:t>
      </w:r>
      <w:r>
        <w:rPr>
          <w:i/>
          <w:iCs/>
          <w:color w:val="595959"/>
          <w:sz w:val="20"/>
          <w:szCs w:val="20"/>
        </w:rPr>
        <w:t xml:space="preserve">  (5000 búsq./mes)</w:t>
      </w:r>
    </w:p>
    <w:p>
      <w:pPr>
        <w:spacing w:after="120"/>
      </w:pPr>
      <w:r>
        <w:t xml:space="preserve">Cabecera de marca — listado general destacado.</w:t>
      </w:r>
    </w:p>
    <w:p>
      <w:pPr>
        <w:pStyle w:val="Heading3"/>
        <w:spacing w:after="60" w:before="160"/>
      </w:pPr>
      <w:r>
        <w:t xml:space="preserve">Puzzles Educa por número de piezas</w:t>
      </w:r>
      <w:r>
        <w:rPr>
          <w:i/>
          <w:iCs/>
          <w:color w:val="595959"/>
          <w:sz w:val="20"/>
          <w:szCs w:val="20"/>
        </w:rPr>
        <w:t xml:space="preserve">  (4000 búsq./mes)</w:t>
      </w:r>
    </w:p>
    <w:p>
      <w:pPr>
        <w:spacing w:after="120"/>
      </w:pPr>
      <w:r>
        <w:t xml:space="preserve">500, 1000, 1500, 2000, 3000, 4000, 5000, 6000 piezas — todos a 500 vol cada uno, tabla comparativa por rango con producto recomendado.</w:t>
      </w:r>
    </w:p>
    <w:p>
      <w:pPr>
        <w:pStyle w:val="Heading3"/>
        <w:spacing w:after="60" w:before="160"/>
      </w:pPr>
      <w:r>
        <w:t xml:space="preserve">¿Te faltan piezas de tu puzzle Educa? Cómo pedirlas</w:t>
      </w:r>
      <w:r>
        <w:rPr>
          <w:i/>
          <w:iCs/>
          <w:color w:val="595959"/>
          <w:sz w:val="20"/>
          <w:szCs w:val="20"/>
        </w:rPr>
        <w:t xml:space="preserve">  (250 búsq./mes)</w:t>
      </w:r>
    </w:p>
    <w:p>
      <w:pPr>
        <w:spacing w:after="120"/>
      </w:pPr>
      <w:r>
        <w:t xml:space="preserve">Cubre "educa piezas perdidas", "pedir pieza puzzle educa", "educa borras piezas perdidas". INTENCIÓN DE SOPORTE, no de compra — sin afiliación, enlazar al servicio oficial de Educa (Educaborras).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general + tabla con 1 producto por rango de piezas.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apartado de "piezas perdidas" NO lleva enlaces de afiliado — es contenido de servicio, enlaza a la web oficial de Educa.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Placeholder: [PENDIENTE DE COMPLETAR — ASIN destacado Educa].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"Puzzles personalizados con foto" (bloque de marcas) y desde la guía de "número de piezas".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Alerta</w:t>
            </w:r>
          </w:p>
          <w:p>
            <w:r>
              <w:t xml:space="preserve">Detectados dos valores de volumen irreales dentro del long tail de esta marca: "puzzle educa 24000" y "puzzle educa 42000 piezas" (50 vol cada uno). Verificar si son errores de tipeo, códigos de producto mal interpretados como piezas, o un producto real de edición especial antes de mencionarlos.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Marca líder en volumen dentro de "por marca/fabricante" — prioridad de producción alta.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2026-08-05T20:13:12.972Z</dcterms:created>
  <dcterms:modified xsi:type="dcterms:W3CDTF">2026-08-05T20:13:12.972Z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