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de arte, paisajes y monumentos (7 microclusters seleccionados, reencuadrado a Media-Alta)</w:t>
      </w:r>
    </w:p>
    <w:p>
      <w:pPr>
        <w:pStyle w:val="Heading1"/>
        <w:spacing w:after="120" w:before="200"/>
      </w:pPr>
      <w:r>
        <w:t xml:space="preserve">Puzzles de mapas y monumentos para aprender geografía en familia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de Mapas y Monumentos para Niños y Familia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de mapas y monumentos para aprender geografía en familia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de mapamundi, monumentos y obras de arte para aprender geografía en familia. Guía y selección de los mejores modelos.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/puzzles/mapas-y-monumentos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mapa del mundo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mapamundi, puzzle torre eiffel, puzzle guernica, puzzle paisaje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9800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Informacional + comercial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Guía + listado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(tras reencuadre; el cluster original es de público mayoritariamente adulto/decoración)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IMPORTANTE: reencuadrar explícitamente hacia el público infantil/familiar desde el titular y la intro — el cluster original está pensado para decoración de interiores de adultos. Usar ángulos como "aprender geografía jugando" o "actividad en familia" en vez de "para tu salón".</w:t>
      </w:r>
    </w:p>
    <w:p>
      <w:pPr>
        <w:pStyle w:val="Heading3"/>
        <w:spacing w:after="60" w:before="160"/>
      </w:pPr>
      <w:r>
        <w:t xml:space="preserve">Puzzles de mapamundi para aprender geografía</w:t>
      </w:r>
      <w:r>
        <w:rPr>
          <w:i/>
          <w:iCs/>
          <w:color w:val="595959"/>
          <w:sz w:val="20"/>
          <w:szCs w:val="20"/>
        </w:rPr>
        <w:t xml:space="preserve">  (2050 búsq./mes)</w:t>
      </w:r>
    </w:p>
    <w:p>
      <w:pPr>
        <w:spacing w:after="120"/>
      </w:pPr>
      <w:r>
        <w:t xml:space="preserve">Bloque ancla: enmarcar como recurso educativo, no decorativo.</w:t>
      </w:r>
    </w:p>
    <w:p>
      <w:pPr>
        <w:pStyle w:val="Heading3"/>
        <w:spacing w:after="60" w:before="160"/>
      </w:pPr>
      <w:r>
        <w:t xml:space="preserve">Puzzles de paisajes y naturaleza</w:t>
      </w:r>
      <w:r>
        <w:rPr>
          <w:i/>
          <w:iCs/>
          <w:color w:val="595959"/>
          <w:sz w:val="20"/>
          <w:szCs w:val="20"/>
        </w:rPr>
        <w:t xml:space="preserve">  (1500 búsq./mes)</w:t>
      </w:r>
    </w:p>
    <w:p>
      <w:pPr>
        <w:pStyle w:val="Heading3"/>
        <w:spacing w:after="60" w:before="160"/>
      </w:pPr>
      <w:r>
        <w:t xml:space="preserve">Puzzles de monumentos: Torre Eiffel y Capilla Sixtina</w:t>
      </w:r>
      <w:r>
        <w:rPr>
          <w:i/>
          <w:iCs/>
          <w:color w:val="595959"/>
          <w:sz w:val="20"/>
          <w:szCs w:val="20"/>
        </w:rPr>
        <w:t xml:space="preserve">  (1650 búsq./mes)</w:t>
      </w:r>
    </w:p>
    <w:p>
      <w:pPr>
        <w:pStyle w:val="Heading3"/>
        <w:spacing w:after="60" w:before="160"/>
      </w:pPr>
      <w:r>
        <w:t xml:space="preserve">Puzzles de obras de arte famosas: Guernica y La noche estrellada</w:t>
      </w:r>
      <w:r>
        <w:rPr>
          <w:i/>
          <w:iCs/>
          <w:color w:val="595959"/>
          <w:sz w:val="20"/>
          <w:szCs w:val="20"/>
        </w:rPr>
        <w:t xml:space="preserve">  (2300 búsq./mes)</w:t>
      </w:r>
    </w:p>
    <w:p>
      <w:pPr>
        <w:spacing w:after="120"/>
      </w:pPr>
      <w:r>
        <w:t xml:space="preserve">Buen ángulo "arte para niños" — introducir brevemente al artista/obra antes del producto.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destacado por bloque (mapamundi, paisajes, monumentos, arte).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Placeholders: [PENDIENTE DE COMPLETAR — ASIN mapamundi], etc.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"Puzzles educativos" (contenido afín).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pilar de la categoría.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CBA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⚠ Alerta</w:t>
            </w:r>
          </w:p>
          <w:p>
            <w:r>
              <w:t xml:space="preserve">Este cluster viene del macro "arte/paisajes/monumentos", que en su conjunto es de público mayoritariamente adulto (decoración). Solo se seleccionaron los 7 microclusters con mejor ángulo educativo/familiar — revisar bien el copy para no derivar hacia contenido de decoración de interiores, que no encaja con el posicionamiento de la web.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Prioridad subida de Baja a Alta tras el reencuadre acordado — depende de mantener el ángulo educativo en la redacción real, no solo en el brief.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2026-08-05T20:13:13.319Z</dcterms:created>
  <dcterms:modified xsi:type="dcterms:W3CDTF">2026-08-05T20:13:13.319Z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