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(prioridad máxima, 26.900 vol) · Categoría Puzzles</w:t>
      </w:r>
    </w:p>
    <w:p>
      <w:pPr>
        <w:spacing w:after="240"/>
      </w:pPr>
      <w:r>
        <w:rPr>
          <w:i/>
          <w:iCs/>
          <w:color w:val="595959"/>
          <w:sz w:val="18"/>
          <w:szCs w:val="18"/>
        </w:rPr>
        <w:t xml:space="preserve">Listo para publicar · Enlaces internos en azul y negrita · Placeholders de producto marcados entre corchetes</w:t>
      </w:r>
    </w:p>
    <w:p>
      <w:pPr>
        <w:pStyle w:val="Heading1"/>
        <w:spacing w:after="160" w:before="200"/>
      </w:pPr>
      <w:r>
        <w:t xml:space="preserve">Guía de puzzles por número de piezas: cuál elegir según la edad</w:t>
      </w:r>
    </w:p>
    <w:p>
      <w:pPr>
        <w:spacing w:after="160"/>
        <w:jc w:val="both"/>
      </w:pPr>
      <w:r>
        <w:rPr>
          <w:sz w:val="22"/>
          <w:szCs w:val="22"/>
        </w:rPr>
        <w:t xml:space="preserve">El número de piezas es la decisión más importante al elegir un puzzle: determina tanto el nivel de dificultad como el tiempo de montaje. En esta guía tienes de un vistazo qué rango conviene según la edad, y a continuación un repaso por cada formato, desde los puzzles de pocas piezas para bebés hasta los de varios miles pensados para expertos. Si buscas específicamente puzzles de 1000 piezas, uno de los formatos más populares, tenemos una </w:t>
      </w:r>
    </w:p>
    <w:p>
      <w:pPr>
        <w:pStyle w:val="ListParagraph"/>
        <w:numPr>
          <w:ilvl w:val="0"/>
          <w:numId w:val="2"/>
        </w:numPr>
        <w:spacing w:after="80"/>
      </w:pPr>
      <w:r>
        <w:rPr>
          <w:b/>
          <w:bCs/>
          <w:color w:val="2F5496"/>
        </w:rPr>
        <w:t xml:space="preserve">guía completa dedicada a los puzzles de 1000 piezas</w:t>
      </w:r>
      <w:r>
        <w:rPr>
          <w:sz w:val="22"/>
          <w:szCs w:val="22"/>
        </w:rPr>
        <w:t xml:space="preserve">.</w:t>
      </w:r>
    </w:p>
    <w:p>
      <w:pPr>
        <w:spacing w:after="100"/>
      </w:pPr>
    </w:p>
    <w:p>
      <w:pPr>
        <w:pStyle w:val="Heading2"/>
        <w:spacing w:after="120" w:before="300"/>
      </w:pPr>
      <w:r>
        <w:t xml:space="preserve">Tabla: piezas recomendadas según la edad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35"/>
        <w:gridCol w:w="2448"/>
        <w:gridCol w:w="4176"/>
      </w:tblGrid>
      <w:tr>
        <w:tc>
          <w:tcPr>
            <w:tcW w:type="dxa" w:w="2735"/>
            <w:shd w:fill="2F5496" w:val="clear"/>
            <w:tcMar>
              <w:top w:type="dxa" w:w="70"/>
              <w:left w:type="dxa" w:w="90"/>
              <w:bottom w:type="dxa" w:w="70"/>
              <w:right w:type="dxa" w:w="90"/>
            </w:tcMar>
          </w:tcPr>
          <w:p>
            <w:r>
              <w:rPr>
                <w:b/>
                <w:bCs/>
                <w:color w:val="FFFFFF"/>
                <w:sz w:val="19"/>
                <w:szCs w:val="19"/>
              </w:rPr>
              <w:t xml:space="preserve">Edad</w:t>
            </w:r>
          </w:p>
        </w:tc>
        <w:tc>
          <w:tcPr>
            <w:tcW w:type="dxa" w:w="2448"/>
            <w:shd w:fill="2F5496" w:val="clear"/>
            <w:tcMar>
              <w:top w:type="dxa" w:w="70"/>
              <w:left w:type="dxa" w:w="90"/>
              <w:bottom w:type="dxa" w:w="70"/>
              <w:right w:type="dxa" w:w="90"/>
            </w:tcMar>
          </w:tcPr>
          <w:p>
            <w:r>
              <w:rPr>
                <w:b/>
                <w:bCs/>
                <w:color w:val="FFFFFF"/>
                <w:sz w:val="19"/>
                <w:szCs w:val="19"/>
              </w:rPr>
              <w:t xml:space="preserve">Piezas recomendadas</w:t>
            </w:r>
          </w:p>
        </w:tc>
        <w:tc>
          <w:tcPr>
            <w:tcW w:type="dxa" w:w="4176"/>
            <w:shd w:fill="2F5496" w:val="clear"/>
            <w:tcMar>
              <w:top w:type="dxa" w:w="70"/>
              <w:left w:type="dxa" w:w="90"/>
              <w:bottom w:type="dxa" w:w="70"/>
              <w:right w:type="dxa" w:w="90"/>
            </w:tcMar>
          </w:tcPr>
          <w:p>
            <w:r>
              <w:rPr>
                <w:b/>
                <w:bCs/>
                <w:color w:val="FFFFFF"/>
                <w:sz w:val="19"/>
                <w:szCs w:val="19"/>
              </w:rPr>
              <w:t xml:space="preserve">Por qué</w:t>
            </w:r>
          </w:p>
        </w:tc>
      </w:tr>
      <w:tr>
        <w:tc>
          <w:tcPr>
            <w:tcW w:type="dxa" w:w="2735"/>
            <w:tcMar>
              <w:top w:type="dxa" w:w="70"/>
              <w:left w:type="dxa" w:w="90"/>
              <w:bottom w:type="dxa" w:w="70"/>
              <w:right w:type="dxa" w:w="90"/>
            </w:tcMar>
          </w:tcPr>
          <w:p>
            <w:r>
              <w:rPr>
                <w:b w:val="false"/>
                <w:bCs w:val="false"/>
                <w:sz w:val="19"/>
                <w:szCs w:val="19"/>
              </w:rPr>
              <w:t xml:space="preserve">1-3 años</w:t>
            </w:r>
          </w:p>
        </w:tc>
        <w:tc>
          <w:tcPr>
            <w:tcW w:type="dxa" w:w="2448"/>
            <w:tcMar>
              <w:top w:type="dxa" w:w="70"/>
              <w:left w:type="dxa" w:w="90"/>
              <w:bottom w:type="dxa" w:w="70"/>
              <w:right w:type="dxa" w:w="90"/>
            </w:tcMar>
          </w:tcPr>
          <w:p>
            <w:r>
              <w:rPr>
                <w:b/>
                <w:bCs/>
                <w:sz w:val="19"/>
                <w:szCs w:val="19"/>
              </w:rPr>
              <w:t xml:space="preserve">2 a 12 piezas</w:t>
            </w:r>
          </w:p>
        </w:tc>
        <w:tc>
          <w:tcPr>
            <w:tcW w:type="dxa" w:w="4176"/>
            <w:tcMar>
              <w:top w:type="dxa" w:w="70"/>
              <w:left w:type="dxa" w:w="90"/>
              <w:bottom w:type="dxa" w:w="70"/>
              <w:right w:type="dxa" w:w="90"/>
            </w:tcMar>
          </w:tcPr>
          <w:p>
            <w:r>
              <w:rPr>
                <w:b w:val="false"/>
                <w:bCs w:val="false"/>
                <w:sz w:val="19"/>
                <w:szCs w:val="19"/>
              </w:rPr>
              <w:t xml:space="preserve">Piezas grandes y fáciles de agarrar, primeros puzzles de encaje</w:t>
            </w:r>
          </w:p>
        </w:tc>
      </w:tr>
      <w:tr>
        <w:tc>
          <w:tcPr>
            <w:tcW w:type="dxa" w:w="2735"/>
            <w:tcMar>
              <w:top w:type="dxa" w:w="70"/>
              <w:left w:type="dxa" w:w="90"/>
              <w:bottom w:type="dxa" w:w="70"/>
              <w:right w:type="dxa" w:w="90"/>
            </w:tcMar>
          </w:tcPr>
          <w:p>
            <w:r>
              <w:rPr>
                <w:b w:val="false"/>
                <w:bCs w:val="false"/>
                <w:sz w:val="19"/>
                <w:szCs w:val="19"/>
              </w:rPr>
              <w:t xml:space="preserve">3-5 años</w:t>
            </w:r>
          </w:p>
        </w:tc>
        <w:tc>
          <w:tcPr>
            <w:tcW w:type="dxa" w:w="2448"/>
            <w:tcMar>
              <w:top w:type="dxa" w:w="70"/>
              <w:left w:type="dxa" w:w="90"/>
              <w:bottom w:type="dxa" w:w="70"/>
              <w:right w:type="dxa" w:w="90"/>
            </w:tcMar>
          </w:tcPr>
          <w:p>
            <w:r>
              <w:rPr>
                <w:b/>
                <w:bCs/>
                <w:sz w:val="19"/>
                <w:szCs w:val="19"/>
              </w:rPr>
              <w:t xml:space="preserve">12 a 24 piezas</w:t>
            </w:r>
          </w:p>
        </w:tc>
        <w:tc>
          <w:tcPr>
            <w:tcW w:type="dxa" w:w="4176"/>
            <w:tcMar>
              <w:top w:type="dxa" w:w="70"/>
              <w:left w:type="dxa" w:w="90"/>
              <w:bottom w:type="dxa" w:w="70"/>
              <w:right w:type="dxa" w:w="90"/>
            </w:tcMar>
          </w:tcPr>
          <w:p>
            <w:r>
              <w:rPr>
                <w:b w:val="false"/>
                <w:bCs w:val="false"/>
                <w:sz w:val="19"/>
                <w:szCs w:val="19"/>
              </w:rPr>
              <w:t xml:space="preserve">Introducción al puzzle clásico, con imágenes sencillas</w:t>
            </w:r>
          </w:p>
        </w:tc>
      </w:tr>
      <w:tr>
        <w:tc>
          <w:tcPr>
            <w:tcW w:type="dxa" w:w="2735"/>
            <w:tcMar>
              <w:top w:type="dxa" w:w="70"/>
              <w:left w:type="dxa" w:w="90"/>
              <w:bottom w:type="dxa" w:w="70"/>
              <w:right w:type="dxa" w:w="90"/>
            </w:tcMar>
          </w:tcPr>
          <w:p>
            <w:r>
              <w:rPr>
                <w:b w:val="false"/>
                <w:bCs w:val="false"/>
                <w:sz w:val="19"/>
                <w:szCs w:val="19"/>
              </w:rPr>
              <w:t xml:space="preserve">5-7 años</w:t>
            </w:r>
          </w:p>
        </w:tc>
        <w:tc>
          <w:tcPr>
            <w:tcW w:type="dxa" w:w="2448"/>
            <w:tcMar>
              <w:top w:type="dxa" w:w="70"/>
              <w:left w:type="dxa" w:w="90"/>
              <w:bottom w:type="dxa" w:w="70"/>
              <w:right w:type="dxa" w:w="90"/>
            </w:tcMar>
          </w:tcPr>
          <w:p>
            <w:r>
              <w:rPr>
                <w:b/>
                <w:bCs/>
                <w:sz w:val="19"/>
                <w:szCs w:val="19"/>
              </w:rPr>
              <w:t xml:space="preserve">48 a 100 piezas</w:t>
            </w:r>
          </w:p>
        </w:tc>
        <w:tc>
          <w:tcPr>
            <w:tcW w:type="dxa" w:w="4176"/>
            <w:tcMar>
              <w:top w:type="dxa" w:w="70"/>
              <w:left w:type="dxa" w:w="90"/>
              <w:bottom w:type="dxa" w:w="70"/>
              <w:right w:type="dxa" w:w="90"/>
            </w:tcMar>
          </w:tcPr>
          <w:p>
            <w:r>
              <w:rPr>
                <w:b w:val="false"/>
                <w:bCs w:val="false"/>
                <w:sz w:val="19"/>
                <w:szCs w:val="19"/>
              </w:rPr>
              <w:t xml:space="preserve">Ya reconocen bordes y colores para clasificar piezas</w:t>
            </w:r>
          </w:p>
        </w:tc>
      </w:tr>
      <w:tr>
        <w:tc>
          <w:tcPr>
            <w:tcW w:type="dxa" w:w="2735"/>
            <w:tcMar>
              <w:top w:type="dxa" w:w="70"/>
              <w:left w:type="dxa" w:w="90"/>
              <w:bottom w:type="dxa" w:w="70"/>
              <w:right w:type="dxa" w:w="90"/>
            </w:tcMar>
          </w:tcPr>
          <w:p>
            <w:r>
              <w:rPr>
                <w:b w:val="false"/>
                <w:bCs w:val="false"/>
                <w:sz w:val="19"/>
                <w:szCs w:val="19"/>
              </w:rPr>
              <w:t xml:space="preserve">7-10 años</w:t>
            </w:r>
          </w:p>
        </w:tc>
        <w:tc>
          <w:tcPr>
            <w:tcW w:type="dxa" w:w="2448"/>
            <w:tcMar>
              <w:top w:type="dxa" w:w="70"/>
              <w:left w:type="dxa" w:w="90"/>
              <w:bottom w:type="dxa" w:w="70"/>
              <w:right w:type="dxa" w:w="90"/>
            </w:tcMar>
          </w:tcPr>
          <w:p>
            <w:r>
              <w:rPr>
                <w:b/>
                <w:bCs/>
                <w:sz w:val="19"/>
                <w:szCs w:val="19"/>
              </w:rPr>
              <w:t xml:space="preserve">100 a 300 piezas</w:t>
            </w:r>
          </w:p>
        </w:tc>
        <w:tc>
          <w:tcPr>
            <w:tcW w:type="dxa" w:w="4176"/>
            <w:tcMar>
              <w:top w:type="dxa" w:w="70"/>
              <w:left w:type="dxa" w:w="90"/>
              <w:bottom w:type="dxa" w:w="70"/>
              <w:right w:type="dxa" w:w="90"/>
            </w:tcMar>
          </w:tcPr>
          <w:p>
            <w:r>
              <w:rPr>
                <w:b w:val="false"/>
                <w:bCs w:val="false"/>
                <w:sz w:val="19"/>
                <w:szCs w:val="19"/>
              </w:rPr>
              <w:t xml:space="preserve">Más autonomía y paciencia para sesiones más largas</w:t>
            </w:r>
          </w:p>
        </w:tc>
      </w:tr>
      <w:tr>
        <w:tc>
          <w:tcPr>
            <w:tcW w:type="dxa" w:w="2735"/>
            <w:tcMar>
              <w:top w:type="dxa" w:w="70"/>
              <w:left w:type="dxa" w:w="90"/>
              <w:bottom w:type="dxa" w:w="70"/>
              <w:right w:type="dxa" w:w="90"/>
            </w:tcMar>
          </w:tcPr>
          <w:p>
            <w:r>
              <w:rPr>
                <w:b w:val="false"/>
                <w:bCs w:val="false"/>
                <w:sz w:val="19"/>
                <w:szCs w:val="19"/>
              </w:rPr>
              <w:t xml:space="preserve">10-14 años</w:t>
            </w:r>
          </w:p>
        </w:tc>
        <w:tc>
          <w:tcPr>
            <w:tcW w:type="dxa" w:w="2448"/>
            <w:tcMar>
              <w:top w:type="dxa" w:w="70"/>
              <w:left w:type="dxa" w:w="90"/>
              <w:bottom w:type="dxa" w:w="70"/>
              <w:right w:type="dxa" w:w="90"/>
            </w:tcMar>
          </w:tcPr>
          <w:p>
            <w:r>
              <w:rPr>
                <w:b/>
                <w:bCs/>
                <w:sz w:val="19"/>
                <w:szCs w:val="19"/>
              </w:rPr>
              <w:t xml:space="preserve">300 a 500 piezas</w:t>
            </w:r>
          </w:p>
        </w:tc>
        <w:tc>
          <w:tcPr>
            <w:tcW w:type="dxa" w:w="4176"/>
            <w:tcMar>
              <w:top w:type="dxa" w:w="70"/>
              <w:left w:type="dxa" w:w="90"/>
              <w:bottom w:type="dxa" w:w="70"/>
              <w:right w:type="dxa" w:w="90"/>
            </w:tcMar>
          </w:tcPr>
          <w:p>
            <w:r>
              <w:rPr>
                <w:b w:val="false"/>
                <w:bCs w:val="false"/>
                <w:sz w:val="19"/>
                <w:szCs w:val="19"/>
              </w:rPr>
              <w:t xml:space="preserve">Primeros puzzles "de verdad", cercanos al formato adulto</w:t>
            </w:r>
          </w:p>
        </w:tc>
      </w:tr>
      <w:tr>
        <w:tc>
          <w:tcPr>
            <w:tcW w:type="dxa" w:w="2735"/>
            <w:tcMar>
              <w:top w:type="dxa" w:w="70"/>
              <w:left w:type="dxa" w:w="90"/>
              <w:bottom w:type="dxa" w:w="70"/>
              <w:right w:type="dxa" w:w="90"/>
            </w:tcMar>
          </w:tcPr>
          <w:p>
            <w:r>
              <w:rPr>
                <w:b w:val="false"/>
                <w:bCs w:val="false"/>
                <w:sz w:val="19"/>
                <w:szCs w:val="19"/>
              </w:rPr>
              <w:t xml:space="preserve">Adolescentes y adultos</w:t>
            </w:r>
          </w:p>
        </w:tc>
        <w:tc>
          <w:tcPr>
            <w:tcW w:type="dxa" w:w="2448"/>
            <w:tcMar>
              <w:top w:type="dxa" w:w="70"/>
              <w:left w:type="dxa" w:w="90"/>
              <w:bottom w:type="dxa" w:w="70"/>
              <w:right w:type="dxa" w:w="90"/>
            </w:tcMar>
          </w:tcPr>
          <w:p>
            <w:r>
              <w:rPr>
                <w:b/>
                <w:bCs/>
                <w:sz w:val="19"/>
                <w:szCs w:val="19"/>
              </w:rPr>
              <w:t xml:space="preserve">500 a 2000 piezas</w:t>
            </w:r>
          </w:p>
        </w:tc>
        <w:tc>
          <w:tcPr>
            <w:tcW w:type="dxa" w:w="4176"/>
            <w:tcMar>
              <w:top w:type="dxa" w:w="70"/>
              <w:left w:type="dxa" w:w="90"/>
              <w:bottom w:type="dxa" w:w="70"/>
              <w:right w:type="dxa" w:w="90"/>
            </w:tcMar>
          </w:tcPr>
          <w:p>
            <w:r>
              <w:rPr>
                <w:b w:val="false"/>
                <w:bCs w:val="false"/>
                <w:sz w:val="19"/>
                <w:szCs w:val="19"/>
              </w:rPr>
              <w:t xml:space="preserve">El rango más popular para regalo y afición habitual</w:t>
            </w:r>
          </w:p>
        </w:tc>
      </w:tr>
      <w:tr>
        <w:tc>
          <w:tcPr>
            <w:tcW w:type="dxa" w:w="2735"/>
            <w:tcMar>
              <w:top w:type="dxa" w:w="70"/>
              <w:left w:type="dxa" w:w="90"/>
              <w:bottom w:type="dxa" w:w="70"/>
              <w:right w:type="dxa" w:w="90"/>
            </w:tcMar>
          </w:tcPr>
          <w:p>
            <w:r>
              <w:rPr>
                <w:b w:val="false"/>
                <w:bCs w:val="false"/>
                <w:sz w:val="19"/>
                <w:szCs w:val="19"/>
              </w:rPr>
              <w:t xml:space="preserve">Aficionados expertos</w:t>
            </w:r>
          </w:p>
        </w:tc>
        <w:tc>
          <w:tcPr>
            <w:tcW w:type="dxa" w:w="2448"/>
            <w:tcMar>
              <w:top w:type="dxa" w:w="70"/>
              <w:left w:type="dxa" w:w="90"/>
              <w:bottom w:type="dxa" w:w="70"/>
              <w:right w:type="dxa" w:w="90"/>
            </w:tcMar>
          </w:tcPr>
          <w:p>
            <w:r>
              <w:rPr>
                <w:b/>
                <w:bCs/>
                <w:sz w:val="19"/>
                <w:szCs w:val="19"/>
              </w:rPr>
              <w:t xml:space="preserve">3000 a 6000 piezas</w:t>
            </w:r>
          </w:p>
        </w:tc>
        <w:tc>
          <w:tcPr>
            <w:tcW w:type="dxa" w:w="4176"/>
            <w:tcMar>
              <w:top w:type="dxa" w:w="70"/>
              <w:left w:type="dxa" w:w="90"/>
              <w:bottom w:type="dxa" w:w="70"/>
              <w:right w:type="dxa" w:w="90"/>
            </w:tcMar>
          </w:tcPr>
          <w:p>
            <w:r>
              <w:rPr>
                <w:b w:val="false"/>
                <w:bCs w:val="false"/>
                <w:sz w:val="19"/>
                <w:szCs w:val="19"/>
              </w:rPr>
              <w:t xml:space="preserve">Retos de larga duración, pensados para varias sesiones</w:t>
            </w:r>
          </w:p>
        </w:tc>
      </w:tr>
    </w:tbl>
    <w:p>
      <w:pPr>
        <w:spacing w:after="100"/>
      </w:pPr>
    </w:p>
    <w:p>
      <w:pPr>
        <w:pStyle w:val="Heading2"/>
        <w:spacing w:after="120" w:before="300"/>
      </w:pPr>
      <w:r>
        <w:t xml:space="preserve">Puzzles de 500 piezas</w:t>
      </w:r>
    </w:p>
    <w:p>
      <w:pPr>
        <w:spacing w:after="160"/>
        <w:jc w:val="both"/>
      </w:pPr>
      <w:r>
        <w:rPr>
          <w:sz w:val="22"/>
          <w:szCs w:val="22"/>
        </w:rPr>
        <w:t xml:space="preserve">El punto de partida ideal para quien empieza en el mundo del puzzle "serio": suficiente reto sin necesitar varias tardes para terminarlo.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500 piezas — completar]</w:t>
            </w:r>
          </w:p>
          <w:p>
            <w:pPr>
              <w:spacing w:after="80"/>
            </w:pPr>
            <w:r>
              <w:rPr>
                <w:sz w:val="21"/>
                <w:szCs w:val="21"/>
              </w:rPr>
              <w:t xml:space="preserve">Formato intermedio, ideal como primer puzzle "de adulto" o para completar en un par de sesiones.</w:t>
            </w:r>
          </w:p>
          <w:p>
            <w:r>
              <w:rPr>
                <w:i/>
                <w:iCs/>
                <w:color w:val="595959"/>
                <w:sz w:val="18"/>
                <w:szCs w:val="18"/>
              </w:rPr>
              <w:t xml:space="preserve">[PENDIENTE DE COMPLETAR — ASIN 500 piezas]</w:t>
            </w:r>
          </w:p>
        </w:tc>
      </w:tr>
    </w:tbl>
    <w:p>
      <w:pPr>
        <w:spacing w:after="100"/>
      </w:pPr>
    </w:p>
    <w:p>
      <w:pPr>
        <w:pStyle w:val="Heading2"/>
        <w:spacing w:after="120" w:before="300"/>
      </w:pPr>
      <w:r>
        <w:t xml:space="preserve">Puzzles de 1000 piezas</w:t>
      </w:r>
    </w:p>
    <w:p>
      <w:pPr>
        <w:spacing w:after="160"/>
        <w:jc w:val="both"/>
      </w:pPr>
      <w:r>
        <w:rPr>
          <w:sz w:val="22"/>
          <w:szCs w:val="22"/>
        </w:rPr>
        <w:t xml:space="preserve">Es el formato más buscado de toda la categoría, con guía propia donde recomendamos modelos concretos, comparamos precios y resolvemos las dudas más habituales sobre este tamaño. </w:t>
      </w:r>
    </w:p>
    <w:p>
      <w:pPr>
        <w:pStyle w:val="ListParagraph"/>
        <w:numPr>
          <w:ilvl w:val="0"/>
          <w:numId w:val="2"/>
        </w:numPr>
        <w:spacing w:after="80"/>
      </w:pPr>
      <w:r>
        <w:rPr>
          <w:b/>
          <w:bCs/>
          <w:color w:val="2F5496"/>
        </w:rPr>
        <w:t xml:space="preserve">Ver la guía completa de puzzles de 1000 piezas</w:t>
      </w:r>
      <w:r>
        <w:rPr>
          <w:sz w:val="22"/>
          <w:szCs w:val="22"/>
        </w:rPr>
        <w:t xml:space="preserve">.</w:t>
      </w:r>
    </w:p>
    <w:p>
      <w:pPr>
        <w:spacing w:after="100"/>
      </w:pPr>
    </w:p>
    <w:p>
      <w:pPr>
        <w:pStyle w:val="Heading2"/>
        <w:spacing w:after="120" w:before="300"/>
      </w:pPr>
      <w:r>
        <w:t xml:space="preserve">Puzzles de 2000 y 3000 piezas</w:t>
      </w:r>
    </w:p>
    <w:p>
      <w:pPr>
        <w:spacing w:after="160"/>
        <w:jc w:val="both"/>
      </w:pPr>
      <w:r>
        <w:rPr>
          <w:sz w:val="22"/>
          <w:szCs w:val="22"/>
        </w:rPr>
        <w:t xml:space="preserve">El siguiente escalón para quien ya domina las 1000 piezas y busca un reto más largo, habitualmente de varios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2000-3000 piezas — completar]</w:t>
            </w:r>
          </w:p>
          <w:p>
            <w:pPr>
              <w:spacing w:after="80"/>
            </w:pPr>
            <w:r>
              <w:rPr>
                <w:sz w:val="21"/>
                <w:szCs w:val="21"/>
              </w:rPr>
              <w:t xml:space="preserve">Formato grande, pensado para sesiones de montaje repartidas en varios días.</w:t>
            </w:r>
          </w:p>
          <w:p>
            <w:r>
              <w:rPr>
                <w:i/>
                <w:iCs/>
                <w:color w:val="595959"/>
                <w:sz w:val="18"/>
                <w:szCs w:val="18"/>
              </w:rPr>
              <w:t xml:space="preserve">[PENDIENTE DE COMPLETAR — ASIN 2000-3000 piezas]</w:t>
            </w:r>
          </w:p>
        </w:tc>
      </w:tr>
    </w:tbl>
    <w:p>
      <w:pPr>
        <w:spacing w:after="100"/>
      </w:pPr>
    </w:p>
    <w:p>
      <w:pPr>
        <w:pStyle w:val="Heading2"/>
        <w:spacing w:after="120" w:before="300"/>
      </w:pPr>
      <w:r>
        <w:t xml:space="preserve">Puzzles de 1500 y 5000 piezas</w:t>
      </w:r>
    </w:p>
    <w:p>
      <w:pPr>
        <w:spacing w:after="160"/>
        <w:jc w:val="both"/>
      </w:pPr>
      <w:r>
        <w:rPr>
          <w:sz w:val="22"/>
          <w:szCs w:val="22"/>
        </w:rPr>
        <w:t xml:space="preserve">Formatos intermedios y de gran formato, con menos variedad de catálogo pero muy valorados entre aficionados habituales: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8"/>
        <w:gridCol w:w="3095"/>
        <w:gridCol w:w="3095"/>
      </w:tblGrid>
      <w:tr>
        <w:tc>
          <w:tcPr>
            <w:tcW w:type="dxa" w:w="3168"/>
            <w:shd w:fill="2F5496" w:val="clear"/>
            <w:tcMar>
              <w:top w:type="dxa" w:w="70"/>
              <w:left w:type="dxa" w:w="90"/>
              <w:bottom w:type="dxa" w:w="70"/>
              <w:right w:type="dxa" w:w="90"/>
            </w:tcMar>
          </w:tcPr>
          <w:p>
            <w:r>
              <w:rPr>
                <w:b/>
                <w:bCs/>
                <w:color w:val="FFFFFF"/>
                <w:sz w:val="19"/>
                <w:szCs w:val="19"/>
              </w:rPr>
              <w:t xml:space="preserve">Rango</w:t>
            </w:r>
          </w:p>
        </w:tc>
        <w:tc>
          <w:tcPr>
            <w:tcW w:type="dxa" w:w="3095"/>
            <w:shd w:fill="2F5496" w:val="clear"/>
            <w:tcMar>
              <w:top w:type="dxa" w:w="70"/>
              <w:left w:type="dxa" w:w="90"/>
              <w:bottom w:type="dxa" w:w="70"/>
              <w:right w:type="dxa" w:w="90"/>
            </w:tcMar>
          </w:tcPr>
          <w:p>
            <w:r>
              <w:rPr>
                <w:b/>
                <w:bCs/>
                <w:color w:val="FFFFFF"/>
                <w:sz w:val="19"/>
                <w:szCs w:val="19"/>
              </w:rPr>
              <w:t xml:space="preserve">Volumen de búsqueda</w:t>
            </w:r>
          </w:p>
        </w:tc>
        <w:tc>
          <w:tcPr>
            <w:tcW w:type="dxa" w:w="3095"/>
            <w:shd w:fill="2F5496" w:val="clear"/>
            <w:tcMar>
              <w:top w:type="dxa" w:w="70"/>
              <w:left w:type="dxa" w:w="90"/>
              <w:bottom w:type="dxa" w:w="70"/>
              <w:right w:type="dxa" w:w="90"/>
            </w:tcMar>
          </w:tcPr>
          <w:p>
            <w:r>
              <w:rPr>
                <w:b/>
                <w:bCs/>
                <w:color w:val="FFFFFF"/>
                <w:sz w:val="19"/>
                <w:szCs w:val="19"/>
              </w:rPr>
              <w:t xml:space="preserve">Ideal para</w:t>
            </w:r>
          </w:p>
        </w:tc>
      </w:tr>
      <w:tr>
        <w:tc>
          <w:tcPr>
            <w:tcW w:type="dxa" w:w="3168"/>
            <w:tcMar>
              <w:top w:type="dxa" w:w="70"/>
              <w:left w:type="dxa" w:w="90"/>
              <w:bottom w:type="dxa" w:w="70"/>
              <w:right w:type="dxa" w:w="90"/>
            </w:tcMar>
          </w:tcPr>
          <w:p>
            <w:r>
              <w:rPr>
                <w:sz w:val="19"/>
                <w:szCs w:val="19"/>
              </w:rPr>
              <w:t xml:space="preserve">1500 piezas</w:t>
            </w:r>
          </w:p>
        </w:tc>
        <w:tc>
          <w:tcPr>
            <w:tcW w:type="dxa" w:w="3095"/>
            <w:tcMar>
              <w:top w:type="dxa" w:w="70"/>
              <w:left w:type="dxa" w:w="90"/>
              <w:bottom w:type="dxa" w:w="70"/>
              <w:right w:type="dxa" w:w="90"/>
            </w:tcMar>
          </w:tcPr>
          <w:p>
            <w:r>
              <w:rPr>
                <w:sz w:val="19"/>
                <w:szCs w:val="19"/>
              </w:rPr>
              <w:t xml:space="preserve">≈2.000 búsq./mes</w:t>
            </w:r>
          </w:p>
        </w:tc>
        <w:tc>
          <w:tcPr>
            <w:tcW w:type="dxa" w:w="3095"/>
            <w:tcMar>
              <w:top w:type="dxa" w:w="70"/>
              <w:left w:type="dxa" w:w="90"/>
              <w:bottom w:type="dxa" w:w="70"/>
              <w:right w:type="dxa" w:w="90"/>
            </w:tcMar>
          </w:tcPr>
          <w:p>
            <w:r>
              <w:rPr>
                <w:sz w:val="19"/>
                <w:szCs w:val="19"/>
              </w:rPr>
              <w:t xml:space="preserve">Un punto intermedio entre 1000 y 2000 piezas</w:t>
            </w:r>
          </w:p>
        </w:tc>
      </w:tr>
      <w:tr>
        <w:tc>
          <w:tcPr>
            <w:tcW w:type="dxa" w:w="3168"/>
            <w:tcMar>
              <w:top w:type="dxa" w:w="70"/>
              <w:left w:type="dxa" w:w="90"/>
              <w:bottom w:type="dxa" w:w="70"/>
              <w:right w:type="dxa" w:w="90"/>
            </w:tcMar>
          </w:tcPr>
          <w:p>
            <w:r>
              <w:rPr>
                <w:sz w:val="19"/>
                <w:szCs w:val="19"/>
              </w:rPr>
              <w:t xml:space="preserve">5000 piezas</w:t>
            </w:r>
          </w:p>
        </w:tc>
        <w:tc>
          <w:tcPr>
            <w:tcW w:type="dxa" w:w="3095"/>
            <w:tcMar>
              <w:top w:type="dxa" w:w="70"/>
              <w:left w:type="dxa" w:w="90"/>
              <w:bottom w:type="dxa" w:w="70"/>
              <w:right w:type="dxa" w:w="90"/>
            </w:tcMar>
          </w:tcPr>
          <w:p>
            <w:r>
              <w:rPr>
                <w:sz w:val="19"/>
                <w:szCs w:val="19"/>
              </w:rPr>
              <w:t xml:space="preserve">≈1.650 búsq./mes</w:t>
            </w:r>
          </w:p>
        </w:tc>
        <w:tc>
          <w:tcPr>
            <w:tcW w:type="dxa" w:w="3095"/>
            <w:tcMar>
              <w:top w:type="dxa" w:w="70"/>
              <w:left w:type="dxa" w:w="90"/>
              <w:bottom w:type="dxa" w:w="70"/>
              <w:right w:type="dxa" w:w="90"/>
            </w:tcMar>
          </w:tcPr>
          <w:p>
            <w:r>
              <w:rPr>
                <w:sz w:val="19"/>
                <w:szCs w:val="19"/>
              </w:rPr>
              <w:t xml:space="preserve">Retos de larga duración para aficionados experimentados</w:t>
            </w:r>
          </w:p>
        </w:tc>
      </w:tr>
    </w:tbl>
    <w:p>
      <w:pPr>
        <w:spacing w:after="100"/>
      </w:pPr>
    </w:p>
    <w:p>
      <w:pPr>
        <w:pStyle w:val="Heading2"/>
        <w:spacing w:after="120" w:before="300"/>
      </w:pPr>
      <w:r>
        <w:t xml:space="preserve">Otros formatos: 100, 200, 300, 4.000 y 6.000 piezas</w:t>
      </w:r>
    </w:p>
    <w:p>
      <w:pPr>
        <w:spacing w:after="160"/>
        <w:jc w:val="both"/>
      </w:pPr>
      <w:r>
        <w:rPr>
          <w:sz w:val="22"/>
          <w:szCs w:val="22"/>
        </w:rPr>
        <w:t xml:space="preserve">Formatos menos habituales pero con demanda propia, sobre todo en las franjas de edad intermedias y en el extremo más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8"/>
        <w:gridCol w:w="6191"/>
      </w:tblGrid>
      <w:tr>
        <w:tc>
          <w:tcPr>
            <w:tcW w:type="dxa" w:w="3168"/>
            <w:shd w:fill="2F5496" w:val="clear"/>
            <w:tcMar>
              <w:top w:type="dxa" w:w="70"/>
              <w:left w:type="dxa" w:w="90"/>
              <w:bottom w:type="dxa" w:w="70"/>
              <w:right w:type="dxa" w:w="90"/>
            </w:tcMar>
          </w:tcPr>
          <w:p>
            <w:r>
              <w:rPr>
                <w:b/>
                <w:bCs/>
                <w:color w:val="FFFFFF"/>
                <w:sz w:val="19"/>
                <w:szCs w:val="19"/>
              </w:rPr>
              <w:t xml:space="preserve">Piezas</w:t>
            </w:r>
          </w:p>
        </w:tc>
        <w:tc>
          <w:tcPr>
            <w:tcW w:type="dxa" w:w="6191"/>
            <w:shd w:fill="2F5496" w:val="clear"/>
            <w:tcMar>
              <w:top w:type="dxa" w:w="70"/>
              <w:left w:type="dxa" w:w="90"/>
              <w:bottom w:type="dxa" w:w="70"/>
              <w:right w:type="dxa" w:w="90"/>
            </w:tcMar>
          </w:tcPr>
          <w:p>
            <w:r>
              <w:rPr>
                <w:b/>
                <w:bCs/>
                <w:color w:val="FFFFFF"/>
                <w:sz w:val="19"/>
                <w:szCs w:val="19"/>
              </w:rPr>
              <w:t xml:space="preserve">Perfil habitual</w:t>
            </w:r>
          </w:p>
        </w:tc>
      </w:tr>
      <w:tr>
        <w:tc>
          <w:tcPr>
            <w:tcW w:type="dxa" w:w="3168"/>
            <w:tcMar>
              <w:top w:type="dxa" w:w="70"/>
              <w:left w:type="dxa" w:w="90"/>
              <w:bottom w:type="dxa" w:w="70"/>
              <w:right w:type="dxa" w:w="90"/>
            </w:tcMar>
          </w:tcPr>
          <w:p>
            <w:r>
              <w:rPr>
                <w:sz w:val="19"/>
                <w:szCs w:val="19"/>
              </w:rPr>
              <w:t xml:space="preserve">100 piezas</w:t>
            </w:r>
          </w:p>
        </w:tc>
        <w:tc>
          <w:tcPr>
            <w:tcW w:type="dxa" w:w="6191"/>
            <w:tcMar>
              <w:top w:type="dxa" w:w="70"/>
              <w:left w:type="dxa" w:w="90"/>
              <w:bottom w:type="dxa" w:w="70"/>
              <w:right w:type="dxa" w:w="90"/>
            </w:tcMar>
          </w:tcPr>
          <w:p>
            <w:r>
              <w:rPr>
                <w:sz w:val="19"/>
                <w:szCs w:val="19"/>
              </w:rPr>
              <w:t xml:space="preserve">Niños de 7-9 años, primeros puzzles con más detalle</w:t>
            </w:r>
          </w:p>
        </w:tc>
      </w:tr>
      <w:tr>
        <w:tc>
          <w:tcPr>
            <w:tcW w:type="dxa" w:w="3168"/>
            <w:tcMar>
              <w:top w:type="dxa" w:w="70"/>
              <w:left w:type="dxa" w:w="90"/>
              <w:bottom w:type="dxa" w:w="70"/>
              <w:right w:type="dxa" w:w="90"/>
            </w:tcMar>
          </w:tcPr>
          <w:p>
            <w:r>
              <w:rPr>
                <w:sz w:val="19"/>
                <w:szCs w:val="19"/>
              </w:rPr>
              <w:t xml:space="preserve">200 piezas</w:t>
            </w:r>
          </w:p>
        </w:tc>
        <w:tc>
          <w:tcPr>
            <w:tcW w:type="dxa" w:w="6191"/>
            <w:tcMar>
              <w:top w:type="dxa" w:w="70"/>
              <w:left w:type="dxa" w:w="90"/>
              <w:bottom w:type="dxa" w:w="70"/>
              <w:right w:type="dxa" w:w="90"/>
            </w:tcMar>
          </w:tcPr>
          <w:p>
            <w:r>
              <w:rPr>
                <w:sz w:val="19"/>
                <w:szCs w:val="19"/>
              </w:rPr>
              <w:t xml:space="preserve">Transición entre puzzle infantil y juvenil</w:t>
            </w:r>
          </w:p>
        </w:tc>
      </w:tr>
      <w:tr>
        <w:tc>
          <w:tcPr>
            <w:tcW w:type="dxa" w:w="3168"/>
            <w:tcMar>
              <w:top w:type="dxa" w:w="70"/>
              <w:left w:type="dxa" w:w="90"/>
              <w:bottom w:type="dxa" w:w="70"/>
              <w:right w:type="dxa" w:w="90"/>
            </w:tcMar>
          </w:tcPr>
          <w:p>
            <w:r>
              <w:rPr>
                <w:sz w:val="19"/>
                <w:szCs w:val="19"/>
              </w:rPr>
              <w:t xml:space="preserve">300 piezas</w:t>
            </w:r>
          </w:p>
        </w:tc>
        <w:tc>
          <w:tcPr>
            <w:tcW w:type="dxa" w:w="6191"/>
            <w:tcMar>
              <w:top w:type="dxa" w:w="70"/>
              <w:left w:type="dxa" w:w="90"/>
              <w:bottom w:type="dxa" w:w="70"/>
              <w:right w:type="dxa" w:w="90"/>
            </w:tcMar>
          </w:tcPr>
          <w:p>
            <w:r>
              <w:rPr>
                <w:sz w:val="19"/>
                <w:szCs w:val="19"/>
              </w:rPr>
              <w:t xml:space="preserve">Preadolescentes, ya con soltura suficiente</w:t>
            </w:r>
          </w:p>
        </w:tc>
      </w:tr>
      <w:tr>
        <w:tc>
          <w:tcPr>
            <w:tcW w:type="dxa" w:w="3168"/>
            <w:tcMar>
              <w:top w:type="dxa" w:w="70"/>
              <w:left w:type="dxa" w:w="90"/>
              <w:bottom w:type="dxa" w:w="70"/>
              <w:right w:type="dxa" w:w="90"/>
            </w:tcMar>
          </w:tcPr>
          <w:p>
            <w:r>
              <w:rPr>
                <w:sz w:val="19"/>
                <w:szCs w:val="19"/>
              </w:rPr>
              <w:t xml:space="preserve">4.000 piezas</w:t>
            </w:r>
          </w:p>
        </w:tc>
        <w:tc>
          <w:tcPr>
            <w:tcW w:type="dxa" w:w="6191"/>
            <w:tcMar>
              <w:top w:type="dxa" w:w="70"/>
              <w:left w:type="dxa" w:w="90"/>
              <w:bottom w:type="dxa" w:w="70"/>
              <w:right w:type="dxa" w:w="90"/>
            </w:tcMar>
          </w:tcPr>
          <w:p>
            <w:r>
              <w:rPr>
                <w:sz w:val="19"/>
                <w:szCs w:val="19"/>
              </w:rPr>
              <w:t xml:space="preserve">Aficionados con experiencia, formato grande de pared</w:t>
            </w:r>
          </w:p>
        </w:tc>
      </w:tr>
      <w:tr>
        <w:tc>
          <w:tcPr>
            <w:tcW w:type="dxa" w:w="3168"/>
            <w:tcMar>
              <w:top w:type="dxa" w:w="70"/>
              <w:left w:type="dxa" w:w="90"/>
              <w:bottom w:type="dxa" w:w="70"/>
              <w:right w:type="dxa" w:w="90"/>
            </w:tcMar>
          </w:tcPr>
          <w:p>
            <w:r>
              <w:rPr>
                <w:sz w:val="19"/>
                <w:szCs w:val="19"/>
              </w:rPr>
              <w:t xml:space="preserve">6.000 piezas</w:t>
            </w:r>
          </w:p>
        </w:tc>
        <w:tc>
          <w:tcPr>
            <w:tcW w:type="dxa" w:w="6191"/>
            <w:tcMar>
              <w:top w:type="dxa" w:w="70"/>
              <w:left w:type="dxa" w:w="90"/>
              <w:bottom w:type="dxa" w:w="70"/>
              <w:right w:type="dxa" w:w="90"/>
            </w:tcMar>
          </w:tcPr>
          <w:p>
            <w:r>
              <w:rPr>
                <w:sz w:val="19"/>
                <w:szCs w:val="19"/>
              </w:rPr>
              <w:t xml:space="preserve">El extremo superior, para maratones de montaje</w:t>
            </w:r>
          </w:p>
        </w:tc>
      </w:tr>
    </w:tbl>
    <w:p>
      <w:pPr>
        <w:spacing w:after="100"/>
      </w:pPr>
    </w:p>
    <w:p>
      <w:pPr>
        <w:pStyle w:val="Heading2"/>
        <w:spacing w:after="120" w:before="300"/>
      </w:pPr>
      <w:r>
        <w:t xml:space="preserve">Puzzles de pocas piezas para bebés y primera infancia</w:t>
      </w:r>
    </w:p>
    <w:p>
      <w:pPr>
        <w:spacing w:after="160"/>
        <w:jc w:val="both"/>
      </w:pPr>
      <w:r>
        <w:rPr>
          <w:sz w:val="22"/>
          <w:szCs w:val="22"/>
        </w:rPr>
        <w:t xml:space="preserve">Entre 2 y 24 piezas encontramos los primeros puzzles pensados para bebés y niños de 1 a 3 años: suelen ser de madera o goma eva, con piezas grandes de encaje y formas reconocibles (animales, vehículos, formas geométricas). Es la puerta de entrada al mundo del puzzle, más centrada en la motricidad fina que en el propio reto de montaje.</w:t>
      </w:r>
    </w:p>
    <w:p>
      <w:pPr>
        <w:spacing w:after="160"/>
        <w:jc w:val="both"/>
      </w:pPr>
      <w:r>
        <w:rPr>
          <w:sz w:val="22"/>
          <w:szCs w:val="22"/>
        </w:rPr>
        <w:t xml:space="preserve">Muchos de estos modelos son también de madera, por lo que si buscas opciones concretas puede interesarte nuestra </w:t>
      </w:r>
    </w:p>
    <w:p>
      <w:pPr>
        <w:pStyle w:val="ListParagraph"/>
        <w:numPr>
          <w:ilvl w:val="0"/>
          <w:numId w:val="2"/>
        </w:numPr>
        <w:spacing w:after="80"/>
      </w:pPr>
      <w:r>
        <w:rPr>
          <w:b/>
          <w:bCs/>
          <w:color w:val="2F5496"/>
        </w:rPr>
        <w:t xml:space="preserve">guía de puzzles de madera</w:t>
      </w:r>
      <w:r>
        <w:rPr>
          <w:sz w:val="22"/>
          <w:szCs w:val="22"/>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CBAD" w:val="clear"/>
            <w:tcMar>
              <w:top w:type="dxa" w:w="120"/>
              <w:left w:type="dxa" w:w="150"/>
              <w:bottom w:type="dxa" w:w="120"/>
              <w:right w:type="dxa" w:w="150"/>
            </w:tcMar>
          </w:tcPr>
          <w:p>
            <w:pPr>
              <w:spacing w:after="60"/>
            </w:pPr>
            <w:r>
              <w:rPr>
                <w:b/>
                <w:bCs/>
                <w:sz w:val="20"/>
                <w:szCs w:val="20"/>
              </w:rPr>
              <w:t xml:space="preserve">⚠ Alerta de canibalización</w:t>
            </w:r>
          </w:p>
          <w:p>
            <w:r>
              <w:rPr>
                <w:sz w:val="20"/>
                <w:szCs w:val="20"/>
              </w:rPr>
              <w:t xml:space="preserve">No crear artículos individuales para ningún rango de piezas salvo el de 1000 piezas, que ya tiene guía propia por volumen. Todo lo demás vive únicamente en este artículo. Los rangos irreales del CSV original (10.000 / 24.000 / 42.000 piezas) se han excluido por ser errores de captura de Keyword Planner.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Enlaces internos: "guía completa dedicada a los puzzles de 1000 piezas" / "Ver la guía completa de puzzles de 1000 piezas" → /puzzles/1000-piezas/ (mismo destino, dos anclas distintas) · "guía de puzzles de madera" → /puzzles/madera/ · pilar de la categoría → /puzzles/ (enlazar también desde el H1 o breadcrumb). ASINs pendientes: 500 piezas, 2000-3000 piezas (2 en total). Si el rango de piezas de un producto de "Puzzles de madera" o "Puzzles personalizados" coincide con alguno de estos bloques, añadir enlace cruzado puntual al redactar la versión HTML.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2026-08-05T20:13:14.141Z</dcterms:created>
  <dcterms:modified xsi:type="dcterms:W3CDTF">2026-08-05T20:13:14.142Z</dcterms:modified>
</cp:coreProperties>
</file>

<file path=docProps/custom.xml><?xml version="1.0" encoding="utf-8"?>
<Properties xmlns="http://schemas.openxmlformats.org/officeDocument/2006/custom-properties" xmlns:vt="http://schemas.openxmlformats.org/officeDocument/2006/docPropsVTypes"/>
</file>