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F5496"/>
          <w:sz w:val="20"/>
          <w:szCs w:val="20"/>
        </w:rPr>
        <w:t xml:space="preserve">LAUDEREM · Redactado final · Artículo hijo · Categoría Puzzles</w:t>
      </w:r>
    </w:p>
    <w:p>
      <w:pPr>
        <w:spacing w:after="240"/>
      </w:pPr>
      <w:r>
        <w:rPr>
          <w:i/>
          <w:iCs/>
          <w:color w:val="595959"/>
          <w:sz w:val="18"/>
          <w:szCs w:val="18"/>
        </w:rPr>
        <w:t xml:space="preserve">Listo para publicar · Enlaces internos en azul y negrita · Placeholders de producto marcados entre corchetes</w:t>
      </w:r>
    </w:p>
    <w:p>
      <w:pPr>
        <w:pStyle w:val="Heading1"/>
        <w:spacing w:after="160" w:before="200"/>
      </w:pPr>
      <w:r>
        <w:t xml:space="preserve">Puzzles de 1000 piezas: los más vendidos y mejor valorados</w:t>
      </w:r>
    </w:p>
    <w:p>
      <w:pPr>
        <w:spacing w:after="160"/>
        <w:jc w:val="both"/>
      </w:pPr>
      <w:r>
        <w:rPr>
          <w:sz w:val="22"/>
          <w:szCs w:val="22"/>
        </w:rPr>
        <w:t xml:space="preserve">El formato de 1000 piezas es el más popular entre quienes ya tienen algo de experiencia: suficiente reto para varias horas de montaje, sin llegar a los formatos de varios miles de piezas. Esta es nuestra selección actualizada de los mejor valorados en Amazon.</w:t>
      </w:r>
    </w:p>
    <w:p>
      <w:pPr>
        <w:spacing w:after="100"/>
      </w:pPr>
    </w:p>
    <w:p>
      <w:pPr>
        <w:pStyle w:val="Heading2"/>
        <w:spacing w:after="120" w:before="300"/>
      </w:pPr>
      <w:r>
        <w:t xml:space="preserve">Los mejores puzzles de 1000 piezas en Amazon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DEBF7" w:val="clear"/>
            <w:tcMar>
              <w:top w:type="dxa" w:w="140"/>
              <w:left w:type="dxa" w:w="180"/>
              <w:bottom w:type="dxa" w:w="140"/>
              <w:right w:type="dxa" w:w="180"/>
            </w:tcMar>
          </w:tcPr>
          <w:p>
            <w:pPr>
              <w:spacing w:after="60"/>
            </w:pPr>
            <w:r>
              <w:rPr>
                <w:b/>
                <w:bCs/>
                <w:color w:val="2F5496"/>
                <w:sz w:val="20"/>
                <w:szCs w:val="20"/>
              </w:rPr>
              <w:t xml:space="preserve">⭐ Nuestra recomendación</w:t>
            </w:r>
          </w:p>
          <w:p>
            <w:pPr>
              <w:spacing w:after="60"/>
            </w:pPr>
            <w:r>
              <w:rPr>
                <w:b/>
                <w:bCs/>
                <w:sz w:val="24"/>
                <w:szCs w:val="24"/>
              </w:rPr>
              <w:t xml:space="preserve">[Nombre de producto destacado 1000 piezas — completar]</w:t>
            </w:r>
          </w:p>
          <w:p>
            <w:pPr>
              <w:spacing w:after="80"/>
            </w:pPr>
            <w:r>
              <w:rPr>
                <w:sz w:val="21"/>
                <w:szCs w:val="21"/>
              </w:rPr>
              <w:t xml:space="preserve">El más vendido de su categoría, con acabado de calidad y buena relación piezas/precio.</w:t>
            </w:r>
          </w:p>
          <w:p>
            <w:r>
              <w:rPr>
                <w:i/>
                <w:iCs/>
                <w:color w:val="595959"/>
                <w:sz w:val="18"/>
                <w:szCs w:val="18"/>
              </w:rPr>
              <w:t xml:space="preserve">[PENDIENTE DE COMPLETAR — ASIN destacado 1000 piezas]</w:t>
            </w:r>
          </w:p>
        </w:tc>
      </w:tr>
    </w:tbl>
    <w:p>
      <w:pPr>
        <w:spacing w:after="100"/>
      </w:pPr>
    </w:p>
    <w:p>
      <w:pPr>
        <w:spacing w:after="160"/>
        <w:jc w:val="both"/>
      </w:pPr>
      <w:r>
        <w:rPr>
          <w:sz w:val="22"/>
          <w:szCs w:val="22"/>
        </w:rPr>
        <w:t xml:space="preserve">Otras opciones muy valoradas, según marca, temática y precio:</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160"/>
        <w:gridCol w:w="2160"/>
      </w:tblGrid>
      <w:tr>
        <w:tc>
          <w:tcPr>
            <w:tcW w:type="dxa" w:w="2880"/>
            <w:shd w:fill="2F5496" w:val="clear"/>
            <w:tcMar>
              <w:top w:type="dxa" w:w="70"/>
              <w:left w:type="dxa" w:w="80"/>
              <w:bottom w:type="dxa" w:w="70"/>
              <w:right w:type="dxa" w:w="80"/>
            </w:tcMar>
          </w:tcPr>
          <w:p>
            <w:r>
              <w:rPr>
                <w:b/>
                <w:bCs/>
                <w:color w:val="FFFFFF"/>
                <w:sz w:val="18"/>
                <w:szCs w:val="18"/>
              </w:rPr>
              <w:t xml:space="preserve">Producto</w:t>
            </w:r>
          </w:p>
        </w:tc>
        <w:tc>
          <w:tcPr>
            <w:tcW w:type="dxa" w:w="2160"/>
            <w:shd w:fill="2F5496" w:val="clear"/>
            <w:tcMar>
              <w:top w:type="dxa" w:w="70"/>
              <w:left w:type="dxa" w:w="80"/>
              <w:bottom w:type="dxa" w:w="70"/>
              <w:right w:type="dxa" w:w="80"/>
            </w:tcMar>
          </w:tcPr>
          <w:p>
            <w:r>
              <w:rPr>
                <w:b/>
                <w:bCs/>
                <w:color w:val="FFFFFF"/>
                <w:sz w:val="18"/>
                <w:szCs w:val="18"/>
              </w:rPr>
              <w:t xml:space="preserve">Marca</w:t>
            </w:r>
          </w:p>
        </w:tc>
        <w:tc>
          <w:tcPr>
            <w:tcW w:type="dxa" w:w="2160"/>
            <w:shd w:fill="2F5496" w:val="clear"/>
            <w:tcMar>
              <w:top w:type="dxa" w:w="70"/>
              <w:left w:type="dxa" w:w="80"/>
              <w:bottom w:type="dxa" w:w="70"/>
              <w:right w:type="dxa" w:w="80"/>
            </w:tcMar>
          </w:tcPr>
          <w:p>
            <w:r>
              <w:rPr>
                <w:b/>
                <w:bCs/>
                <w:color w:val="FFFFFF"/>
                <w:sz w:val="18"/>
                <w:szCs w:val="18"/>
              </w:rPr>
              <w:t xml:space="preserve">Temática</w:t>
            </w:r>
          </w:p>
        </w:tc>
        <w:tc>
          <w:tcPr>
            <w:tcW w:type="dxa" w:w="2160"/>
            <w:shd w:fill="2F5496" w:val="clear"/>
            <w:tcMar>
              <w:top w:type="dxa" w:w="70"/>
              <w:left w:type="dxa" w:w="80"/>
              <w:bottom w:type="dxa" w:w="70"/>
              <w:right w:type="dxa" w:w="80"/>
            </w:tcMar>
          </w:tcPr>
          <w:p>
            <w:r>
              <w:rPr>
                <w:b/>
                <w:bCs/>
                <w:color w:val="FFFFFF"/>
                <w:sz w:val="18"/>
                <w:szCs w:val="18"/>
              </w:rPr>
              <w:t xml:space="preserve">Precio orient.</w:t>
            </w:r>
          </w:p>
        </w:tc>
      </w:tr>
      <w:tr>
        <w:tc>
          <w:tcPr>
            <w:tcW w:type="dxa" w:w="2880"/>
            <w:tcMar>
              <w:top w:type="dxa" w:w="70"/>
              <w:left w:type="dxa" w:w="80"/>
              <w:bottom w:type="dxa" w:w="70"/>
              <w:right w:type="dxa" w:w="80"/>
            </w:tcMar>
          </w:tcPr>
          <w:p>
            <w:r>
              <w:rPr>
                <w:sz w:val="18"/>
                <w:szCs w:val="18"/>
              </w:rPr>
              <w:t xml:space="preserve">[Alternativa 1 — completar]</w:t>
            </w:r>
          </w:p>
        </w:tc>
        <w:tc>
          <w:tcPr>
            <w:tcW w:type="dxa" w:w="2160"/>
            <w:tcMar>
              <w:top w:type="dxa" w:w="70"/>
              <w:left w:type="dxa" w:w="80"/>
              <w:bottom w:type="dxa" w:w="70"/>
              <w:right w:type="dxa" w:w="80"/>
            </w:tcMar>
          </w:tcPr>
          <w:p>
            <w:r>
              <w:rPr>
                <w:sz w:val="18"/>
                <w:szCs w:val="18"/>
              </w:rPr>
              <w:t xml:space="preserve">[…]</w:t>
            </w:r>
          </w:p>
        </w:tc>
        <w:tc>
          <w:tcPr>
            <w:tcW w:type="dxa" w:w="2160"/>
            <w:tcMar>
              <w:top w:type="dxa" w:w="70"/>
              <w:left w:type="dxa" w:w="80"/>
              <w:bottom w:type="dxa" w:w="70"/>
              <w:right w:type="dxa" w:w="80"/>
            </w:tcMar>
          </w:tcPr>
          <w:p>
            <w:r>
              <w:rPr>
                <w:sz w:val="18"/>
                <w:szCs w:val="18"/>
              </w:rPr>
              <w:t xml:space="preserve">[…]</w:t>
            </w:r>
          </w:p>
        </w:tc>
        <w:tc>
          <w:tcPr>
            <w:tcW w:type="dxa" w:w="2160"/>
            <w:tcMar>
              <w:top w:type="dxa" w:w="70"/>
              <w:left w:type="dxa" w:w="80"/>
              <w:bottom w:type="dxa" w:w="70"/>
              <w:right w:type="dxa" w:w="80"/>
            </w:tcMar>
          </w:tcPr>
          <w:p>
            <w:r>
              <w:rPr>
                <w:sz w:val="18"/>
                <w:szCs w:val="18"/>
              </w:rPr>
              <w:t xml:space="preserve">[…]</w:t>
            </w:r>
          </w:p>
        </w:tc>
      </w:tr>
      <w:tr>
        <w:tc>
          <w:tcPr>
            <w:tcW w:type="dxa" w:w="2880"/>
            <w:tcMar>
              <w:top w:type="dxa" w:w="70"/>
              <w:left w:type="dxa" w:w="80"/>
              <w:bottom w:type="dxa" w:w="70"/>
              <w:right w:type="dxa" w:w="80"/>
            </w:tcMar>
          </w:tcPr>
          <w:p>
            <w:r>
              <w:rPr>
                <w:sz w:val="18"/>
                <w:szCs w:val="18"/>
              </w:rPr>
              <w:t xml:space="preserve">[Alternativa 2 — completar]</w:t>
            </w:r>
          </w:p>
        </w:tc>
        <w:tc>
          <w:tcPr>
            <w:tcW w:type="dxa" w:w="2160"/>
            <w:tcMar>
              <w:top w:type="dxa" w:w="70"/>
              <w:left w:type="dxa" w:w="80"/>
              <w:bottom w:type="dxa" w:w="70"/>
              <w:right w:type="dxa" w:w="80"/>
            </w:tcMar>
          </w:tcPr>
          <w:p>
            <w:r>
              <w:rPr>
                <w:sz w:val="18"/>
                <w:szCs w:val="18"/>
              </w:rPr>
              <w:t xml:space="preserve">[…]</w:t>
            </w:r>
          </w:p>
        </w:tc>
        <w:tc>
          <w:tcPr>
            <w:tcW w:type="dxa" w:w="2160"/>
            <w:tcMar>
              <w:top w:type="dxa" w:w="70"/>
              <w:left w:type="dxa" w:w="80"/>
              <w:bottom w:type="dxa" w:w="70"/>
              <w:right w:type="dxa" w:w="80"/>
            </w:tcMar>
          </w:tcPr>
          <w:p>
            <w:r>
              <w:rPr>
                <w:sz w:val="18"/>
                <w:szCs w:val="18"/>
              </w:rPr>
              <w:t xml:space="preserve">[…]</w:t>
            </w:r>
          </w:p>
        </w:tc>
        <w:tc>
          <w:tcPr>
            <w:tcW w:type="dxa" w:w="2160"/>
            <w:tcMar>
              <w:top w:type="dxa" w:w="70"/>
              <w:left w:type="dxa" w:w="80"/>
              <w:bottom w:type="dxa" w:w="70"/>
              <w:right w:type="dxa" w:w="80"/>
            </w:tcMar>
          </w:tcPr>
          <w:p>
            <w:r>
              <w:rPr>
                <w:sz w:val="18"/>
                <w:szCs w:val="18"/>
              </w:rPr>
              <w:t xml:space="preserve">[…]</w:t>
            </w:r>
          </w:p>
        </w:tc>
      </w:tr>
      <w:tr>
        <w:tc>
          <w:tcPr>
            <w:tcW w:type="dxa" w:w="2880"/>
            <w:tcMar>
              <w:top w:type="dxa" w:w="70"/>
              <w:left w:type="dxa" w:w="80"/>
              <w:bottom w:type="dxa" w:w="70"/>
              <w:right w:type="dxa" w:w="80"/>
            </w:tcMar>
          </w:tcPr>
          <w:p>
            <w:r>
              <w:rPr>
                <w:sz w:val="18"/>
                <w:szCs w:val="18"/>
              </w:rPr>
              <w:t xml:space="preserve">[Alternativa 3 — completar]</w:t>
            </w:r>
          </w:p>
        </w:tc>
        <w:tc>
          <w:tcPr>
            <w:tcW w:type="dxa" w:w="2160"/>
            <w:tcMar>
              <w:top w:type="dxa" w:w="70"/>
              <w:left w:type="dxa" w:w="80"/>
              <w:bottom w:type="dxa" w:w="70"/>
              <w:right w:type="dxa" w:w="80"/>
            </w:tcMar>
          </w:tcPr>
          <w:p>
            <w:r>
              <w:rPr>
                <w:sz w:val="18"/>
                <w:szCs w:val="18"/>
              </w:rPr>
              <w:t xml:space="preserve">[…]</w:t>
            </w:r>
          </w:p>
        </w:tc>
        <w:tc>
          <w:tcPr>
            <w:tcW w:type="dxa" w:w="2160"/>
            <w:tcMar>
              <w:top w:type="dxa" w:w="70"/>
              <w:left w:type="dxa" w:w="80"/>
              <w:bottom w:type="dxa" w:w="70"/>
              <w:right w:type="dxa" w:w="80"/>
            </w:tcMar>
          </w:tcPr>
          <w:p>
            <w:r>
              <w:rPr>
                <w:sz w:val="18"/>
                <w:szCs w:val="18"/>
              </w:rPr>
              <w:t xml:space="preserve">[…]</w:t>
            </w:r>
          </w:p>
        </w:tc>
        <w:tc>
          <w:tcPr>
            <w:tcW w:type="dxa" w:w="2160"/>
            <w:tcMar>
              <w:top w:type="dxa" w:w="70"/>
              <w:left w:type="dxa" w:w="80"/>
              <w:bottom w:type="dxa" w:w="70"/>
              <w:right w:type="dxa" w:w="80"/>
            </w:tcMar>
          </w:tcPr>
          <w:p>
            <w:r>
              <w:rPr>
                <w:sz w:val="18"/>
                <w:szCs w:val="18"/>
              </w:rPr>
              <w:t xml:space="preserve">[…]</w:t>
            </w:r>
          </w:p>
        </w:tc>
      </w:tr>
      <w:tr>
        <w:tc>
          <w:tcPr>
            <w:tcW w:type="dxa" w:w="2880"/>
            <w:tcMar>
              <w:top w:type="dxa" w:w="70"/>
              <w:left w:type="dxa" w:w="80"/>
              <w:bottom w:type="dxa" w:w="70"/>
              <w:right w:type="dxa" w:w="80"/>
            </w:tcMar>
          </w:tcPr>
          <w:p>
            <w:r>
              <w:rPr>
                <w:sz w:val="18"/>
                <w:szCs w:val="18"/>
              </w:rPr>
              <w:t xml:space="preserve">[Alternativa 4 — completar]</w:t>
            </w:r>
          </w:p>
        </w:tc>
        <w:tc>
          <w:tcPr>
            <w:tcW w:type="dxa" w:w="2160"/>
            <w:tcMar>
              <w:top w:type="dxa" w:w="70"/>
              <w:left w:type="dxa" w:w="80"/>
              <w:bottom w:type="dxa" w:w="70"/>
              <w:right w:type="dxa" w:w="80"/>
            </w:tcMar>
          </w:tcPr>
          <w:p>
            <w:r>
              <w:rPr>
                <w:sz w:val="18"/>
                <w:szCs w:val="18"/>
              </w:rPr>
              <w:t xml:space="preserve">[…]</w:t>
            </w:r>
          </w:p>
        </w:tc>
        <w:tc>
          <w:tcPr>
            <w:tcW w:type="dxa" w:w="2160"/>
            <w:tcMar>
              <w:top w:type="dxa" w:w="70"/>
              <w:left w:type="dxa" w:w="80"/>
              <w:bottom w:type="dxa" w:w="70"/>
              <w:right w:type="dxa" w:w="80"/>
            </w:tcMar>
          </w:tcPr>
          <w:p>
            <w:r>
              <w:rPr>
                <w:sz w:val="18"/>
                <w:szCs w:val="18"/>
              </w:rPr>
              <w:t xml:space="preserve">[…]</w:t>
            </w:r>
          </w:p>
        </w:tc>
        <w:tc>
          <w:tcPr>
            <w:tcW w:type="dxa" w:w="2160"/>
            <w:tcMar>
              <w:top w:type="dxa" w:w="70"/>
              <w:left w:type="dxa" w:w="80"/>
              <w:bottom w:type="dxa" w:w="70"/>
              <w:right w:type="dxa" w:w="80"/>
            </w:tcMar>
          </w:tcPr>
          <w:p>
            <w:r>
              <w:rPr>
                <w:sz w:val="18"/>
                <w:szCs w:val="18"/>
              </w:rPr>
              <w:t xml:space="preserve">[…]</w:t>
            </w:r>
          </w:p>
        </w:tc>
      </w:tr>
      <w:tr>
        <w:tc>
          <w:tcPr>
            <w:tcW w:type="dxa" w:w="2880"/>
            <w:tcMar>
              <w:top w:type="dxa" w:w="70"/>
              <w:left w:type="dxa" w:w="80"/>
              <w:bottom w:type="dxa" w:w="70"/>
              <w:right w:type="dxa" w:w="80"/>
            </w:tcMar>
          </w:tcPr>
          <w:p>
            <w:r>
              <w:rPr>
                <w:sz w:val="18"/>
                <w:szCs w:val="18"/>
              </w:rPr>
              <w:t xml:space="preserve">[Alternativa 5 — completar]</w:t>
            </w:r>
          </w:p>
        </w:tc>
        <w:tc>
          <w:tcPr>
            <w:tcW w:type="dxa" w:w="2160"/>
            <w:tcMar>
              <w:top w:type="dxa" w:w="70"/>
              <w:left w:type="dxa" w:w="80"/>
              <w:bottom w:type="dxa" w:w="70"/>
              <w:right w:type="dxa" w:w="80"/>
            </w:tcMar>
          </w:tcPr>
          <w:p>
            <w:r>
              <w:rPr>
                <w:sz w:val="18"/>
                <w:szCs w:val="18"/>
              </w:rPr>
              <w:t xml:space="preserve">[…]</w:t>
            </w:r>
          </w:p>
        </w:tc>
        <w:tc>
          <w:tcPr>
            <w:tcW w:type="dxa" w:w="2160"/>
            <w:tcMar>
              <w:top w:type="dxa" w:w="70"/>
              <w:left w:type="dxa" w:w="80"/>
              <w:bottom w:type="dxa" w:w="70"/>
              <w:right w:type="dxa" w:w="80"/>
            </w:tcMar>
          </w:tcPr>
          <w:p>
            <w:r>
              <w:rPr>
                <w:sz w:val="18"/>
                <w:szCs w:val="18"/>
              </w:rPr>
              <w:t xml:space="preserve">[…]</w:t>
            </w:r>
          </w:p>
        </w:tc>
        <w:tc>
          <w:tcPr>
            <w:tcW w:type="dxa" w:w="2160"/>
            <w:tcMar>
              <w:top w:type="dxa" w:w="70"/>
              <w:left w:type="dxa" w:w="80"/>
              <w:bottom w:type="dxa" w:w="70"/>
              <w:right w:type="dxa" w:w="80"/>
            </w:tcMar>
          </w:tcPr>
          <w:p>
            <w:r>
              <w:rPr>
                <w:sz w:val="18"/>
                <w:szCs w:val="18"/>
              </w:rPr>
              <w:t xml:space="preserve">[…]</w:t>
            </w:r>
          </w:p>
        </w:tc>
      </w:tr>
    </w:tbl>
    <w:p>
      <w:pPr>
        <w:spacing w:after="100"/>
      </w:pPr>
    </w:p>
    <w:p>
      <w:pPr>
        <w:pStyle w:val="Heading2"/>
        <w:spacing w:after="120" w:before="300"/>
      </w:pPr>
      <w:r>
        <w:t xml:space="preserve">Puzzles de 1000 piezas baratos</w:t>
      </w:r>
    </w:p>
    <w:p>
      <w:pPr>
        <w:spacing w:after="160"/>
        <w:jc w:val="both"/>
      </w:pPr>
      <w:r>
        <w:rPr>
          <w:sz w:val="22"/>
          <w:szCs w:val="22"/>
        </w:rPr>
        <w:t xml:space="preserve">Si buscas un precio más ajustado sin renunciar a un acabado correcto, estas opciones mantienen una buena relación calidad-precio: [PENDIENTE DE COMPLETAR — 2-3 opciones económicas con ASIN]. Suelen tener menos detalle en el troquelado de la pieza, pero cumplen perfectamente para un uso ocasional.</w:t>
      </w:r>
    </w:p>
    <w:p>
      <w:pPr>
        <w:spacing w:after="100"/>
      </w:pPr>
    </w:p>
    <w:p>
      <w:pPr>
        <w:pStyle w:val="Heading2"/>
        <w:spacing w:after="120" w:before="300"/>
      </w:pPr>
      <w:r>
        <w:t xml:space="preserve">Ficha rápida: medidas y tiempo estimado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shd w:fill="2F5496" w:val="clear"/>
            <w:tcMar>
              <w:top w:type="dxa" w:w="70"/>
              <w:left w:type="dxa" w:w="80"/>
              <w:bottom w:type="dxa" w:w="70"/>
              <w:right w:type="dxa" w:w="80"/>
            </w:tcMar>
          </w:tcPr>
          <w:p>
            <w:r>
              <w:rPr>
                <w:b/>
                <w:bCs/>
                <w:color w:val="FFFFFF"/>
                <w:sz w:val="18"/>
                <w:szCs w:val="18"/>
              </w:rPr>
              <w:t xml:space="preserve">Dato</w:t>
            </w:r>
          </w:p>
        </w:tc>
        <w:tc>
          <w:tcPr>
            <w:tcW w:type="dxa" w:w="6480"/>
            <w:shd w:fill="2F5496" w:val="clear"/>
            <w:tcMar>
              <w:top w:type="dxa" w:w="70"/>
              <w:left w:type="dxa" w:w="80"/>
              <w:bottom w:type="dxa" w:w="70"/>
              <w:right w:type="dxa" w:w="80"/>
            </w:tcMar>
          </w:tcPr>
          <w:p>
            <w:r>
              <w:rPr>
                <w:b/>
                <w:bCs/>
                <w:color w:val="FFFFFF"/>
                <w:sz w:val="18"/>
                <w:szCs w:val="18"/>
              </w:rPr>
              <w:t xml:space="preserve">Valor orientativo</w:t>
            </w:r>
          </w:p>
        </w:tc>
      </w:tr>
      <w:tr>
        <w:tc>
          <w:tcPr>
            <w:tcW w:type="dxa" w:w="2880"/>
            <w:tcMar>
              <w:top w:type="dxa" w:w="70"/>
              <w:left w:type="dxa" w:w="80"/>
              <w:bottom w:type="dxa" w:w="70"/>
              <w:right w:type="dxa" w:w="80"/>
            </w:tcMar>
          </w:tcPr>
          <w:p>
            <w:r>
              <w:rPr>
                <w:sz w:val="18"/>
                <w:szCs w:val="18"/>
              </w:rPr>
              <w:t xml:space="preserve">Medidas terminado</w:t>
            </w:r>
          </w:p>
        </w:tc>
        <w:tc>
          <w:tcPr>
            <w:tcW w:type="dxa" w:w="6480"/>
            <w:tcMar>
              <w:top w:type="dxa" w:w="70"/>
              <w:left w:type="dxa" w:w="80"/>
              <w:bottom w:type="dxa" w:w="70"/>
              <w:right w:type="dxa" w:w="80"/>
            </w:tcMar>
          </w:tcPr>
          <w:p>
            <w:r>
              <w:rPr>
                <w:sz w:val="18"/>
                <w:szCs w:val="18"/>
              </w:rPr>
              <w:t xml:space="preserve">≈ 68 x 48 cm (varía según fabricante)</w:t>
            </w:r>
          </w:p>
        </w:tc>
      </w:tr>
      <w:tr>
        <w:tc>
          <w:tcPr>
            <w:tcW w:type="dxa" w:w="2880"/>
            <w:tcMar>
              <w:top w:type="dxa" w:w="70"/>
              <w:left w:type="dxa" w:w="80"/>
              <w:bottom w:type="dxa" w:w="70"/>
              <w:right w:type="dxa" w:w="80"/>
            </w:tcMar>
          </w:tcPr>
          <w:p>
            <w:r>
              <w:rPr>
                <w:sz w:val="18"/>
                <w:szCs w:val="18"/>
              </w:rPr>
              <w:t xml:space="preserve">Tiempo medio de montaje</w:t>
            </w:r>
          </w:p>
        </w:tc>
        <w:tc>
          <w:tcPr>
            <w:tcW w:type="dxa" w:w="6480"/>
            <w:tcMar>
              <w:top w:type="dxa" w:w="70"/>
              <w:left w:type="dxa" w:w="80"/>
              <w:bottom w:type="dxa" w:w="70"/>
              <w:right w:type="dxa" w:w="80"/>
            </w:tcMar>
          </w:tcPr>
          <w:p>
            <w:r>
              <w:rPr>
                <w:sz w:val="18"/>
                <w:szCs w:val="18"/>
              </w:rPr>
              <w:t xml:space="preserve">Entre 6 y 10 horas repartidas en varias sesiones</w:t>
            </w:r>
          </w:p>
        </w:tc>
      </w:tr>
      <w:tr>
        <w:tc>
          <w:tcPr>
            <w:tcW w:type="dxa" w:w="2880"/>
            <w:tcMar>
              <w:top w:type="dxa" w:w="70"/>
              <w:left w:type="dxa" w:w="80"/>
              <w:bottom w:type="dxa" w:w="70"/>
              <w:right w:type="dxa" w:w="80"/>
            </w:tcMar>
          </w:tcPr>
          <w:p>
            <w:r>
              <w:rPr>
                <w:sz w:val="18"/>
                <w:szCs w:val="18"/>
              </w:rPr>
              <w:t xml:space="preserve">Espacio recomendado</w:t>
            </w:r>
          </w:p>
        </w:tc>
        <w:tc>
          <w:tcPr>
            <w:tcW w:type="dxa" w:w="6480"/>
            <w:tcMar>
              <w:top w:type="dxa" w:w="70"/>
              <w:left w:type="dxa" w:w="80"/>
              <w:bottom w:type="dxa" w:w="70"/>
              <w:right w:type="dxa" w:w="80"/>
            </w:tcMar>
          </w:tcPr>
          <w:p>
            <w:r>
              <w:rPr>
                <w:sz w:val="18"/>
                <w:szCs w:val="18"/>
              </w:rPr>
              <w:t xml:space="preserve">Mesa o tapete de al menos 70 x 50 cm</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20"/>
              <w:left w:type="dxa" w:w="150"/>
              <w:bottom w:type="dxa" w:w="120"/>
              <w:right w:type="dxa" w:w="150"/>
            </w:tcMar>
          </w:tcPr>
          <w:p>
            <w:pPr>
              <w:spacing w:after="60"/>
            </w:pPr>
            <w:r>
              <w:rPr>
                <w:b/>
                <w:bCs/>
                <w:sz w:val="20"/>
                <w:szCs w:val="20"/>
              </w:rPr>
              <w:t xml:space="preserve">📌 Nota de producción (no publicar)</w:t>
            </w:r>
          </w:p>
          <w:p>
            <w:r>
              <w:rPr>
                <w:sz w:val="20"/>
                <w:szCs w:val="20"/>
              </w:rPr>
              <w:t xml:space="preserve">Enlaces internos: hacia y desde la "guía general de número de piezas" → /puzzles/numero-de-piezas-guia/ · si el producto destacado es de la marca Educa, enlazar también a "Puzzles Educa" → /puzzles/educa/. ASINs pendientes: 1 destacado + 5 alternativas de la tabla + 2-3 opciones baratas (8-9 en total, el bloque con más ASINs de toda la categoría). No crear apartados para menciones de franquicias (One Piece, Naruto) ni de obras de arte ("El jardín de las delicias") detectadas en el long tail — son ruido de baja frecuencia. La mención a "la casa del puzzle" en el long tail es solo indicio de que el usuario compara precios entre tiendas; no replicar ese naming ni citarlo como marca propia.</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2026-08-05T20:13:14.351Z</dcterms:created>
  <dcterms:modified xsi:type="dcterms:W3CDTF">2026-08-05T20:13:14.351Z</dcterms:modified>
</cp:coreProperties>
</file>

<file path=docProps/custom.xml><?xml version="1.0" encoding="utf-8"?>
<Properties xmlns="http://schemas.openxmlformats.org/officeDocument/2006/custom-properties" xmlns:vt="http://schemas.openxmlformats.org/officeDocument/2006/docPropsVTypes"/>
</file>