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2F5496"/>
          <w:sz w:val="20"/>
          <w:szCs w:val="20"/>
        </w:rPr>
        <w:t xml:space="preserve">LAUDEREM · Redactado final · Artículo hijo · Categoría Puzzles</w:t>
      </w:r>
    </w:p>
    <w:p>
      <w:pPr>
        <w:spacing w:after="240"/>
      </w:pPr>
      <w:r>
        <w:rPr>
          <w:i/>
          <w:iCs/>
          <w:color w:val="595959"/>
          <w:sz w:val="18"/>
          <w:szCs w:val="18"/>
        </w:rPr>
        <w:t xml:space="preserve">Listo para publicar · Enlaces internos en azul y negrita · Placeholders de producto marcados entre corchetes</w:t>
      </w:r>
    </w:p>
    <w:p>
      <w:pPr>
        <w:pStyle w:val="Heading1"/>
        <w:spacing w:after="160" w:before="200"/>
      </w:pPr>
      <w:r>
        <w:t xml:space="preserve">Puzzles de madera para niños: guía de compra y selección</w:t>
      </w:r>
    </w:p>
    <w:p>
      <w:pPr>
        <w:spacing w:after="160"/>
        <w:jc w:val="both"/>
      </w:pPr>
      <w:r>
        <w:rPr>
          <w:sz w:val="22"/>
          <w:szCs w:val="22"/>
        </w:rPr>
        <w:t xml:space="preserve">Los puzzles de madera son la opción preferida cuando se busca un regalo duradero: resisten mucho mejor el paso de los años que el cartón, son aptos desde edades muy tempranas gracias a sus piezas grandes y redondeadas, y suelen fabricarse con materiales más sostenibles. No es casualidad que sean también los puzzles favoritos en pedagogía Montessori para los primeros años de vida.</w:t>
      </w:r>
    </w:p>
    <w:p>
      <w:pPr>
        <w:spacing w:after="100"/>
      </w:pPr>
    </w:p>
    <w:p>
      <w:pPr>
        <w:pStyle w:val="Heading2"/>
        <w:spacing w:after="120" w:before="300"/>
      </w:pPr>
      <w:r>
        <w:t xml:space="preserve">Los mejores puzzles de madera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DDEBF7" w:val="clear"/>
            <w:tcMar>
              <w:top w:type="dxa" w:w="140"/>
              <w:left w:type="dxa" w:w="180"/>
              <w:bottom w:type="dxa" w:w="140"/>
              <w:right w:type="dxa" w:w="180"/>
            </w:tcMar>
          </w:tcPr>
          <w:p>
            <w:pPr>
              <w:spacing w:after="60"/>
            </w:pPr>
            <w:r>
              <w:rPr>
                <w:b/>
                <w:bCs/>
                <w:color w:val="2F5496"/>
                <w:sz w:val="20"/>
                <w:szCs w:val="20"/>
              </w:rPr>
              <w:t xml:space="preserve">⭐ Nuestra recomendación</w:t>
            </w:r>
          </w:p>
          <w:p>
            <w:pPr>
              <w:spacing w:after="60"/>
            </w:pPr>
            <w:r>
              <w:rPr>
                <w:b/>
                <w:bCs/>
                <w:sz w:val="24"/>
                <w:szCs w:val="24"/>
              </w:rPr>
              <w:t xml:space="preserve">[Nombre de producto madera general — completar]</w:t>
            </w:r>
          </w:p>
          <w:p>
            <w:pPr>
              <w:spacing w:after="80"/>
            </w:pPr>
            <w:r>
              <w:rPr>
                <w:sz w:val="21"/>
                <w:szCs w:val="21"/>
              </w:rPr>
              <w:t xml:space="preserve">Acabado en madera maciza, piezas resistentes y diseño pensado para durar varias generaciones de uso.</w:t>
            </w:r>
          </w:p>
          <w:p>
            <w:r>
              <w:rPr>
                <w:i/>
                <w:iCs/>
                <w:color w:val="595959"/>
                <w:sz w:val="18"/>
                <w:szCs w:val="18"/>
              </w:rPr>
              <w:t xml:space="preserve">[PENDIENTE DE COMPLETAR — ASIN madera general]</w:t>
            </w:r>
          </w:p>
        </w:tc>
      </w:tr>
    </w:tbl>
    <w:p>
      <w:pPr>
        <w:spacing w:after="100"/>
      </w:pPr>
    </w:p>
    <w:p>
      <w:pPr>
        <w:spacing w:after="160"/>
        <w:jc w:val="both"/>
      </w:pPr>
      <w:r>
        <w:rPr>
          <w:sz w:val="22"/>
          <w:szCs w:val="22"/>
        </w:rPr>
        <w:t xml:space="preserve">Otras opciones destacadas dentro de este material:</w:t>
      </w:r>
    </w:p>
    <w:p>
      <w:pPr>
        <w:spacing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80"/>
        <w:gridCol w:w="3240"/>
        <w:gridCol w:w="3240"/>
      </w:tblGrid>
      <w:tr>
        <w:tc>
          <w:tcPr>
            <w:tcW w:type="dxa" w:w="2880"/>
            <w:shd w:fill="2F5496" w:val="clear"/>
            <w:tcMar>
              <w:top w:type="dxa" w:w="70"/>
              <w:left w:type="dxa" w:w="80"/>
              <w:bottom w:type="dxa" w:w="70"/>
              <w:right w:type="dxa" w:w="80"/>
            </w:tcMar>
          </w:tcPr>
          <w:p>
            <w:r>
              <w:rPr>
                <w:b/>
                <w:bCs/>
                <w:color w:val="FFFFFF"/>
                <w:sz w:val="18"/>
                <w:szCs w:val="18"/>
              </w:rPr>
              <w:t xml:space="preserve">Producto</w:t>
            </w:r>
          </w:p>
        </w:tc>
        <w:tc>
          <w:tcPr>
            <w:tcW w:type="dxa" w:w="3240"/>
            <w:shd w:fill="2F5496" w:val="clear"/>
            <w:tcMar>
              <w:top w:type="dxa" w:w="70"/>
              <w:left w:type="dxa" w:w="80"/>
              <w:bottom w:type="dxa" w:w="70"/>
              <w:right w:type="dxa" w:w="80"/>
            </w:tcMar>
          </w:tcPr>
          <w:p>
            <w:r>
              <w:rPr>
                <w:b/>
                <w:bCs/>
                <w:color w:val="FFFFFF"/>
                <w:sz w:val="18"/>
                <w:szCs w:val="18"/>
              </w:rPr>
              <w:t xml:space="preserve">Nº piezas</w:t>
            </w:r>
          </w:p>
        </w:tc>
        <w:tc>
          <w:tcPr>
            <w:tcW w:type="dxa" w:w="3240"/>
            <w:shd w:fill="2F5496" w:val="clear"/>
            <w:tcMar>
              <w:top w:type="dxa" w:w="70"/>
              <w:left w:type="dxa" w:w="80"/>
              <w:bottom w:type="dxa" w:w="70"/>
              <w:right w:type="dxa" w:w="80"/>
            </w:tcMar>
          </w:tcPr>
          <w:p>
            <w:r>
              <w:rPr>
                <w:b/>
                <w:bCs/>
                <w:color w:val="FFFFFF"/>
                <w:sz w:val="18"/>
                <w:szCs w:val="18"/>
              </w:rPr>
              <w:t xml:space="preserve">Edad recomendada</w:t>
            </w:r>
          </w:p>
        </w:tc>
      </w:tr>
      <w:tr>
        <w:tc>
          <w:tcPr>
            <w:tcW w:type="dxa" w:w="2880"/>
            <w:tcMar>
              <w:top w:type="dxa" w:w="70"/>
              <w:left w:type="dxa" w:w="80"/>
              <w:bottom w:type="dxa" w:w="70"/>
              <w:right w:type="dxa" w:w="80"/>
            </w:tcMar>
          </w:tcPr>
          <w:p>
            <w:r>
              <w:rPr>
                <w:sz w:val="18"/>
                <w:szCs w:val="18"/>
              </w:rPr>
              <w:t xml:space="preserve">[Alternativa 1 — completar]</w:t>
            </w:r>
          </w:p>
        </w:tc>
        <w:tc>
          <w:tcPr>
            <w:tcW w:type="dxa" w:w="3240"/>
            <w:tcMar>
              <w:top w:type="dxa" w:w="70"/>
              <w:left w:type="dxa" w:w="80"/>
              <w:bottom w:type="dxa" w:w="70"/>
              <w:right w:type="dxa" w:w="80"/>
            </w:tcMar>
          </w:tcPr>
          <w:p>
            <w:r>
              <w:rPr>
                <w:sz w:val="18"/>
                <w:szCs w:val="18"/>
              </w:rPr>
              <w:t xml:space="preserve">[…]</w:t>
            </w:r>
          </w:p>
        </w:tc>
        <w:tc>
          <w:tcPr>
            <w:tcW w:type="dxa" w:w="3240"/>
            <w:tcMar>
              <w:top w:type="dxa" w:w="70"/>
              <w:left w:type="dxa" w:w="80"/>
              <w:bottom w:type="dxa" w:w="70"/>
              <w:right w:type="dxa" w:w="80"/>
            </w:tcMar>
          </w:tcPr>
          <w:p>
            <w:r>
              <w:rPr>
                <w:sz w:val="18"/>
                <w:szCs w:val="18"/>
              </w:rPr>
              <w:t xml:space="preserve">[…]</w:t>
            </w:r>
          </w:p>
        </w:tc>
      </w:tr>
      <w:tr>
        <w:tc>
          <w:tcPr>
            <w:tcW w:type="dxa" w:w="2880"/>
            <w:tcMar>
              <w:top w:type="dxa" w:w="70"/>
              <w:left w:type="dxa" w:w="80"/>
              <w:bottom w:type="dxa" w:w="70"/>
              <w:right w:type="dxa" w:w="80"/>
            </w:tcMar>
          </w:tcPr>
          <w:p>
            <w:r>
              <w:rPr>
                <w:sz w:val="18"/>
                <w:szCs w:val="18"/>
              </w:rPr>
              <w:t xml:space="preserve">[Alternativa 2 — completar]</w:t>
            </w:r>
          </w:p>
        </w:tc>
        <w:tc>
          <w:tcPr>
            <w:tcW w:type="dxa" w:w="3240"/>
            <w:tcMar>
              <w:top w:type="dxa" w:w="70"/>
              <w:left w:type="dxa" w:w="80"/>
              <w:bottom w:type="dxa" w:w="70"/>
              <w:right w:type="dxa" w:w="80"/>
            </w:tcMar>
          </w:tcPr>
          <w:p>
            <w:r>
              <w:rPr>
                <w:sz w:val="18"/>
                <w:szCs w:val="18"/>
              </w:rPr>
              <w:t xml:space="preserve">[…]</w:t>
            </w:r>
          </w:p>
        </w:tc>
        <w:tc>
          <w:tcPr>
            <w:tcW w:type="dxa" w:w="3240"/>
            <w:tcMar>
              <w:top w:type="dxa" w:w="70"/>
              <w:left w:type="dxa" w:w="80"/>
              <w:bottom w:type="dxa" w:w="70"/>
              <w:right w:type="dxa" w:w="80"/>
            </w:tcMar>
          </w:tcPr>
          <w:p>
            <w:r>
              <w:rPr>
                <w:sz w:val="18"/>
                <w:szCs w:val="18"/>
              </w:rPr>
              <w:t xml:space="preserve">[…]</w:t>
            </w:r>
          </w:p>
        </w:tc>
      </w:tr>
      <w:tr>
        <w:tc>
          <w:tcPr>
            <w:tcW w:type="dxa" w:w="2880"/>
            <w:tcMar>
              <w:top w:type="dxa" w:w="70"/>
              <w:left w:type="dxa" w:w="80"/>
              <w:bottom w:type="dxa" w:w="70"/>
              <w:right w:type="dxa" w:w="80"/>
            </w:tcMar>
          </w:tcPr>
          <w:p>
            <w:r>
              <w:rPr>
                <w:sz w:val="18"/>
                <w:szCs w:val="18"/>
              </w:rPr>
              <w:t xml:space="preserve">[Alternativa 3 — completar]</w:t>
            </w:r>
          </w:p>
        </w:tc>
        <w:tc>
          <w:tcPr>
            <w:tcW w:type="dxa" w:w="3240"/>
            <w:tcMar>
              <w:top w:type="dxa" w:w="70"/>
              <w:left w:type="dxa" w:w="80"/>
              <w:bottom w:type="dxa" w:w="70"/>
              <w:right w:type="dxa" w:w="80"/>
            </w:tcMar>
          </w:tcPr>
          <w:p>
            <w:r>
              <w:rPr>
                <w:sz w:val="18"/>
                <w:szCs w:val="18"/>
              </w:rPr>
              <w:t xml:space="preserve">[…]</w:t>
            </w:r>
          </w:p>
        </w:tc>
        <w:tc>
          <w:tcPr>
            <w:tcW w:type="dxa" w:w="3240"/>
            <w:tcMar>
              <w:top w:type="dxa" w:w="70"/>
              <w:left w:type="dxa" w:w="80"/>
              <w:bottom w:type="dxa" w:w="70"/>
              <w:right w:type="dxa" w:w="80"/>
            </w:tcMar>
          </w:tcPr>
          <w:p>
            <w:r>
              <w:rPr>
                <w:sz w:val="18"/>
                <w:szCs w:val="18"/>
              </w:rPr>
              <w:t xml:space="preserve">[…]</w:t>
            </w:r>
          </w:p>
        </w:tc>
      </w:tr>
    </w:tbl>
    <w:p>
      <w:pPr>
        <w:spacing w:after="100"/>
      </w:pPr>
    </w:p>
    <w:p>
      <w:pPr>
        <w:pStyle w:val="Heading2"/>
        <w:spacing w:after="120" w:before="300"/>
      </w:pPr>
      <w:r>
        <w:t xml:space="preserve">Puzzles de madera Montessori y para bebés</w:t>
      </w:r>
    </w:p>
    <w:p>
      <w:pPr>
        <w:spacing w:after="160"/>
        <w:jc w:val="both"/>
      </w:pPr>
      <w:r>
        <w:rPr>
          <w:sz w:val="22"/>
          <w:szCs w:val="22"/>
        </w:rPr>
        <w:t xml:space="preserve">Para los más pequeños (a partir de 1 año), los puzzles de madera con piezas de encaje individuales son ideales para trabajar la motricidad fina y la coordinación mano-ojo, siguiendo el enfoque Montessori de aprendizaje a través del juego autónomo.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DDEBF7" w:val="clear"/>
            <w:tcMar>
              <w:top w:type="dxa" w:w="140"/>
              <w:left w:type="dxa" w:w="180"/>
              <w:bottom w:type="dxa" w:w="140"/>
              <w:right w:type="dxa" w:w="180"/>
            </w:tcMar>
          </w:tcPr>
          <w:p>
            <w:pPr>
              <w:spacing w:after="60"/>
            </w:pPr>
            <w:r>
              <w:rPr>
                <w:b/>
                <w:bCs/>
                <w:color w:val="2F5496"/>
                <w:sz w:val="20"/>
                <w:szCs w:val="20"/>
              </w:rPr>
              <w:t xml:space="preserve">⭐ Nuestra recomendación</w:t>
            </w:r>
          </w:p>
          <w:p>
            <w:pPr>
              <w:spacing w:after="60"/>
            </w:pPr>
            <w:r>
              <w:rPr>
                <w:b/>
                <w:bCs/>
                <w:sz w:val="24"/>
                <w:szCs w:val="24"/>
              </w:rPr>
              <w:t xml:space="preserve">[Nombre de producto madera bebé — completar]</w:t>
            </w:r>
          </w:p>
          <w:p>
            <w:pPr>
              <w:spacing w:after="80"/>
            </w:pPr>
            <w:r>
              <w:rPr>
                <w:sz w:val="21"/>
                <w:szCs w:val="21"/>
              </w:rPr>
              <w:t xml:space="preserve">Piezas de encaje individuales de gran tamaño, con pomo para facilitar el agarre desde el primer año.</w:t>
            </w:r>
          </w:p>
          <w:p>
            <w:r>
              <w:rPr>
                <w:i/>
                <w:iCs/>
                <w:color w:val="595959"/>
                <w:sz w:val="18"/>
                <w:szCs w:val="18"/>
              </w:rPr>
              <w:t xml:space="preserve">[PENDIENTE DE COMPLETAR — ASIN madera bebé]</w:t>
            </w:r>
          </w:p>
        </w:tc>
      </w:tr>
    </w:tbl>
    <w:p>
      <w:pPr>
        <w:spacing w:after="100"/>
      </w:pPr>
    </w:p>
    <w:p>
      <w:pPr>
        <w:pStyle w:val="Heading2"/>
        <w:spacing w:after="120" w:before="300"/>
      </w:pPr>
      <w:r>
        <w:t xml:space="preserve">Puzzles de madera con formas geométricas</w:t>
      </w:r>
    </w:p>
    <w:p>
      <w:pPr>
        <w:spacing w:after="160"/>
        <w:jc w:val="both"/>
      </w:pPr>
      <w:r>
        <w:rPr>
          <w:sz w:val="22"/>
          <w:szCs w:val="22"/>
        </w:rPr>
        <w:t xml:space="preserve">Cubos, esferas, estrellas, pirámides y cruces son los diseños más habituales dentro de esta variante, pensada tanto para el aprendizaje de formas básicas como para decoración infantil. Suelen combinarse con colores vivos para reforzar también el reconocimiento cromático.</w:t>
      </w:r>
    </w:p>
    <w:p>
      <w:pPr>
        <w:spacing w:after="100"/>
      </w:pPr>
    </w:p>
    <w:p>
      <w:pPr>
        <w:pStyle w:val="Heading2"/>
        <w:spacing w:after="120" w:before="300"/>
      </w:pPr>
      <w:r>
        <w:t xml:space="preserve">Puzzles de madera de animales</w:t>
      </w:r>
    </w:p>
    <w:p>
      <w:pPr>
        <w:spacing w:after="160"/>
        <w:jc w:val="both"/>
      </w:pPr>
      <w:r>
        <w:rPr>
          <w:sz w:val="22"/>
          <w:szCs w:val="22"/>
        </w:rPr>
        <w:t xml:space="preserve">Jirafas, elefantes y mariposas son algunos de los diseños más buscados en madera. Si te interesa esta temática en más detalle —incluyendo opciones también en cartón—, consulta nuestra </w:t>
      </w:r>
    </w:p>
    <w:p>
      <w:pPr>
        <w:pStyle w:val="ListParagraph"/>
        <w:numPr>
          <w:ilvl w:val="0"/>
          <w:numId w:val="2"/>
        </w:numPr>
        <w:spacing w:after="80"/>
      </w:pPr>
      <w:r>
        <w:rPr>
          <w:b/>
          <w:bCs/>
          <w:color w:val="2F5496"/>
        </w:rPr>
        <w:t xml:space="preserve">guía de puzzles de animales</w:t>
      </w:r>
      <w:r>
        <w:rPr>
          <w:sz w:val="22"/>
          <w:szCs w:val="22"/>
        </w:rPr>
        <w:t xml:space="preserve">.</w:t>
      </w:r>
    </w:p>
    <w:p>
      <w:pPr>
        <w:spacing w:after="100"/>
      </w:pPr>
    </w:p>
    <w:p>
      <w:pPr>
        <w:pStyle w:val="Heading2"/>
        <w:spacing w:after="120" w:before="300"/>
      </w:pPr>
      <w:r>
        <w:t xml:space="preserve">Puzzles de madera educativos</w:t>
      </w:r>
    </w:p>
    <w:p>
      <w:pPr>
        <w:spacing w:after="160"/>
        <w:jc w:val="both"/>
      </w:pPr>
      <w:r>
        <w:rPr>
          <w:sz w:val="22"/>
          <w:szCs w:val="22"/>
        </w:rPr>
        <w:t xml:space="preserve">Letras, números, abecedario y mapamundi son los formatos educativos más habituales en este material, gracias a su resistencia frente al uso diario en el aula o en casa. Repasamos todas las opciones —también en otros materiales— en nuestra </w:t>
      </w:r>
    </w:p>
    <w:p>
      <w:pPr>
        <w:pStyle w:val="ListParagraph"/>
        <w:numPr>
          <w:ilvl w:val="0"/>
          <w:numId w:val="2"/>
        </w:numPr>
        <w:spacing w:after="80"/>
      </w:pPr>
      <w:r>
        <w:rPr>
          <w:b/>
          <w:bCs/>
          <w:color w:val="2F5496"/>
        </w:rPr>
        <w:t xml:space="preserve">guía de puzzles educativos</w:t>
      </w:r>
      <w:r>
        <w:rPr>
          <w:sz w:val="22"/>
          <w:szCs w:val="22"/>
        </w:rPr>
        <w:t xml:space="preserve">.</w:t>
      </w:r>
    </w:p>
    <w:p>
      <w:pPr>
        <w:spacing w:after="100"/>
      </w:pPr>
    </w:p>
    <w:p>
      <w:pPr>
        <w:pStyle w:val="Heading2"/>
        <w:spacing w:after="120" w:before="300"/>
      </w:pPr>
      <w:r>
        <w:t xml:space="preserve">Puzzles de madera difíciles: consejos para resolverlos</w:t>
      </w:r>
    </w:p>
    <w:p>
      <w:pPr>
        <w:spacing w:after="160"/>
        <w:jc w:val="both"/>
      </w:pPr>
      <w:r>
        <w:rPr>
          <w:sz w:val="22"/>
          <w:szCs w:val="22"/>
        </w:rPr>
        <w:t xml:space="preserve">Algunos puzzles de madera, especialmente los de tipo "puzzle chino" o los rompecabezas de piezas irregulares, tienen fama de ser complicados de resolver. Algunos trucos que funcionan bien en este tipo de formato:</w:t>
      </w:r>
    </w:p>
    <w:p>
      <w:pPr>
        <w:pStyle w:val="ListParagraph"/>
        <w:numPr>
          <w:ilvl w:val="0"/>
          <w:numId w:val="2"/>
        </w:numPr>
        <w:spacing w:after="80"/>
      </w:pPr>
      <w:r>
        <w:rPr>
          <w:sz w:val="22"/>
          <w:szCs w:val="22"/>
        </w:rPr>
        <w:t xml:space="preserve">Empieza siempre por las piezas de los bordes y las esquinas, aunque el diseño no sea rectangular: suelen tener una forma más reconocible.</w:t>
      </w:r>
    </w:p>
    <w:p>
      <w:pPr>
        <w:pStyle w:val="ListParagraph"/>
        <w:numPr>
          <w:ilvl w:val="0"/>
          <w:numId w:val="2"/>
        </w:numPr>
        <w:spacing w:after="80"/>
      </w:pPr>
      <w:r>
        <w:rPr>
          <w:sz w:val="22"/>
          <w:szCs w:val="22"/>
        </w:rPr>
        <w:t xml:space="preserve">Agrupa las piezas por color o textura de la madera antes de intentar encajarlas.</w:t>
      </w:r>
    </w:p>
    <w:p>
      <w:pPr>
        <w:pStyle w:val="ListParagraph"/>
        <w:numPr>
          <w:ilvl w:val="0"/>
          <w:numId w:val="2"/>
        </w:numPr>
        <w:spacing w:after="80"/>
      </w:pPr>
      <w:r>
        <w:rPr>
          <w:sz w:val="22"/>
          <w:szCs w:val="22"/>
        </w:rPr>
        <w:t xml:space="preserve">En los modelos de tipo rompecabezas 3D, monta primero la base o estructura principal antes de añadir las piezas de detalle.</w:t>
      </w:r>
    </w:p>
    <w:p>
      <w:pPr>
        <w:pStyle w:val="ListParagraph"/>
        <w:numPr>
          <w:ilvl w:val="0"/>
          <w:numId w:val="2"/>
        </w:numPr>
        <w:spacing w:after="80"/>
      </w:pPr>
      <w:r>
        <w:rPr>
          <w:sz w:val="22"/>
          <w:szCs w:val="22"/>
        </w:rPr>
        <w:t xml:space="preserve">Si llevas más de 20 minutos atascado en una pieza, cambia de zona: es más eficaz avanzar en otra parte y volver después con la vista descansada.</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FF2CC" w:val="clear"/>
            <w:tcMar>
              <w:top w:type="dxa" w:w="120"/>
              <w:left w:type="dxa" w:w="150"/>
              <w:bottom w:type="dxa" w:w="120"/>
              <w:right w:type="dxa" w:w="150"/>
            </w:tcMar>
          </w:tcPr>
          <w:p>
            <w:pPr>
              <w:spacing w:after="60"/>
            </w:pPr>
            <w:r>
              <w:rPr>
                <w:b/>
                <w:bCs/>
                <w:sz w:val="20"/>
                <w:szCs w:val="20"/>
              </w:rPr>
              <w:t xml:space="preserve">📌 Nota de producción (no publicar)</w:t>
            </w:r>
          </w:p>
          <w:p>
            <w:r>
              <w:rPr>
                <w:sz w:val="20"/>
                <w:szCs w:val="20"/>
              </w:rPr>
              <w:t xml:space="preserve">Enlaces internos: "guía de puzzles de animales" → /puzzles/animales/ · "guía de puzzles educativos" → /puzzles/educativos/ · pilar de la categoría → /puzzles/ (enlazar desde el H1 o breadcrumb). ASINs pendientes: madera general + madera bebé (2 en total, más las 3 alternativas de la tabla comparativa = 5). Reforzar en toda la redacción el ángulo de material sostenible y apto para 0-6 años, tal como marca el brief — es el eje diferencial de este artículo frente al resto de la categoría.</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2026-08-05T20:20:15.838Z</dcterms:created>
  <dcterms:modified xsi:type="dcterms:W3CDTF">2026-08-05T20:20:15.855Z</dcterms:modified>
</cp:coreProperties>
</file>

<file path=docProps/custom.xml><?xml version="1.0" encoding="utf-8"?>
<Properties xmlns="http://schemas.openxmlformats.org/officeDocument/2006/custom-properties" xmlns:vt="http://schemas.openxmlformats.org/officeDocument/2006/docPropsVTypes"/>
</file>