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Puzzles educativos: letras, números y cuerpo humano para aprender jugando</w:t>
      </w:r>
    </w:p>
    <w:p>
      <w:pPr>
        <w:spacing w:after="160"/>
        <w:jc w:val="both"/>
      </w:pPr>
      <w:r>
        <w:rPr>
          <w:sz w:val="22"/>
          <w:szCs w:val="22"/>
        </w:rPr>
        <w:t xml:space="preserve">Un puzzle educativo convierte el tiempo de juego en una oportunidad de aprendizaje, sin que el niño o la niña lo perciba como una tarea. A continuación tienes nuestra selección organizada por materia, para que encuentres justo el refuerzo que buscas: desde las primeras letras hasta el sistema solar.</w:t>
      </w:r>
    </w:p>
    <w:p>
      <w:pPr>
        <w:spacing w:after="100"/>
      </w:pPr>
    </w:p>
    <w:p>
      <w:pPr>
        <w:pStyle w:val="Heading2"/>
        <w:spacing w:after="120" w:before="300"/>
      </w:pPr>
      <w:r>
        <w:t xml:space="preserve">Puzzles de letras y abecedario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letras/abecedario — completar]</w:t>
            </w:r>
          </w:p>
          <w:p>
            <w:pPr>
              <w:spacing w:after="80"/>
            </w:pPr>
            <w:r>
              <w:rPr>
                <w:sz w:val="21"/>
                <w:szCs w:val="21"/>
              </w:rPr>
              <w:t xml:space="preserve">Ideal para reforzar el reconocimiento de letras y la asociación con sonidos e imágenes en los primeros años de lectoescritura.</w:t>
            </w:r>
          </w:p>
          <w:p>
            <w:r>
              <w:rPr>
                <w:i/>
                <w:iCs/>
                <w:color w:val="595959"/>
                <w:sz w:val="18"/>
                <w:szCs w:val="18"/>
              </w:rPr>
              <w:t xml:space="preserve">[PENDIENTE DE COMPLETAR — ASIN letras]</w:t>
            </w:r>
          </w:p>
        </w:tc>
      </w:tr>
    </w:tbl>
    <w:p>
      <w:pPr>
        <w:spacing w:after="100"/>
      </w:pPr>
    </w:p>
    <w:p>
      <w:pPr>
        <w:pStyle w:val="Heading2"/>
        <w:spacing w:after="120" w:before="300"/>
      </w:pPr>
      <w:r>
        <w:t xml:space="preserve">Puzzles de números y matemáticas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números/matemáticas — completar]</w:t>
            </w:r>
          </w:p>
          <w:p>
            <w:pPr>
              <w:spacing w:after="80"/>
            </w:pPr>
            <w:r>
              <w:rPr>
                <w:sz w:val="21"/>
                <w:szCs w:val="21"/>
              </w:rPr>
              <w:t xml:space="preserve">Trabaja el conteo, el reconocimiento numérico y las primeras operaciones básicas de forma manipulativa.</w:t>
            </w:r>
          </w:p>
          <w:p>
            <w:r>
              <w:rPr>
                <w:i/>
                <w:iCs/>
                <w:color w:val="595959"/>
                <w:sz w:val="18"/>
                <w:szCs w:val="18"/>
              </w:rPr>
              <w:t xml:space="preserve">[PENDIENTE DE COMPLETAR — ASIN números]</w:t>
            </w:r>
          </w:p>
        </w:tc>
      </w:tr>
    </w:tbl>
    <w:p>
      <w:pPr>
        <w:spacing w:after="100"/>
      </w:pPr>
    </w:p>
    <w:p>
      <w:pPr>
        <w:pStyle w:val="Heading2"/>
        <w:spacing w:after="120" w:before="300"/>
      </w:pPr>
      <w:r>
        <w:t xml:space="preserve">Puzzles en inglés para aprender idiomas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inglés — completar]</w:t>
            </w:r>
          </w:p>
          <w:p>
            <w:pPr>
              <w:spacing w:after="80"/>
            </w:pPr>
            <w:r>
              <w:rPr>
                <w:sz w:val="21"/>
                <w:szCs w:val="21"/>
              </w:rPr>
              <w:t xml:space="preserve">Vocabulario básico en inglés integrado en la propia imagen del puzzle, útil como apoyo a las primeras clases del idioma.</w:t>
            </w:r>
          </w:p>
          <w:p>
            <w:r>
              <w:rPr>
                <w:i/>
                <w:iCs/>
                <w:color w:val="595959"/>
                <w:sz w:val="18"/>
                <w:szCs w:val="18"/>
              </w:rPr>
              <w:t xml:space="preserve">[PENDIENTE DE COMPLETAR — ASIN inglés]</w:t>
            </w:r>
          </w:p>
        </w:tc>
      </w:tr>
    </w:tbl>
    <w:p>
      <w:pPr>
        <w:spacing w:after="100"/>
      </w:pPr>
    </w:p>
    <w:p>
      <w:pPr>
        <w:pStyle w:val="Heading2"/>
        <w:spacing w:after="120" w:before="300"/>
      </w:pPr>
      <w:r>
        <w:t xml:space="preserve">Puzzles del cuerpo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cuerpo humano — completar]</w:t>
            </w:r>
          </w:p>
          <w:p>
            <w:pPr>
              <w:spacing w:after="80"/>
            </w:pPr>
            <w:r>
              <w:rPr>
                <w:sz w:val="21"/>
                <w:szCs w:val="21"/>
              </w:rPr>
              <w:t xml:space="preserve">Introduce los órganos y sistemas principales del cuerpo de forma visual, muy usado también como recurso de aula.</w:t>
            </w:r>
          </w:p>
          <w:p>
            <w:r>
              <w:rPr>
                <w:i/>
                <w:iCs/>
                <w:color w:val="595959"/>
                <w:sz w:val="18"/>
                <w:szCs w:val="18"/>
              </w:rPr>
              <w:t xml:space="preserve">[PENDIENTE DE COMPLETAR — ASIN cuerpo humano]</w:t>
            </w:r>
          </w:p>
        </w:tc>
      </w:tr>
    </w:tbl>
    <w:p>
      <w:pPr>
        <w:spacing w:after="100"/>
      </w:pPr>
    </w:p>
    <w:p>
      <w:pPr>
        <w:pStyle w:val="Heading2"/>
        <w:spacing w:after="120" w:before="300"/>
      </w:pPr>
      <w:r>
        <w:t xml:space="preserve">Puzzles para colorear</w:t>
      </w:r>
    </w:p>
    <w:p>
      <w:pPr>
        <w:spacing w:after="160"/>
        <w:jc w:val="both"/>
      </w:pPr>
      <w:r>
        <w:rPr>
          <w:sz w:val="22"/>
          <w:szCs w:val="22"/>
        </w:rPr>
        <w:t xml:space="preserve">Un formato híbrido que combina el montaje del puzzle con la posibilidad de pintarlo después: primero se arma la figura y luego se decora con rotuladores o ceras, lo que añade una segunda fase de juego y refuerza la motricidad fina además de la creatividad. No es un puzzle "educativo" en el sentido estricto de la palabra, pero encaja perfectamente en esta guía por su enfoque de aprendizaje a través del juego. [PENDIENTE DE COMPLETAR — mención de producto si se decide incluir uno en este bloque].</w:t>
      </w:r>
    </w:p>
    <w:p>
      <w:pPr>
        <w:spacing w:after="100"/>
      </w:pPr>
    </w:p>
    <w:p>
      <w:pPr>
        <w:pStyle w:val="Heading2"/>
        <w:spacing w:after="120" w:before="300"/>
      </w:pPr>
      <w:r>
        <w:t xml:space="preserve">Puzzles del espacio y el sistema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espacio/sistema solar — completar]</w:t>
            </w:r>
          </w:p>
          <w:p>
            <w:pPr>
              <w:spacing w:after="80"/>
            </w:pPr>
            <w:r>
              <w:rPr>
                <w:sz w:val="21"/>
                <w:szCs w:val="21"/>
              </w:rPr>
              <w:t xml:space="preserve">Planetas, órbitas y curiosidades del sistema solar en un formato visual muy atractivo para los más curiosos por la astronomía.</w:t>
            </w:r>
          </w:p>
          <w:p>
            <w:r>
              <w:rPr>
                <w:i/>
                <w:iCs/>
                <w:color w:val="595959"/>
                <w:sz w:val="18"/>
                <w:szCs w:val="18"/>
              </w:rPr>
              <w:t xml:space="preserve">[PENDIENTE DE COMPLETAR — ASIN espacio]</w:t>
            </w:r>
          </w:p>
        </w:tc>
      </w:tr>
    </w:tbl>
    <w:p>
      <w:pPr>
        <w:spacing w:after="100"/>
      </w:pPr>
    </w:p>
    <w:p>
      <w:pPr>
        <w:pStyle w:val="Heading2"/>
        <w:spacing w:after="120" w:before="300"/>
      </w:pPr>
      <w:r>
        <w:t xml:space="preserve">Otros temas educativos</w:t>
      </w:r>
    </w:p>
    <w:p>
      <w:pPr>
        <w:spacing w:after="160"/>
        <w:jc w:val="both"/>
      </w:pPr>
      <w:r>
        <w:rPr>
          <w:sz w:val="22"/>
          <w:szCs w:val="22"/>
        </w:rPr>
        <w:t xml:space="preserve">Completan esta categoría otros puzzles con enfoque didáctico: figuras geométricas, el círculo cromático para introducir la teoría del color, el sistema circulatorio y otros contenidos de ciencias naturales. Su volumen de búsqueda individual es menor, pero pueden ser justo lo que buscas si el objetivo es reforzar una materia muy concreta.</w:t>
      </w:r>
    </w:p>
    <w:p>
      <w:pPr>
        <w:spacing w:after="100"/>
      </w:pPr>
    </w:p>
    <w:p>
      <w:pPr>
        <w:spacing w:after="160"/>
        <w:jc w:val="both"/>
      </w:pPr>
      <w:r>
        <w:rPr>
          <w:sz w:val="22"/>
          <w:szCs w:val="22"/>
        </w:rPr>
        <w:t xml:space="preserve">Muchos de estos diseños también existen en madera, un material especialmente valorado en el ámbito educativo por su resistencia al uso diario. Consulta nuestra </w:t>
      </w:r>
    </w:p>
    <w:p>
      <w:pPr>
        <w:pStyle w:val="ListParagraph"/>
        <w:numPr>
          <w:ilvl w:val="0"/>
          <w:numId w:val="2"/>
        </w:numPr>
        <w:spacing w:after="80"/>
      </w:pPr>
      <w:r>
        <w:rPr>
          <w:b/>
          <w:bCs/>
          <w:color w:val="2F5496"/>
        </w:rPr>
        <w:t xml:space="preserve">guía de puzzles de madera</w:t>
      </w:r>
      <w:r>
        <w:rPr>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de puzzles de madera" → /puzzles/madera/ (bloque educativo de esa guía) · pilar de la categoría → /puzzles/. ASINs pendientes: letras, números, inglés, cuerpo humano, espacio (5 obligatorios, según el brief) + 1 opcional en "puzzles para colorear" a valorar en producción. Nota de limpieza de datos ya aplicada: los microclusters redundantes "Con Números" / "Puzzle Numeros" / "Números" se consolidaron en un único apartado de números y matemáticas.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2026-08-05T20:35:03.104Z</dcterms:created>
  <dcterms:modified xsi:type="dcterms:W3CDTF">2026-08-05T20:35:03.104Z</dcterms:modified>
</cp:coreProperties>
</file>

<file path=docProps/custom.xml><?xml version="1.0" encoding="utf-8"?>
<Properties xmlns="http://schemas.openxmlformats.org/officeDocument/2006/custom-properties" xmlns:vt="http://schemas.openxmlformats.org/officeDocument/2006/docPropsVTypes"/>
</file>