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3076" w14:textId="77777777" w:rsidR="00594836" w:rsidRPr="00AA54A5" w:rsidRDefault="00594836" w:rsidP="00606C6E">
      <w:pPr>
        <w:spacing w:line="480" w:lineRule="auto"/>
        <w:ind w:left="-360"/>
        <w:jc w:val="center"/>
        <w:rPr>
          <w:rFonts w:asciiTheme="majorHAnsi" w:hAnsiTheme="majorHAnsi" w:cstheme="majorHAnsi"/>
          <w:sz w:val="18"/>
          <w:szCs w:val="18"/>
        </w:rPr>
      </w:pPr>
    </w:p>
    <w:p w14:paraId="360EF14D" w14:textId="597677D6" w:rsidR="00893C3F" w:rsidRPr="00AA54A5" w:rsidRDefault="00893C3F" w:rsidP="00893C3F">
      <w:pPr>
        <w:ind w:left="-360"/>
        <w:jc w:val="center"/>
        <w:rPr>
          <w:rFonts w:asciiTheme="majorHAnsi" w:hAnsiTheme="majorHAnsi" w:cstheme="majorHAnsi"/>
          <w:sz w:val="18"/>
          <w:szCs w:val="18"/>
        </w:rPr>
      </w:pPr>
      <w:r w:rsidRPr="00AA54A5">
        <w:rPr>
          <w:rFonts w:asciiTheme="majorHAnsi" w:hAnsiTheme="majorHAnsi" w:cstheme="majorHAnsi"/>
          <w:sz w:val="18"/>
          <w:szCs w:val="18"/>
        </w:rPr>
        <w:t>Tulip Medical</w:t>
      </w:r>
    </w:p>
    <w:p w14:paraId="30E04527" w14:textId="17B84DDA" w:rsidR="00893C3F" w:rsidRPr="00AA54A5" w:rsidRDefault="00893C3F" w:rsidP="00893C3F">
      <w:pPr>
        <w:ind w:left="-360"/>
        <w:jc w:val="center"/>
        <w:rPr>
          <w:rFonts w:asciiTheme="majorHAnsi" w:hAnsiTheme="majorHAnsi" w:cstheme="majorHAnsi"/>
          <w:sz w:val="18"/>
          <w:szCs w:val="18"/>
        </w:rPr>
      </w:pPr>
      <w:r w:rsidRPr="00AA54A5">
        <w:rPr>
          <w:rFonts w:asciiTheme="majorHAnsi" w:hAnsiTheme="majorHAnsi" w:cstheme="majorHAnsi"/>
          <w:sz w:val="18"/>
          <w:szCs w:val="18"/>
        </w:rPr>
        <w:t>Quality System Procedure</w:t>
      </w:r>
    </w:p>
    <w:p w14:paraId="3EFD5525" w14:textId="62BE3E7B" w:rsidR="00893C3F" w:rsidRPr="00AA54A5" w:rsidRDefault="00EF2A7B" w:rsidP="00893C3F">
      <w:pPr>
        <w:ind w:left="-360"/>
        <w:jc w:val="center"/>
        <w:rPr>
          <w:rFonts w:asciiTheme="majorHAnsi" w:hAnsiTheme="majorHAnsi" w:cstheme="majorHAnsi"/>
          <w:sz w:val="18"/>
          <w:szCs w:val="18"/>
        </w:rPr>
      </w:pPr>
      <w:r w:rsidRPr="00AA54A5">
        <w:rPr>
          <w:rFonts w:asciiTheme="majorHAnsi" w:hAnsiTheme="majorHAnsi" w:cstheme="majorHAnsi"/>
          <w:sz w:val="18"/>
          <w:szCs w:val="18"/>
        </w:rPr>
        <w:t>QSP</w:t>
      </w:r>
      <w:r w:rsidR="008D1AC7" w:rsidRPr="00AA54A5">
        <w:rPr>
          <w:rFonts w:asciiTheme="majorHAnsi" w:hAnsiTheme="majorHAnsi" w:cstheme="majorHAnsi"/>
          <w:sz w:val="18"/>
          <w:szCs w:val="18"/>
        </w:rPr>
        <w:t xml:space="preserve"> 9.1-5</w:t>
      </w:r>
    </w:p>
    <w:p w14:paraId="148F683C" w14:textId="569A2A7C" w:rsidR="00893C3F" w:rsidRPr="00AA54A5" w:rsidRDefault="00D176E0" w:rsidP="00893C3F">
      <w:pPr>
        <w:ind w:left="-360"/>
        <w:jc w:val="center"/>
        <w:rPr>
          <w:rFonts w:asciiTheme="majorHAnsi" w:hAnsiTheme="majorHAnsi" w:cstheme="majorHAnsi"/>
          <w:sz w:val="18"/>
          <w:szCs w:val="18"/>
        </w:rPr>
      </w:pPr>
      <w:r w:rsidRPr="00AA54A5">
        <w:rPr>
          <w:rFonts w:asciiTheme="majorHAnsi" w:hAnsiTheme="majorHAnsi" w:cstheme="majorHAnsi"/>
          <w:sz w:val="18"/>
          <w:szCs w:val="18"/>
        </w:rPr>
        <w:t xml:space="preserve">Advisory Notices, </w:t>
      </w:r>
      <w:r w:rsidR="008D1AC7" w:rsidRPr="00AA54A5">
        <w:rPr>
          <w:rFonts w:asciiTheme="majorHAnsi" w:hAnsiTheme="majorHAnsi" w:cstheme="majorHAnsi"/>
          <w:sz w:val="18"/>
          <w:szCs w:val="18"/>
        </w:rPr>
        <w:t xml:space="preserve">Recalls &amp; </w:t>
      </w:r>
      <w:r w:rsidRPr="00AA54A5">
        <w:rPr>
          <w:rFonts w:asciiTheme="majorHAnsi" w:hAnsiTheme="majorHAnsi" w:cstheme="majorHAnsi"/>
          <w:sz w:val="18"/>
          <w:szCs w:val="18"/>
        </w:rPr>
        <w:t>Vigilance</w:t>
      </w:r>
      <w:r w:rsidR="00AB2972" w:rsidRPr="00AA54A5">
        <w:rPr>
          <w:rFonts w:asciiTheme="majorHAnsi" w:hAnsiTheme="majorHAnsi" w:cstheme="majorHAnsi"/>
          <w:sz w:val="18"/>
          <w:szCs w:val="18"/>
        </w:rPr>
        <w:t>, Medical Device Incident Reporting &amp; Field Safety Corrective Actions</w:t>
      </w:r>
    </w:p>
    <w:p w14:paraId="6DA2318F" w14:textId="77777777" w:rsidR="00893C3F" w:rsidRPr="00AA54A5" w:rsidRDefault="00893C3F" w:rsidP="00893C3F">
      <w:pPr>
        <w:ind w:left="-360"/>
        <w:rPr>
          <w:rFonts w:asciiTheme="majorHAnsi" w:hAnsiTheme="majorHAnsi" w:cstheme="majorHAnsi"/>
          <w:sz w:val="18"/>
          <w:szCs w:val="18"/>
        </w:rPr>
      </w:pPr>
    </w:p>
    <w:p w14:paraId="7448BAAB" w14:textId="77777777" w:rsidR="00893C3F" w:rsidRPr="00AA54A5" w:rsidRDefault="00893C3F" w:rsidP="00893C3F">
      <w:pPr>
        <w:ind w:left="-360"/>
        <w:rPr>
          <w:rFonts w:asciiTheme="majorHAnsi" w:hAnsiTheme="majorHAnsi" w:cstheme="majorHAnsi"/>
          <w:sz w:val="18"/>
          <w:szCs w:val="18"/>
        </w:rPr>
      </w:pPr>
    </w:p>
    <w:p w14:paraId="7E01E9BB" w14:textId="3E5AF66B" w:rsidR="00B86EDE" w:rsidRPr="00AA54A5" w:rsidRDefault="00B86EDE" w:rsidP="00B86EDE">
      <w:pPr>
        <w:ind w:left="-450"/>
        <w:rPr>
          <w:rFonts w:asciiTheme="majorHAnsi" w:hAnsiTheme="majorHAnsi" w:cstheme="majorHAnsi"/>
          <w:sz w:val="18"/>
          <w:szCs w:val="18"/>
        </w:rPr>
      </w:pPr>
      <w:r w:rsidRPr="00AA54A5">
        <w:rPr>
          <w:rFonts w:asciiTheme="majorHAnsi" w:hAnsiTheme="majorHAnsi" w:cstheme="majorHAnsi"/>
          <w:sz w:val="18"/>
          <w:szCs w:val="18"/>
        </w:rPr>
        <w:t>Approvals</w:t>
      </w:r>
    </w:p>
    <w:p w14:paraId="1367A1EE" w14:textId="3658CA8D" w:rsidR="00407806" w:rsidRPr="00AA54A5" w:rsidRDefault="00B86EDE" w:rsidP="00B86EDE">
      <w:pPr>
        <w:ind w:left="-360"/>
        <w:rPr>
          <w:rFonts w:asciiTheme="majorHAnsi" w:hAnsiTheme="majorHAnsi" w:cstheme="majorHAnsi"/>
          <w:sz w:val="18"/>
          <w:szCs w:val="18"/>
        </w:rPr>
      </w:pPr>
      <w:r w:rsidRPr="00AA54A5">
        <w:rPr>
          <w:rFonts w:asciiTheme="majorHAnsi" w:hAnsiTheme="majorHAnsi" w:cstheme="majorHAnsi"/>
          <w:sz w:val="18"/>
          <w:szCs w:val="18"/>
        </w:rPr>
        <w:tab/>
      </w:r>
      <w:r w:rsidRPr="00AA54A5">
        <w:rPr>
          <w:rFonts w:asciiTheme="majorHAnsi" w:hAnsiTheme="majorHAnsi" w:cstheme="majorHAnsi"/>
          <w:sz w:val="18"/>
          <w:szCs w:val="18"/>
        </w:rPr>
        <w:tab/>
      </w:r>
      <w:r w:rsidRPr="00AA54A5">
        <w:rPr>
          <w:rFonts w:asciiTheme="majorHAnsi" w:hAnsiTheme="majorHAnsi" w:cstheme="majorHAnsi"/>
          <w:sz w:val="18"/>
          <w:szCs w:val="18"/>
        </w:rPr>
        <w:tab/>
      </w:r>
      <w:r w:rsidRPr="00AA54A5">
        <w:rPr>
          <w:rFonts w:asciiTheme="majorHAnsi" w:hAnsiTheme="majorHAnsi" w:cstheme="majorHAnsi"/>
          <w:sz w:val="18"/>
          <w:szCs w:val="18"/>
        </w:rPr>
        <w:tab/>
      </w:r>
      <w:r w:rsidRPr="00AA54A5">
        <w:rPr>
          <w:rFonts w:asciiTheme="majorHAnsi" w:hAnsiTheme="majorHAnsi" w:cstheme="majorHAnsi"/>
          <w:sz w:val="18"/>
          <w:szCs w:val="18"/>
        </w:rPr>
        <w:tab/>
      </w:r>
      <w:r w:rsidRPr="00AA54A5">
        <w:rPr>
          <w:rFonts w:asciiTheme="majorHAnsi" w:hAnsiTheme="majorHAnsi" w:cstheme="majorHAnsi"/>
          <w:sz w:val="18"/>
          <w:szCs w:val="18"/>
        </w:rPr>
        <w:tab/>
      </w:r>
      <w:r w:rsidRPr="00AA54A5">
        <w:rPr>
          <w:rFonts w:asciiTheme="majorHAnsi" w:hAnsiTheme="majorHAnsi" w:cstheme="majorHAnsi"/>
          <w:sz w:val="18"/>
          <w:szCs w:val="18"/>
        </w:rPr>
        <w:tab/>
      </w:r>
    </w:p>
    <w:p w14:paraId="2516CC1F" w14:textId="091CFD98" w:rsidR="00B86EDE" w:rsidRPr="00AA54A5" w:rsidRDefault="00B86EDE" w:rsidP="00B86EDE">
      <w:pPr>
        <w:ind w:left="-360"/>
        <w:rPr>
          <w:rFonts w:asciiTheme="majorHAnsi" w:hAnsiTheme="majorHAnsi" w:cstheme="majorHAnsi"/>
          <w:sz w:val="18"/>
          <w:szCs w:val="18"/>
        </w:rPr>
      </w:pPr>
      <w:r w:rsidRPr="00AA54A5">
        <w:rPr>
          <w:rFonts w:asciiTheme="majorHAnsi" w:hAnsiTheme="majorHAnsi" w:cstheme="majorHAnsi"/>
          <w:sz w:val="18"/>
          <w:szCs w:val="18"/>
        </w:rPr>
        <w:tab/>
      </w:r>
    </w:p>
    <w:p w14:paraId="76A17B8E" w14:textId="7C76C5DB" w:rsidR="00B86EDE" w:rsidRPr="00DC670E" w:rsidRDefault="00AB2972" w:rsidP="00B86EDE">
      <w:pPr>
        <w:pBdr>
          <w:top w:val="single" w:sz="4" w:space="1" w:color="auto"/>
        </w:pBdr>
        <w:rPr>
          <w:rFonts w:asciiTheme="majorHAnsi" w:hAnsiTheme="majorHAnsi" w:cstheme="majorHAnsi"/>
          <w:sz w:val="18"/>
          <w:szCs w:val="18"/>
        </w:rPr>
      </w:pPr>
      <w:r w:rsidRPr="00DC670E">
        <w:rPr>
          <w:rFonts w:asciiTheme="majorHAnsi" w:hAnsiTheme="majorHAnsi" w:cstheme="majorHAnsi"/>
          <w:sz w:val="18"/>
          <w:szCs w:val="18"/>
        </w:rPr>
        <w:t>President</w:t>
      </w:r>
      <w:r w:rsidRPr="00DC670E">
        <w:rPr>
          <w:rFonts w:asciiTheme="majorHAnsi" w:hAnsiTheme="majorHAnsi" w:cstheme="majorHAnsi"/>
          <w:sz w:val="18"/>
          <w:szCs w:val="18"/>
        </w:rPr>
        <w:tab/>
      </w:r>
      <w:r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t>Date</w:t>
      </w:r>
    </w:p>
    <w:p w14:paraId="1124ED70" w14:textId="77777777" w:rsidR="00B86EDE" w:rsidRPr="00DC670E" w:rsidRDefault="00B86EDE" w:rsidP="00B86EDE">
      <w:pPr>
        <w:ind w:left="-360"/>
        <w:rPr>
          <w:rFonts w:asciiTheme="majorHAnsi" w:hAnsiTheme="majorHAnsi" w:cstheme="majorHAnsi"/>
          <w:sz w:val="18"/>
          <w:szCs w:val="18"/>
        </w:rPr>
      </w:pPr>
    </w:p>
    <w:p w14:paraId="3E0C1EC7" w14:textId="648EB256" w:rsidR="00B86EDE" w:rsidRPr="00DC670E" w:rsidRDefault="00B86EDE" w:rsidP="00B86EDE">
      <w:pPr>
        <w:ind w:left="-360"/>
        <w:rPr>
          <w:rFonts w:asciiTheme="majorHAnsi" w:hAnsiTheme="majorHAnsi" w:cstheme="majorHAnsi"/>
          <w:sz w:val="18"/>
          <w:szCs w:val="18"/>
        </w:rPr>
      </w:pP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p>
    <w:p w14:paraId="09E1774C" w14:textId="77777777" w:rsidR="00407806" w:rsidRPr="00DC670E" w:rsidRDefault="00407806" w:rsidP="00B86EDE">
      <w:pPr>
        <w:ind w:left="-360"/>
        <w:rPr>
          <w:rFonts w:asciiTheme="majorHAnsi" w:hAnsiTheme="majorHAnsi" w:cstheme="majorHAnsi"/>
          <w:sz w:val="18"/>
          <w:szCs w:val="18"/>
        </w:rPr>
      </w:pPr>
    </w:p>
    <w:p w14:paraId="7205895D" w14:textId="542D1824" w:rsidR="00B86EDE" w:rsidRPr="00DC670E" w:rsidRDefault="00AB2972" w:rsidP="00B86EDE">
      <w:pPr>
        <w:pBdr>
          <w:top w:val="single" w:sz="4" w:space="1" w:color="auto"/>
        </w:pBdr>
        <w:rPr>
          <w:rFonts w:asciiTheme="majorHAnsi" w:hAnsiTheme="majorHAnsi" w:cstheme="majorHAnsi"/>
          <w:sz w:val="18"/>
          <w:szCs w:val="18"/>
        </w:rPr>
      </w:pPr>
      <w:r w:rsidRPr="00DC670E">
        <w:rPr>
          <w:rFonts w:asciiTheme="majorHAnsi" w:hAnsiTheme="majorHAnsi" w:cstheme="majorHAnsi"/>
          <w:sz w:val="18"/>
          <w:szCs w:val="18"/>
        </w:rPr>
        <w:t>V.P. Operations</w:t>
      </w:r>
      <w:r w:rsidRPr="00DC670E">
        <w:rPr>
          <w:rFonts w:asciiTheme="majorHAnsi" w:hAnsiTheme="majorHAnsi" w:cstheme="majorHAnsi"/>
          <w:sz w:val="18"/>
          <w:szCs w:val="18"/>
        </w:rPr>
        <w:tab/>
      </w:r>
      <w:r w:rsidR="00B86EDE" w:rsidRPr="00DC670E">
        <w:rPr>
          <w:rFonts w:asciiTheme="majorHAnsi" w:hAnsiTheme="majorHAnsi" w:cstheme="majorHAnsi"/>
          <w:sz w:val="18"/>
          <w:szCs w:val="18"/>
        </w:rPr>
        <w:t xml:space="preserve"> </w:t>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t>Date</w:t>
      </w:r>
    </w:p>
    <w:p w14:paraId="5973A327" w14:textId="77777777" w:rsidR="00B86EDE" w:rsidRPr="00DC670E" w:rsidRDefault="00B86EDE" w:rsidP="00B86EDE">
      <w:pPr>
        <w:ind w:left="-360"/>
        <w:rPr>
          <w:rFonts w:asciiTheme="majorHAnsi" w:hAnsiTheme="majorHAnsi" w:cstheme="majorHAnsi"/>
          <w:sz w:val="18"/>
          <w:szCs w:val="18"/>
        </w:rPr>
      </w:pPr>
    </w:p>
    <w:p w14:paraId="08AE2A0D" w14:textId="515C89B3" w:rsidR="00407806" w:rsidRPr="00DC670E" w:rsidRDefault="00B86EDE" w:rsidP="00B86EDE">
      <w:pPr>
        <w:ind w:left="-360"/>
        <w:rPr>
          <w:rFonts w:asciiTheme="majorHAnsi" w:hAnsiTheme="majorHAnsi" w:cstheme="majorHAnsi"/>
          <w:sz w:val="18"/>
          <w:szCs w:val="18"/>
        </w:rPr>
      </w:pP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p>
    <w:p w14:paraId="4446FE70" w14:textId="196D8E39" w:rsidR="00B86EDE" w:rsidRPr="00DC670E" w:rsidRDefault="00B86EDE" w:rsidP="00B86EDE">
      <w:pPr>
        <w:ind w:left="-360"/>
        <w:rPr>
          <w:rFonts w:asciiTheme="majorHAnsi" w:hAnsiTheme="majorHAnsi" w:cstheme="majorHAnsi"/>
          <w:sz w:val="18"/>
          <w:szCs w:val="18"/>
        </w:rPr>
      </w:pPr>
      <w:r w:rsidRPr="00DC670E">
        <w:rPr>
          <w:rFonts w:asciiTheme="majorHAnsi" w:hAnsiTheme="majorHAnsi" w:cstheme="majorHAnsi"/>
          <w:sz w:val="18"/>
          <w:szCs w:val="18"/>
        </w:rPr>
        <w:tab/>
      </w:r>
    </w:p>
    <w:p w14:paraId="729BDE69" w14:textId="610402C1" w:rsidR="00B86EDE" w:rsidRPr="00DC670E" w:rsidRDefault="00AB2972" w:rsidP="00B86EDE">
      <w:pPr>
        <w:pBdr>
          <w:top w:val="single" w:sz="4" w:space="1" w:color="auto"/>
        </w:pBdr>
        <w:rPr>
          <w:rFonts w:asciiTheme="majorHAnsi" w:hAnsiTheme="majorHAnsi" w:cstheme="majorHAnsi"/>
          <w:sz w:val="18"/>
          <w:szCs w:val="18"/>
        </w:rPr>
      </w:pPr>
      <w:r w:rsidRPr="00DC670E">
        <w:rPr>
          <w:rFonts w:asciiTheme="majorHAnsi" w:hAnsiTheme="majorHAnsi" w:cstheme="majorHAnsi"/>
          <w:sz w:val="18"/>
          <w:szCs w:val="18"/>
        </w:rPr>
        <w:t>V.P.</w:t>
      </w:r>
      <w:r w:rsidR="00B86EDE" w:rsidRPr="00DC670E">
        <w:rPr>
          <w:rFonts w:asciiTheme="majorHAnsi" w:hAnsiTheme="majorHAnsi" w:cstheme="majorHAnsi"/>
          <w:sz w:val="18"/>
          <w:szCs w:val="18"/>
        </w:rPr>
        <w:t xml:space="preserve"> </w:t>
      </w:r>
      <w:r w:rsidRPr="00DC670E">
        <w:rPr>
          <w:rFonts w:asciiTheme="majorHAnsi" w:hAnsiTheme="majorHAnsi" w:cstheme="majorHAnsi"/>
          <w:sz w:val="18"/>
          <w:szCs w:val="18"/>
        </w:rPr>
        <w:t>Finance</w:t>
      </w:r>
      <w:r w:rsidRPr="00DC670E">
        <w:rPr>
          <w:rFonts w:asciiTheme="majorHAnsi" w:hAnsiTheme="majorHAnsi" w:cstheme="majorHAnsi"/>
          <w:sz w:val="18"/>
          <w:szCs w:val="18"/>
        </w:rPr>
        <w:tab/>
      </w:r>
      <w:r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r>
      <w:r w:rsidR="00B86EDE" w:rsidRPr="00DC670E">
        <w:rPr>
          <w:rFonts w:asciiTheme="majorHAnsi" w:hAnsiTheme="majorHAnsi" w:cstheme="majorHAnsi"/>
          <w:sz w:val="18"/>
          <w:szCs w:val="18"/>
        </w:rPr>
        <w:tab/>
        <w:t>Date</w:t>
      </w:r>
    </w:p>
    <w:p w14:paraId="35EF4168" w14:textId="36ACF671" w:rsidR="00AB2972" w:rsidRPr="00DC670E" w:rsidRDefault="00AB2972" w:rsidP="00B86EDE">
      <w:pPr>
        <w:pBdr>
          <w:top w:val="single" w:sz="4" w:space="1" w:color="auto"/>
        </w:pBdr>
        <w:rPr>
          <w:rFonts w:asciiTheme="majorHAnsi" w:hAnsiTheme="majorHAnsi" w:cstheme="majorHAnsi"/>
          <w:sz w:val="18"/>
          <w:szCs w:val="18"/>
        </w:rPr>
      </w:pPr>
    </w:p>
    <w:p w14:paraId="60A17B3B" w14:textId="77777777" w:rsidR="00AB2972" w:rsidRPr="00DC670E" w:rsidRDefault="00AB2972" w:rsidP="00AB2972">
      <w:pPr>
        <w:ind w:left="-360"/>
        <w:rPr>
          <w:rFonts w:asciiTheme="majorHAnsi" w:hAnsiTheme="majorHAnsi" w:cstheme="majorHAnsi"/>
          <w:sz w:val="18"/>
          <w:szCs w:val="18"/>
        </w:rPr>
      </w:pPr>
    </w:p>
    <w:p w14:paraId="2E017D6C" w14:textId="7797963A" w:rsidR="00AB2972" w:rsidRPr="00DC670E" w:rsidRDefault="00AB2972" w:rsidP="00AB2972">
      <w:pPr>
        <w:pBdr>
          <w:top w:val="single" w:sz="4" w:space="1" w:color="auto"/>
        </w:pBdr>
        <w:rPr>
          <w:rFonts w:asciiTheme="majorHAnsi" w:hAnsiTheme="majorHAnsi" w:cstheme="majorHAnsi"/>
          <w:sz w:val="18"/>
          <w:szCs w:val="18"/>
        </w:rPr>
      </w:pPr>
      <w:r w:rsidRPr="00DC670E">
        <w:rPr>
          <w:rFonts w:asciiTheme="majorHAnsi" w:hAnsiTheme="majorHAnsi" w:cstheme="majorHAnsi"/>
          <w:sz w:val="18"/>
          <w:szCs w:val="18"/>
        </w:rPr>
        <w:t>V.P. Regulatory Affairs/Management Rep.</w:t>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r>
      <w:r w:rsidRPr="00DC670E">
        <w:rPr>
          <w:rFonts w:asciiTheme="majorHAnsi" w:hAnsiTheme="majorHAnsi" w:cstheme="majorHAnsi"/>
          <w:sz w:val="18"/>
          <w:szCs w:val="18"/>
        </w:rPr>
        <w:tab/>
        <w:t>Date</w:t>
      </w:r>
    </w:p>
    <w:p w14:paraId="247727B7" w14:textId="77777777" w:rsidR="00AB2972" w:rsidRPr="00AA54A5" w:rsidRDefault="00AB2972" w:rsidP="00B86EDE">
      <w:pPr>
        <w:pBdr>
          <w:top w:val="single" w:sz="4" w:space="1" w:color="auto"/>
        </w:pBdr>
        <w:rPr>
          <w:rFonts w:asciiTheme="majorHAnsi" w:hAnsiTheme="majorHAnsi" w:cstheme="majorHAnsi"/>
          <w:sz w:val="18"/>
          <w:szCs w:val="18"/>
        </w:rPr>
      </w:pPr>
    </w:p>
    <w:p w14:paraId="1A220817" w14:textId="77777777" w:rsidR="00893C3F" w:rsidRPr="00AA54A5" w:rsidRDefault="00893C3F" w:rsidP="00893C3F">
      <w:pPr>
        <w:ind w:left="-360"/>
        <w:rPr>
          <w:rFonts w:asciiTheme="majorHAnsi" w:hAnsiTheme="majorHAnsi" w:cstheme="majorHAnsi"/>
          <w:sz w:val="18"/>
          <w:szCs w:val="18"/>
        </w:rPr>
      </w:pPr>
    </w:p>
    <w:p w14:paraId="715F3F1A" w14:textId="77777777" w:rsidR="00893C3F" w:rsidRPr="00AA54A5" w:rsidRDefault="00893C3F" w:rsidP="00893C3F">
      <w:pPr>
        <w:ind w:left="-360"/>
        <w:rPr>
          <w:rFonts w:asciiTheme="majorHAnsi" w:hAnsiTheme="majorHAnsi" w:cstheme="majorHAnsi"/>
          <w:sz w:val="18"/>
          <w:szCs w:val="18"/>
        </w:rPr>
      </w:pPr>
    </w:p>
    <w:tbl>
      <w:tblPr>
        <w:tblStyle w:val="TableGrid"/>
        <w:tblW w:w="10188" w:type="dxa"/>
        <w:tblInd w:w="-360" w:type="dxa"/>
        <w:tblLook w:val="04A0" w:firstRow="1" w:lastRow="0" w:firstColumn="1" w:lastColumn="0" w:noHBand="0" w:noVBand="1"/>
      </w:tblPr>
      <w:tblGrid>
        <w:gridCol w:w="599"/>
        <w:gridCol w:w="1310"/>
        <w:gridCol w:w="8279"/>
      </w:tblGrid>
      <w:tr w:rsidR="00953AE7" w:rsidRPr="00AA54A5" w14:paraId="073AE9D6" w14:textId="77777777" w:rsidTr="00953AE7">
        <w:tc>
          <w:tcPr>
            <w:tcW w:w="599" w:type="dxa"/>
          </w:tcPr>
          <w:p w14:paraId="11032D82" w14:textId="214D6BD7" w:rsidR="00953AE7" w:rsidRPr="00AA54A5" w:rsidRDefault="00953AE7" w:rsidP="00893C3F">
            <w:pPr>
              <w:ind w:left="-90"/>
              <w:rPr>
                <w:rFonts w:asciiTheme="majorHAnsi" w:hAnsiTheme="majorHAnsi" w:cstheme="majorHAnsi"/>
                <w:sz w:val="18"/>
                <w:szCs w:val="18"/>
              </w:rPr>
            </w:pPr>
            <w:r w:rsidRPr="00AA54A5">
              <w:rPr>
                <w:rFonts w:asciiTheme="majorHAnsi" w:hAnsiTheme="majorHAnsi" w:cstheme="majorHAnsi"/>
                <w:sz w:val="18"/>
                <w:szCs w:val="18"/>
              </w:rPr>
              <w:t>Rev</w:t>
            </w:r>
          </w:p>
        </w:tc>
        <w:tc>
          <w:tcPr>
            <w:tcW w:w="1310" w:type="dxa"/>
          </w:tcPr>
          <w:p w14:paraId="17AA6F97" w14:textId="2DB3D6AB" w:rsidR="00953AE7" w:rsidRPr="00AA54A5" w:rsidRDefault="00953AE7" w:rsidP="00893C3F">
            <w:pPr>
              <w:jc w:val="both"/>
              <w:rPr>
                <w:rFonts w:asciiTheme="majorHAnsi" w:hAnsiTheme="majorHAnsi" w:cstheme="majorHAnsi"/>
                <w:sz w:val="18"/>
                <w:szCs w:val="18"/>
              </w:rPr>
            </w:pPr>
            <w:r w:rsidRPr="00AA54A5">
              <w:rPr>
                <w:rFonts w:asciiTheme="majorHAnsi" w:hAnsiTheme="majorHAnsi" w:cstheme="majorHAnsi"/>
                <w:sz w:val="18"/>
                <w:szCs w:val="18"/>
              </w:rPr>
              <w:t>Date</w:t>
            </w:r>
          </w:p>
        </w:tc>
        <w:tc>
          <w:tcPr>
            <w:tcW w:w="8279" w:type="dxa"/>
          </w:tcPr>
          <w:p w14:paraId="41F5A154" w14:textId="1089F5E1" w:rsidR="00953AE7" w:rsidRPr="00AA54A5" w:rsidRDefault="00953AE7" w:rsidP="00893C3F">
            <w:pPr>
              <w:jc w:val="both"/>
              <w:rPr>
                <w:rFonts w:asciiTheme="majorHAnsi" w:hAnsiTheme="majorHAnsi" w:cstheme="majorHAnsi"/>
                <w:sz w:val="18"/>
                <w:szCs w:val="18"/>
              </w:rPr>
            </w:pPr>
            <w:r w:rsidRPr="00AA54A5">
              <w:rPr>
                <w:rFonts w:asciiTheme="majorHAnsi" w:hAnsiTheme="majorHAnsi" w:cstheme="majorHAnsi"/>
                <w:sz w:val="18"/>
                <w:szCs w:val="18"/>
              </w:rPr>
              <w:t>Description of Change</w:t>
            </w:r>
          </w:p>
        </w:tc>
      </w:tr>
      <w:tr w:rsidR="008D1AC7" w:rsidRPr="00AA54A5" w14:paraId="4EC13CFF" w14:textId="77777777" w:rsidTr="00953AE7">
        <w:tc>
          <w:tcPr>
            <w:tcW w:w="599" w:type="dxa"/>
            <w:vAlign w:val="center"/>
          </w:tcPr>
          <w:p w14:paraId="7A2973CE" w14:textId="15756598"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1</w:t>
            </w:r>
          </w:p>
        </w:tc>
        <w:tc>
          <w:tcPr>
            <w:tcW w:w="1310" w:type="dxa"/>
            <w:vAlign w:val="center"/>
          </w:tcPr>
          <w:p w14:paraId="6EF1BC22" w14:textId="67AC06FF"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N/A</w:t>
            </w:r>
          </w:p>
        </w:tc>
        <w:tc>
          <w:tcPr>
            <w:tcW w:w="8279" w:type="dxa"/>
          </w:tcPr>
          <w:p w14:paraId="234CA777" w14:textId="30CC2CF9" w:rsidR="008D1AC7" w:rsidRPr="00AA54A5" w:rsidRDefault="008D1AC7" w:rsidP="00893C3F">
            <w:pPr>
              <w:jc w:val="both"/>
              <w:rPr>
                <w:rFonts w:asciiTheme="majorHAnsi" w:hAnsiTheme="majorHAnsi" w:cstheme="majorHAnsi"/>
                <w:sz w:val="18"/>
                <w:szCs w:val="18"/>
              </w:rPr>
            </w:pPr>
            <w:r w:rsidRPr="00AA54A5">
              <w:rPr>
                <w:rFonts w:asciiTheme="majorHAnsi" w:hAnsiTheme="majorHAnsi" w:cstheme="majorHAnsi"/>
                <w:sz w:val="18"/>
                <w:szCs w:val="18"/>
              </w:rPr>
              <w:t>Types of Reporting added.</w:t>
            </w:r>
          </w:p>
        </w:tc>
      </w:tr>
      <w:tr w:rsidR="008D1AC7" w:rsidRPr="00AA54A5" w14:paraId="037E7F48" w14:textId="77777777" w:rsidTr="00953AE7">
        <w:tc>
          <w:tcPr>
            <w:tcW w:w="599" w:type="dxa"/>
            <w:vAlign w:val="center"/>
          </w:tcPr>
          <w:p w14:paraId="664DE863" w14:textId="333AA5C0"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2</w:t>
            </w:r>
          </w:p>
        </w:tc>
        <w:tc>
          <w:tcPr>
            <w:tcW w:w="1310" w:type="dxa"/>
            <w:vAlign w:val="center"/>
          </w:tcPr>
          <w:p w14:paraId="78A6AFD1" w14:textId="5AE6EA01"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09/23/2013</w:t>
            </w:r>
          </w:p>
        </w:tc>
        <w:tc>
          <w:tcPr>
            <w:tcW w:w="8279" w:type="dxa"/>
          </w:tcPr>
          <w:p w14:paraId="55D9116E" w14:textId="23E61836" w:rsidR="008D1AC7" w:rsidRPr="00AA54A5" w:rsidRDefault="008D1AC7"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Medical Device Problem Reporting added. </w:t>
            </w:r>
          </w:p>
        </w:tc>
      </w:tr>
      <w:tr w:rsidR="00953AE7" w:rsidRPr="00AA54A5" w14:paraId="598B9A77" w14:textId="77777777" w:rsidTr="00953AE7">
        <w:tc>
          <w:tcPr>
            <w:tcW w:w="599" w:type="dxa"/>
            <w:vAlign w:val="center"/>
          </w:tcPr>
          <w:p w14:paraId="2558E7E8" w14:textId="274F3CC0" w:rsidR="00953AE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3</w:t>
            </w:r>
          </w:p>
        </w:tc>
        <w:tc>
          <w:tcPr>
            <w:tcW w:w="1310" w:type="dxa"/>
            <w:vAlign w:val="center"/>
          </w:tcPr>
          <w:p w14:paraId="5EC56E38" w14:textId="71E78BB1" w:rsidR="00953AE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09/08/2014</w:t>
            </w:r>
          </w:p>
        </w:tc>
        <w:tc>
          <w:tcPr>
            <w:tcW w:w="8279" w:type="dxa"/>
          </w:tcPr>
          <w:p w14:paraId="57224A5C" w14:textId="4D3B9B98" w:rsidR="00953AE7" w:rsidRPr="00AA54A5" w:rsidRDefault="008D1AC7" w:rsidP="00893C3F">
            <w:pPr>
              <w:jc w:val="both"/>
              <w:rPr>
                <w:rFonts w:asciiTheme="majorHAnsi" w:hAnsiTheme="majorHAnsi" w:cstheme="majorHAnsi"/>
                <w:sz w:val="18"/>
                <w:szCs w:val="18"/>
              </w:rPr>
            </w:pPr>
            <w:r w:rsidRPr="00AA54A5">
              <w:rPr>
                <w:rFonts w:asciiTheme="majorHAnsi" w:hAnsiTheme="majorHAnsi" w:cstheme="majorHAnsi"/>
                <w:sz w:val="18"/>
                <w:szCs w:val="18"/>
              </w:rPr>
              <w:t>Updated references to ISO 13485:2012.</w:t>
            </w:r>
          </w:p>
        </w:tc>
      </w:tr>
      <w:tr w:rsidR="008D1AC7" w:rsidRPr="00AA54A5" w14:paraId="701C06B6" w14:textId="77777777" w:rsidTr="00953AE7">
        <w:tc>
          <w:tcPr>
            <w:tcW w:w="599" w:type="dxa"/>
            <w:vAlign w:val="center"/>
          </w:tcPr>
          <w:p w14:paraId="31FC4A3B" w14:textId="7E3A5752"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4</w:t>
            </w:r>
          </w:p>
        </w:tc>
        <w:tc>
          <w:tcPr>
            <w:tcW w:w="1310" w:type="dxa"/>
            <w:vAlign w:val="center"/>
          </w:tcPr>
          <w:p w14:paraId="36B89778" w14:textId="717BADEC"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07/17/2015</w:t>
            </w:r>
          </w:p>
        </w:tc>
        <w:tc>
          <w:tcPr>
            <w:tcW w:w="8279" w:type="dxa"/>
          </w:tcPr>
          <w:p w14:paraId="6297AEDC" w14:textId="3A03FD60" w:rsidR="008D1AC7" w:rsidRPr="00AA54A5" w:rsidRDefault="008D1AC7"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Complete rewrite for EU and Canadian recalls. </w:t>
            </w:r>
          </w:p>
        </w:tc>
      </w:tr>
      <w:tr w:rsidR="008D1AC7" w:rsidRPr="00AA54A5" w14:paraId="5954DFCC" w14:textId="77777777" w:rsidTr="00953AE7">
        <w:tc>
          <w:tcPr>
            <w:tcW w:w="599" w:type="dxa"/>
            <w:vAlign w:val="center"/>
          </w:tcPr>
          <w:p w14:paraId="7F3B19BB" w14:textId="281A7864"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5</w:t>
            </w:r>
          </w:p>
        </w:tc>
        <w:tc>
          <w:tcPr>
            <w:tcW w:w="1310" w:type="dxa"/>
            <w:vAlign w:val="center"/>
          </w:tcPr>
          <w:p w14:paraId="19570855" w14:textId="1A8961A8" w:rsidR="008D1AC7" w:rsidRPr="00AA54A5" w:rsidRDefault="008D1AC7" w:rsidP="00953AE7">
            <w:pPr>
              <w:jc w:val="center"/>
              <w:rPr>
                <w:rFonts w:asciiTheme="majorHAnsi" w:hAnsiTheme="majorHAnsi" w:cstheme="majorHAnsi"/>
                <w:sz w:val="18"/>
                <w:szCs w:val="18"/>
              </w:rPr>
            </w:pPr>
            <w:r w:rsidRPr="00AA54A5">
              <w:rPr>
                <w:rFonts w:asciiTheme="majorHAnsi" w:hAnsiTheme="majorHAnsi" w:cstheme="majorHAnsi"/>
                <w:sz w:val="18"/>
                <w:szCs w:val="18"/>
              </w:rPr>
              <w:t>09/11/2018</w:t>
            </w:r>
          </w:p>
        </w:tc>
        <w:tc>
          <w:tcPr>
            <w:tcW w:w="8279" w:type="dxa"/>
          </w:tcPr>
          <w:p w14:paraId="3AE75FD9" w14:textId="461C2DF2" w:rsidR="008D1AC7" w:rsidRPr="00AA54A5" w:rsidRDefault="008D1AC7"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Reformatted document </w:t>
            </w:r>
          </w:p>
        </w:tc>
      </w:tr>
      <w:tr w:rsidR="00D176E0" w:rsidRPr="00AA54A5" w14:paraId="61EC647E" w14:textId="77777777" w:rsidTr="00953AE7">
        <w:tc>
          <w:tcPr>
            <w:tcW w:w="599" w:type="dxa"/>
            <w:vAlign w:val="center"/>
          </w:tcPr>
          <w:p w14:paraId="3C0B738B" w14:textId="44D82531" w:rsidR="00D176E0" w:rsidRPr="00AA54A5" w:rsidRDefault="00D176E0" w:rsidP="00953AE7">
            <w:pPr>
              <w:jc w:val="center"/>
              <w:rPr>
                <w:rFonts w:asciiTheme="majorHAnsi" w:hAnsiTheme="majorHAnsi" w:cstheme="majorHAnsi"/>
                <w:sz w:val="18"/>
                <w:szCs w:val="18"/>
              </w:rPr>
            </w:pPr>
            <w:r w:rsidRPr="00AA54A5">
              <w:rPr>
                <w:rFonts w:asciiTheme="majorHAnsi" w:hAnsiTheme="majorHAnsi" w:cstheme="majorHAnsi"/>
                <w:sz w:val="18"/>
                <w:szCs w:val="18"/>
              </w:rPr>
              <w:t>6</w:t>
            </w:r>
          </w:p>
        </w:tc>
        <w:tc>
          <w:tcPr>
            <w:tcW w:w="1310" w:type="dxa"/>
            <w:vAlign w:val="center"/>
          </w:tcPr>
          <w:p w14:paraId="1E5C5D49" w14:textId="12761DE9" w:rsidR="00D176E0" w:rsidRPr="00AA54A5" w:rsidRDefault="00D176E0" w:rsidP="00953AE7">
            <w:pPr>
              <w:jc w:val="center"/>
              <w:rPr>
                <w:rFonts w:asciiTheme="majorHAnsi" w:hAnsiTheme="majorHAnsi" w:cstheme="majorHAnsi"/>
                <w:sz w:val="18"/>
                <w:szCs w:val="18"/>
              </w:rPr>
            </w:pPr>
            <w:r w:rsidRPr="00AA54A5">
              <w:rPr>
                <w:rFonts w:asciiTheme="majorHAnsi" w:hAnsiTheme="majorHAnsi" w:cstheme="majorHAnsi"/>
                <w:sz w:val="18"/>
                <w:szCs w:val="18"/>
              </w:rPr>
              <w:t>10/31/2018</w:t>
            </w:r>
          </w:p>
        </w:tc>
        <w:tc>
          <w:tcPr>
            <w:tcW w:w="8279" w:type="dxa"/>
          </w:tcPr>
          <w:p w14:paraId="58737F6D" w14:textId="0DF34240" w:rsidR="00D176E0" w:rsidRPr="00AA54A5" w:rsidRDefault="00E40CE4"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Document title correction from “Recalls, Corrections and Removal” back to </w:t>
            </w:r>
            <w:proofErr w:type="gramStart"/>
            <w:r w:rsidRPr="00AA54A5">
              <w:rPr>
                <w:rFonts w:asciiTheme="majorHAnsi" w:hAnsiTheme="majorHAnsi" w:cstheme="majorHAnsi"/>
                <w:sz w:val="18"/>
                <w:szCs w:val="18"/>
              </w:rPr>
              <w:t>it’s</w:t>
            </w:r>
            <w:proofErr w:type="gramEnd"/>
            <w:r w:rsidRPr="00AA54A5">
              <w:rPr>
                <w:rFonts w:asciiTheme="majorHAnsi" w:hAnsiTheme="majorHAnsi" w:cstheme="majorHAnsi"/>
                <w:sz w:val="18"/>
                <w:szCs w:val="18"/>
              </w:rPr>
              <w:t xml:space="preserve"> original Document title: </w:t>
            </w:r>
            <w:proofErr w:type="gramStart"/>
            <w:r w:rsidRPr="00AA54A5">
              <w:rPr>
                <w:rFonts w:asciiTheme="majorHAnsi" w:hAnsiTheme="majorHAnsi" w:cstheme="majorHAnsi"/>
                <w:sz w:val="18"/>
                <w:szCs w:val="18"/>
              </w:rPr>
              <w:t>“ Advisory</w:t>
            </w:r>
            <w:proofErr w:type="gramEnd"/>
            <w:r w:rsidRPr="00AA54A5">
              <w:rPr>
                <w:rFonts w:asciiTheme="majorHAnsi" w:hAnsiTheme="majorHAnsi" w:cstheme="majorHAnsi"/>
                <w:sz w:val="18"/>
                <w:szCs w:val="18"/>
              </w:rPr>
              <w:t xml:space="preserve"> Notices, Recalls &amp; Vigilance. </w:t>
            </w:r>
          </w:p>
        </w:tc>
      </w:tr>
      <w:tr w:rsidR="002B6C81" w:rsidRPr="00AA54A5" w14:paraId="5C5D54F6" w14:textId="77777777" w:rsidTr="00953AE7">
        <w:tc>
          <w:tcPr>
            <w:tcW w:w="599" w:type="dxa"/>
            <w:vAlign w:val="center"/>
          </w:tcPr>
          <w:p w14:paraId="3AE36879" w14:textId="03913B83" w:rsidR="002B6C81" w:rsidRPr="00AA54A5" w:rsidRDefault="002B6C81" w:rsidP="00953AE7">
            <w:pPr>
              <w:jc w:val="center"/>
              <w:rPr>
                <w:rFonts w:asciiTheme="majorHAnsi" w:hAnsiTheme="majorHAnsi" w:cstheme="majorHAnsi"/>
                <w:sz w:val="18"/>
                <w:szCs w:val="18"/>
              </w:rPr>
            </w:pPr>
            <w:r w:rsidRPr="00AA54A5">
              <w:rPr>
                <w:rFonts w:asciiTheme="majorHAnsi" w:hAnsiTheme="majorHAnsi" w:cstheme="majorHAnsi"/>
                <w:sz w:val="18"/>
                <w:szCs w:val="18"/>
              </w:rPr>
              <w:t>7</w:t>
            </w:r>
          </w:p>
        </w:tc>
        <w:tc>
          <w:tcPr>
            <w:tcW w:w="1310" w:type="dxa"/>
            <w:vAlign w:val="center"/>
          </w:tcPr>
          <w:p w14:paraId="412BB6D5" w14:textId="0F035D6B" w:rsidR="002B6C81" w:rsidRPr="00AA54A5" w:rsidRDefault="002B6C81" w:rsidP="00953AE7">
            <w:pPr>
              <w:jc w:val="center"/>
              <w:rPr>
                <w:rFonts w:asciiTheme="majorHAnsi" w:hAnsiTheme="majorHAnsi" w:cstheme="majorHAnsi"/>
                <w:sz w:val="18"/>
                <w:szCs w:val="18"/>
              </w:rPr>
            </w:pPr>
            <w:r w:rsidRPr="00AA54A5">
              <w:rPr>
                <w:rFonts w:asciiTheme="majorHAnsi" w:hAnsiTheme="majorHAnsi" w:cstheme="majorHAnsi"/>
                <w:sz w:val="18"/>
                <w:szCs w:val="18"/>
              </w:rPr>
              <w:t>11/06/2018</w:t>
            </w:r>
          </w:p>
        </w:tc>
        <w:tc>
          <w:tcPr>
            <w:tcW w:w="8279" w:type="dxa"/>
          </w:tcPr>
          <w:p w14:paraId="4511F128" w14:textId="02679DE5" w:rsidR="002B6C81" w:rsidRPr="00AA54A5" w:rsidRDefault="002B6C81"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Revised sections 1.0, 3.0, 4.0, 7.2.1, 7.2.2, 7.2.4, 7.2.2.5, 7.3.2.1, 7.3.2.2, 7.3.3.2, and 7.4.1.1 to read “Form 9.1-5-1 Advisory Notices, Recalls and Vigilance Plan” or reference it. </w:t>
            </w:r>
          </w:p>
        </w:tc>
      </w:tr>
      <w:tr w:rsidR="00407806" w:rsidRPr="00AA54A5" w14:paraId="1CF0487A" w14:textId="77777777" w:rsidTr="00953AE7">
        <w:tc>
          <w:tcPr>
            <w:tcW w:w="599" w:type="dxa"/>
            <w:vAlign w:val="center"/>
          </w:tcPr>
          <w:p w14:paraId="473C6C01" w14:textId="49194391" w:rsidR="00407806" w:rsidRPr="00AA54A5" w:rsidRDefault="00407806" w:rsidP="00953AE7">
            <w:pPr>
              <w:jc w:val="center"/>
              <w:rPr>
                <w:rFonts w:asciiTheme="majorHAnsi" w:hAnsiTheme="majorHAnsi" w:cstheme="majorHAnsi"/>
                <w:sz w:val="18"/>
                <w:szCs w:val="18"/>
              </w:rPr>
            </w:pPr>
            <w:r w:rsidRPr="00AA54A5">
              <w:rPr>
                <w:rFonts w:asciiTheme="majorHAnsi" w:hAnsiTheme="majorHAnsi" w:cstheme="majorHAnsi"/>
                <w:sz w:val="18"/>
                <w:szCs w:val="18"/>
              </w:rPr>
              <w:t>8</w:t>
            </w:r>
          </w:p>
        </w:tc>
        <w:tc>
          <w:tcPr>
            <w:tcW w:w="1310" w:type="dxa"/>
            <w:vAlign w:val="center"/>
          </w:tcPr>
          <w:p w14:paraId="74083A67" w14:textId="6941E3F2" w:rsidR="00407806" w:rsidRPr="00AA54A5" w:rsidRDefault="00407806" w:rsidP="00953AE7">
            <w:pPr>
              <w:jc w:val="center"/>
              <w:rPr>
                <w:rFonts w:asciiTheme="majorHAnsi" w:hAnsiTheme="majorHAnsi" w:cstheme="majorHAnsi"/>
                <w:sz w:val="18"/>
                <w:szCs w:val="18"/>
              </w:rPr>
            </w:pPr>
            <w:r w:rsidRPr="00AA54A5">
              <w:rPr>
                <w:rFonts w:asciiTheme="majorHAnsi" w:hAnsiTheme="majorHAnsi" w:cstheme="majorHAnsi"/>
                <w:sz w:val="18"/>
                <w:szCs w:val="18"/>
              </w:rPr>
              <w:t>10/28/2019</w:t>
            </w:r>
          </w:p>
        </w:tc>
        <w:tc>
          <w:tcPr>
            <w:tcW w:w="8279" w:type="dxa"/>
          </w:tcPr>
          <w:p w14:paraId="7AB56BAA" w14:textId="39DC2A78" w:rsidR="00407806" w:rsidRPr="00AA54A5" w:rsidRDefault="00407806"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Section 2.0 revised the existing erroneous Purpose &amp; Scope.  Section 3.0 updated all reference documents.  Section 3.0 added market-specific reporting guidance chart.  7.0 Added requirements of US, EU, CANADA, JAPAN, BRAZIL, and AUSTRALIA  </w:t>
            </w:r>
          </w:p>
        </w:tc>
      </w:tr>
      <w:tr w:rsidR="000D5BBC" w:rsidRPr="00AA54A5" w14:paraId="1994D043" w14:textId="77777777" w:rsidTr="00953AE7">
        <w:tc>
          <w:tcPr>
            <w:tcW w:w="599" w:type="dxa"/>
            <w:vAlign w:val="center"/>
          </w:tcPr>
          <w:p w14:paraId="52CDB6FC" w14:textId="7F576391" w:rsidR="000D5BBC" w:rsidRPr="00AA54A5" w:rsidRDefault="000D5BBC" w:rsidP="00953AE7">
            <w:pPr>
              <w:jc w:val="center"/>
              <w:rPr>
                <w:rFonts w:asciiTheme="majorHAnsi" w:hAnsiTheme="majorHAnsi" w:cstheme="majorHAnsi"/>
                <w:sz w:val="18"/>
                <w:szCs w:val="18"/>
              </w:rPr>
            </w:pPr>
            <w:r w:rsidRPr="00AA54A5">
              <w:rPr>
                <w:rFonts w:asciiTheme="majorHAnsi" w:hAnsiTheme="majorHAnsi" w:cstheme="majorHAnsi"/>
                <w:sz w:val="18"/>
                <w:szCs w:val="18"/>
              </w:rPr>
              <w:t>9</w:t>
            </w:r>
          </w:p>
        </w:tc>
        <w:tc>
          <w:tcPr>
            <w:tcW w:w="1310" w:type="dxa"/>
            <w:vAlign w:val="center"/>
          </w:tcPr>
          <w:p w14:paraId="38F1B624" w14:textId="72033C88" w:rsidR="000D5BBC" w:rsidRPr="00AA54A5" w:rsidRDefault="000D5BBC" w:rsidP="00953AE7">
            <w:pPr>
              <w:jc w:val="center"/>
              <w:rPr>
                <w:rFonts w:asciiTheme="majorHAnsi" w:hAnsiTheme="majorHAnsi" w:cstheme="majorHAnsi"/>
                <w:sz w:val="18"/>
                <w:szCs w:val="18"/>
              </w:rPr>
            </w:pPr>
            <w:r w:rsidRPr="00AA54A5">
              <w:rPr>
                <w:rFonts w:asciiTheme="majorHAnsi" w:hAnsiTheme="majorHAnsi" w:cstheme="majorHAnsi"/>
                <w:sz w:val="18"/>
                <w:szCs w:val="18"/>
              </w:rPr>
              <w:t>1/13/2022</w:t>
            </w:r>
          </w:p>
        </w:tc>
        <w:tc>
          <w:tcPr>
            <w:tcW w:w="8279" w:type="dxa"/>
          </w:tcPr>
          <w:p w14:paraId="2BE55FB1" w14:textId="00B69A08" w:rsidR="000D5BBC" w:rsidRPr="00AA54A5" w:rsidRDefault="00EF5B57"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Added Medical Device Incident Reporting &amp; Field Safety Corrective Actions to Title </w:t>
            </w:r>
            <w:r w:rsidR="006A1EA4" w:rsidRPr="00AA54A5">
              <w:rPr>
                <w:rFonts w:asciiTheme="majorHAnsi" w:hAnsiTheme="majorHAnsi" w:cstheme="majorHAnsi"/>
                <w:sz w:val="18"/>
                <w:szCs w:val="18"/>
              </w:rPr>
              <w:t>–</w:t>
            </w:r>
            <w:r w:rsidRPr="00AA54A5">
              <w:rPr>
                <w:rFonts w:asciiTheme="majorHAnsi" w:hAnsiTheme="majorHAnsi" w:cstheme="majorHAnsi"/>
                <w:sz w:val="18"/>
                <w:szCs w:val="18"/>
              </w:rPr>
              <w:t xml:space="preserve"> </w:t>
            </w:r>
            <w:r w:rsidR="006A1EA4" w:rsidRPr="00AA54A5">
              <w:rPr>
                <w:rFonts w:asciiTheme="majorHAnsi" w:hAnsiTheme="majorHAnsi" w:cstheme="majorHAnsi"/>
                <w:sz w:val="18"/>
                <w:szCs w:val="18"/>
              </w:rPr>
              <w:t xml:space="preserve">Rewrote Purpose-Scope - </w:t>
            </w:r>
            <w:r w:rsidR="000D5BBC" w:rsidRPr="00AA54A5">
              <w:rPr>
                <w:rFonts w:asciiTheme="majorHAnsi" w:hAnsiTheme="majorHAnsi" w:cstheme="majorHAnsi"/>
                <w:sz w:val="18"/>
                <w:szCs w:val="18"/>
              </w:rPr>
              <w:t xml:space="preserve">Added EU 2017/745 and MIR in Reference section </w:t>
            </w:r>
            <w:r w:rsidR="0019583B" w:rsidRPr="00AA54A5">
              <w:rPr>
                <w:rFonts w:asciiTheme="majorHAnsi" w:hAnsiTheme="majorHAnsi" w:cstheme="majorHAnsi"/>
                <w:sz w:val="18"/>
                <w:szCs w:val="18"/>
              </w:rPr>
              <w:t>–</w:t>
            </w:r>
            <w:r w:rsidR="000D5BBC" w:rsidRPr="00AA54A5">
              <w:rPr>
                <w:rFonts w:asciiTheme="majorHAnsi" w:hAnsiTheme="majorHAnsi" w:cstheme="majorHAnsi"/>
                <w:sz w:val="18"/>
                <w:szCs w:val="18"/>
              </w:rPr>
              <w:t xml:space="preserve"> </w:t>
            </w:r>
            <w:r w:rsidR="0019583B" w:rsidRPr="00AA54A5">
              <w:rPr>
                <w:rFonts w:asciiTheme="majorHAnsi" w:hAnsiTheme="majorHAnsi" w:cstheme="majorHAnsi"/>
                <w:sz w:val="18"/>
                <w:szCs w:val="18"/>
              </w:rPr>
              <w:t xml:space="preserve">Expanded Definitions </w:t>
            </w:r>
            <w:r w:rsidR="006A1EA4" w:rsidRPr="00AA54A5">
              <w:rPr>
                <w:rFonts w:asciiTheme="majorHAnsi" w:hAnsiTheme="majorHAnsi" w:cstheme="majorHAnsi"/>
                <w:sz w:val="18"/>
                <w:szCs w:val="18"/>
              </w:rPr>
              <w:t>–</w:t>
            </w:r>
            <w:r w:rsidR="0019583B" w:rsidRPr="00AA54A5">
              <w:rPr>
                <w:rFonts w:asciiTheme="majorHAnsi" w:hAnsiTheme="majorHAnsi" w:cstheme="majorHAnsi"/>
                <w:sz w:val="18"/>
                <w:szCs w:val="18"/>
              </w:rPr>
              <w:t xml:space="preserve"> </w:t>
            </w:r>
            <w:r w:rsidR="0081257D" w:rsidRPr="00AA54A5">
              <w:rPr>
                <w:rFonts w:asciiTheme="majorHAnsi" w:hAnsiTheme="majorHAnsi" w:cstheme="majorHAnsi"/>
                <w:sz w:val="18"/>
                <w:szCs w:val="18"/>
              </w:rPr>
              <w:t xml:space="preserve">Expanded section 4-Abbreviations and section 5-Responsibilities - </w:t>
            </w:r>
            <w:r w:rsidR="006A1EA4" w:rsidRPr="00AA54A5">
              <w:rPr>
                <w:rFonts w:asciiTheme="majorHAnsi" w:hAnsiTheme="majorHAnsi" w:cstheme="majorHAnsi"/>
                <w:sz w:val="18"/>
                <w:szCs w:val="18"/>
              </w:rPr>
              <w:t>Added sections 7.</w:t>
            </w:r>
            <w:r w:rsidR="0081257D" w:rsidRPr="00AA54A5">
              <w:rPr>
                <w:rFonts w:asciiTheme="majorHAnsi" w:hAnsiTheme="majorHAnsi" w:cstheme="majorHAnsi"/>
                <w:sz w:val="18"/>
                <w:szCs w:val="18"/>
              </w:rPr>
              <w:t xml:space="preserve">2, 7.6, 7.7, 7.8, 7.9, 7.10, 7.11 – </w:t>
            </w:r>
            <w:r w:rsidR="00A018D0" w:rsidRPr="00AA54A5">
              <w:rPr>
                <w:rFonts w:asciiTheme="majorHAnsi" w:hAnsiTheme="majorHAnsi" w:cstheme="majorHAnsi"/>
                <w:sz w:val="18"/>
                <w:szCs w:val="18"/>
              </w:rPr>
              <w:t xml:space="preserve">Added reference to QSP 8.2-2 Customer Feedback and Complaints - </w:t>
            </w:r>
            <w:r w:rsidR="0081257D" w:rsidRPr="00AA54A5">
              <w:rPr>
                <w:rFonts w:asciiTheme="majorHAnsi" w:hAnsiTheme="majorHAnsi" w:cstheme="majorHAnsi"/>
                <w:sz w:val="18"/>
                <w:szCs w:val="18"/>
              </w:rPr>
              <w:t>Added Sections 8 and 9 – Added Appendix A and B</w:t>
            </w:r>
          </w:p>
        </w:tc>
      </w:tr>
      <w:tr w:rsidR="00D706E6" w:rsidRPr="00AA54A5" w14:paraId="29724332" w14:textId="77777777" w:rsidTr="00953AE7">
        <w:tc>
          <w:tcPr>
            <w:tcW w:w="599" w:type="dxa"/>
            <w:vAlign w:val="center"/>
          </w:tcPr>
          <w:p w14:paraId="2123CA90" w14:textId="55FCD595" w:rsidR="00D706E6" w:rsidRPr="00AA54A5" w:rsidRDefault="00D706E6" w:rsidP="00953AE7">
            <w:pPr>
              <w:jc w:val="center"/>
              <w:rPr>
                <w:rFonts w:asciiTheme="majorHAnsi" w:hAnsiTheme="majorHAnsi" w:cstheme="majorHAnsi"/>
                <w:sz w:val="18"/>
                <w:szCs w:val="18"/>
              </w:rPr>
            </w:pPr>
            <w:r w:rsidRPr="00AA54A5">
              <w:rPr>
                <w:rFonts w:asciiTheme="majorHAnsi" w:hAnsiTheme="majorHAnsi" w:cstheme="majorHAnsi"/>
                <w:sz w:val="18"/>
                <w:szCs w:val="18"/>
              </w:rPr>
              <w:t>10</w:t>
            </w:r>
          </w:p>
        </w:tc>
        <w:tc>
          <w:tcPr>
            <w:tcW w:w="1310" w:type="dxa"/>
            <w:vAlign w:val="center"/>
          </w:tcPr>
          <w:p w14:paraId="751EAD75" w14:textId="643B601D" w:rsidR="00D706E6" w:rsidRPr="00AA54A5" w:rsidRDefault="00D706E6" w:rsidP="00953AE7">
            <w:pPr>
              <w:jc w:val="center"/>
              <w:rPr>
                <w:rFonts w:asciiTheme="majorHAnsi" w:hAnsiTheme="majorHAnsi" w:cstheme="majorHAnsi"/>
                <w:sz w:val="18"/>
                <w:szCs w:val="18"/>
              </w:rPr>
            </w:pPr>
            <w:r w:rsidRPr="00AA54A5">
              <w:rPr>
                <w:rFonts w:asciiTheme="majorHAnsi" w:hAnsiTheme="majorHAnsi" w:cstheme="majorHAnsi"/>
                <w:sz w:val="18"/>
                <w:szCs w:val="18"/>
              </w:rPr>
              <w:t>07/25/2023</w:t>
            </w:r>
          </w:p>
        </w:tc>
        <w:tc>
          <w:tcPr>
            <w:tcW w:w="8279" w:type="dxa"/>
          </w:tcPr>
          <w:p w14:paraId="34F155B8" w14:textId="79AB2EB3" w:rsidR="00D706E6" w:rsidRPr="00AA54A5" w:rsidRDefault="00D706E6" w:rsidP="00893C3F">
            <w:pPr>
              <w:jc w:val="both"/>
              <w:rPr>
                <w:rFonts w:asciiTheme="majorHAnsi" w:hAnsiTheme="majorHAnsi" w:cstheme="majorHAnsi"/>
                <w:sz w:val="18"/>
                <w:szCs w:val="18"/>
              </w:rPr>
            </w:pPr>
            <w:r w:rsidRPr="00AA54A5">
              <w:rPr>
                <w:rFonts w:asciiTheme="majorHAnsi" w:hAnsiTheme="majorHAnsi" w:cstheme="majorHAnsi"/>
                <w:sz w:val="18"/>
                <w:szCs w:val="18"/>
              </w:rPr>
              <w:t xml:space="preserve">Updated Address of EC Representative </w:t>
            </w:r>
            <w:proofErr w:type="gramStart"/>
            <w:r w:rsidR="001B4397" w:rsidRPr="00AA54A5">
              <w:rPr>
                <w:rFonts w:asciiTheme="majorHAnsi" w:hAnsiTheme="majorHAnsi" w:cstheme="majorHAnsi"/>
                <w:sz w:val="18"/>
                <w:szCs w:val="18"/>
              </w:rPr>
              <w:t xml:space="preserve">MedEnvoy </w:t>
            </w:r>
            <w:r w:rsidRPr="00AA54A5">
              <w:rPr>
                <w:rFonts w:asciiTheme="majorHAnsi" w:hAnsiTheme="majorHAnsi" w:cstheme="majorHAnsi"/>
                <w:sz w:val="18"/>
                <w:szCs w:val="18"/>
              </w:rPr>
              <w:t xml:space="preserve"> Europe</w:t>
            </w:r>
            <w:proofErr w:type="gramEnd"/>
            <w:r w:rsidRPr="00AA54A5">
              <w:rPr>
                <w:rFonts w:asciiTheme="majorHAnsi" w:hAnsiTheme="majorHAnsi" w:cstheme="majorHAnsi"/>
                <w:sz w:val="18"/>
                <w:szCs w:val="18"/>
              </w:rPr>
              <w:t xml:space="preserve"> in Section 7.11.B.1 Updated EC Address per Quality Plan QP 016.4. </w:t>
            </w:r>
          </w:p>
        </w:tc>
      </w:tr>
      <w:tr w:rsidR="001A5949" w:rsidRPr="00AA54A5" w14:paraId="15C4A9C3" w14:textId="77777777" w:rsidTr="00953AE7">
        <w:tc>
          <w:tcPr>
            <w:tcW w:w="599" w:type="dxa"/>
            <w:vAlign w:val="center"/>
          </w:tcPr>
          <w:p w14:paraId="404A9D52" w14:textId="159CD328" w:rsidR="001A5949" w:rsidRPr="00AA54A5" w:rsidRDefault="001A5949" w:rsidP="00953AE7">
            <w:pPr>
              <w:jc w:val="center"/>
              <w:rPr>
                <w:rFonts w:asciiTheme="majorHAnsi" w:hAnsiTheme="majorHAnsi" w:cstheme="majorHAnsi"/>
                <w:sz w:val="18"/>
                <w:szCs w:val="18"/>
              </w:rPr>
            </w:pPr>
            <w:r w:rsidRPr="00AA54A5">
              <w:rPr>
                <w:rFonts w:asciiTheme="majorHAnsi" w:hAnsiTheme="majorHAnsi" w:cstheme="majorHAnsi"/>
                <w:sz w:val="18"/>
                <w:szCs w:val="18"/>
              </w:rPr>
              <w:t>11</w:t>
            </w:r>
          </w:p>
        </w:tc>
        <w:tc>
          <w:tcPr>
            <w:tcW w:w="1310" w:type="dxa"/>
            <w:vAlign w:val="center"/>
          </w:tcPr>
          <w:p w14:paraId="09823C11" w14:textId="0E74BD4B" w:rsidR="001A5949" w:rsidRPr="00AA54A5" w:rsidRDefault="001A5949" w:rsidP="00953AE7">
            <w:pPr>
              <w:jc w:val="center"/>
              <w:rPr>
                <w:rFonts w:asciiTheme="majorHAnsi" w:hAnsiTheme="majorHAnsi" w:cstheme="majorHAnsi"/>
                <w:sz w:val="18"/>
                <w:szCs w:val="18"/>
              </w:rPr>
            </w:pPr>
            <w:r w:rsidRPr="00AA54A5">
              <w:rPr>
                <w:rFonts w:asciiTheme="majorHAnsi" w:hAnsiTheme="majorHAnsi" w:cstheme="majorHAnsi"/>
                <w:sz w:val="18"/>
                <w:szCs w:val="18"/>
              </w:rPr>
              <w:t>7/14/2025</w:t>
            </w:r>
          </w:p>
        </w:tc>
        <w:tc>
          <w:tcPr>
            <w:tcW w:w="8279" w:type="dxa"/>
          </w:tcPr>
          <w:p w14:paraId="1E1D440F" w14:textId="2915EACC" w:rsidR="00812A49" w:rsidRPr="00AA54A5" w:rsidRDefault="001A5949" w:rsidP="006574BD">
            <w:pPr>
              <w:rPr>
                <w:rFonts w:asciiTheme="majorHAnsi" w:hAnsiTheme="majorHAnsi" w:cstheme="majorHAnsi"/>
                <w:sz w:val="18"/>
                <w:szCs w:val="18"/>
              </w:rPr>
            </w:pPr>
            <w:r w:rsidRPr="00AA54A5">
              <w:rPr>
                <w:rFonts w:asciiTheme="majorHAnsi" w:hAnsiTheme="majorHAnsi" w:cstheme="majorHAnsi"/>
                <w:sz w:val="18"/>
                <w:szCs w:val="18"/>
              </w:rPr>
              <w:t xml:space="preserve">Added Section 7.1 “Responsibilities and Action Flow for Incident Reporting” to clarify MDR reporting roles, responsibilities, and workflows. </w:t>
            </w:r>
            <w:r w:rsidR="00812A49" w:rsidRPr="00AA54A5">
              <w:rPr>
                <w:rFonts w:asciiTheme="majorHAnsi" w:hAnsiTheme="majorHAnsi" w:cstheme="majorHAnsi"/>
                <w:sz w:val="18"/>
                <w:szCs w:val="18"/>
              </w:rPr>
              <w:br/>
            </w:r>
            <w:r w:rsidRPr="00AA54A5">
              <w:rPr>
                <w:rFonts w:asciiTheme="majorHAnsi" w:hAnsiTheme="majorHAnsi" w:cstheme="majorHAnsi"/>
                <w:sz w:val="18"/>
                <w:szCs w:val="18"/>
              </w:rPr>
              <w:t xml:space="preserve">Integrated direct references to MDR Determination Forms (8.2-2-4 to 8.2-2-7) and </w:t>
            </w:r>
            <w:r w:rsidR="001B4397" w:rsidRPr="00AA54A5">
              <w:rPr>
                <w:rFonts w:asciiTheme="majorHAnsi" w:hAnsiTheme="majorHAnsi" w:cstheme="majorHAnsi"/>
                <w:sz w:val="18"/>
                <w:szCs w:val="18"/>
              </w:rPr>
              <w:t xml:space="preserve">the </w:t>
            </w:r>
            <w:r w:rsidRPr="00AA54A5">
              <w:rPr>
                <w:rFonts w:asciiTheme="majorHAnsi" w:hAnsiTheme="majorHAnsi" w:cstheme="majorHAnsi"/>
                <w:sz w:val="18"/>
                <w:szCs w:val="18"/>
              </w:rPr>
              <w:t xml:space="preserve">complaint process. </w:t>
            </w:r>
          </w:p>
          <w:p w14:paraId="701528DD" w14:textId="77777777" w:rsidR="001A5949" w:rsidRPr="00AA54A5" w:rsidRDefault="001A5949" w:rsidP="006574BD">
            <w:pPr>
              <w:rPr>
                <w:rFonts w:asciiTheme="majorHAnsi" w:hAnsiTheme="majorHAnsi" w:cstheme="majorHAnsi"/>
                <w:sz w:val="18"/>
                <w:szCs w:val="18"/>
              </w:rPr>
            </w:pPr>
            <w:r w:rsidRPr="00AA54A5">
              <w:rPr>
                <w:rFonts w:asciiTheme="majorHAnsi" w:hAnsiTheme="majorHAnsi" w:cstheme="majorHAnsi"/>
                <w:sz w:val="18"/>
                <w:szCs w:val="18"/>
              </w:rPr>
              <w:t>Added Appendix A: Responsibility Flow Matrix.</w:t>
            </w:r>
          </w:p>
          <w:p w14:paraId="64471384" w14:textId="58C2BF95" w:rsidR="006574BD" w:rsidRPr="00AA54A5" w:rsidRDefault="006574BD" w:rsidP="006574BD">
            <w:pPr>
              <w:rPr>
                <w:rFonts w:asciiTheme="majorHAnsi" w:hAnsiTheme="majorHAnsi" w:cstheme="majorHAnsi"/>
                <w:sz w:val="18"/>
                <w:szCs w:val="18"/>
              </w:rPr>
            </w:pPr>
            <w:r w:rsidRPr="00AA54A5">
              <w:rPr>
                <w:rFonts w:asciiTheme="majorHAnsi" w:hAnsiTheme="majorHAnsi" w:cstheme="majorHAnsi"/>
                <w:sz w:val="18"/>
                <w:szCs w:val="18"/>
              </w:rPr>
              <w:t xml:space="preserve">Update AR from Emergo to MedEnvoy including, emails and address </w:t>
            </w:r>
            <w:proofErr w:type="spellStart"/>
            <w:r w:rsidRPr="00AA54A5">
              <w:rPr>
                <w:rFonts w:asciiTheme="majorHAnsi" w:hAnsiTheme="majorHAnsi" w:cstheme="majorHAnsi"/>
                <w:sz w:val="18"/>
                <w:szCs w:val="18"/>
              </w:rPr>
              <w:t>through out</w:t>
            </w:r>
            <w:proofErr w:type="spellEnd"/>
            <w:r w:rsidRPr="00AA54A5">
              <w:rPr>
                <w:rFonts w:asciiTheme="majorHAnsi" w:hAnsiTheme="majorHAnsi" w:cstheme="majorHAnsi"/>
                <w:sz w:val="18"/>
                <w:szCs w:val="18"/>
              </w:rPr>
              <w:t xml:space="preserve"> the document. </w:t>
            </w:r>
          </w:p>
        </w:tc>
      </w:tr>
      <w:tr w:rsidR="003E13D8" w:rsidRPr="00AA54A5" w14:paraId="111B5CD0" w14:textId="77777777" w:rsidTr="00953AE7">
        <w:tc>
          <w:tcPr>
            <w:tcW w:w="599" w:type="dxa"/>
            <w:vAlign w:val="center"/>
          </w:tcPr>
          <w:p w14:paraId="4BA6FB1B" w14:textId="436E2592" w:rsidR="003E13D8" w:rsidRPr="00AA54A5" w:rsidRDefault="003E13D8" w:rsidP="00953AE7">
            <w:pPr>
              <w:jc w:val="center"/>
              <w:rPr>
                <w:rFonts w:asciiTheme="majorHAnsi" w:hAnsiTheme="majorHAnsi" w:cstheme="majorHAnsi"/>
                <w:sz w:val="18"/>
                <w:szCs w:val="18"/>
              </w:rPr>
            </w:pPr>
            <w:r>
              <w:rPr>
                <w:rFonts w:asciiTheme="majorHAnsi" w:hAnsiTheme="majorHAnsi" w:cstheme="majorHAnsi"/>
                <w:sz w:val="18"/>
                <w:szCs w:val="18"/>
              </w:rPr>
              <w:t>12</w:t>
            </w:r>
          </w:p>
        </w:tc>
        <w:tc>
          <w:tcPr>
            <w:tcW w:w="1310" w:type="dxa"/>
            <w:vAlign w:val="center"/>
          </w:tcPr>
          <w:p w14:paraId="5FFC1FE3" w14:textId="31449C53" w:rsidR="003E13D8" w:rsidRPr="00AA54A5" w:rsidRDefault="003E13D8" w:rsidP="00953AE7">
            <w:pPr>
              <w:jc w:val="center"/>
              <w:rPr>
                <w:rFonts w:asciiTheme="majorHAnsi" w:hAnsiTheme="majorHAnsi" w:cstheme="majorHAnsi"/>
                <w:sz w:val="18"/>
                <w:szCs w:val="18"/>
              </w:rPr>
            </w:pPr>
            <w:r>
              <w:rPr>
                <w:rFonts w:asciiTheme="majorHAnsi" w:hAnsiTheme="majorHAnsi" w:cstheme="majorHAnsi"/>
                <w:sz w:val="18"/>
                <w:szCs w:val="18"/>
              </w:rPr>
              <w:t>08/0</w:t>
            </w:r>
            <w:r w:rsidR="00B040AB">
              <w:rPr>
                <w:rFonts w:asciiTheme="majorHAnsi" w:hAnsiTheme="majorHAnsi" w:cstheme="majorHAnsi"/>
                <w:sz w:val="18"/>
                <w:szCs w:val="18"/>
              </w:rPr>
              <w:t>6</w:t>
            </w:r>
            <w:r>
              <w:rPr>
                <w:rFonts w:asciiTheme="majorHAnsi" w:hAnsiTheme="majorHAnsi" w:cstheme="majorHAnsi"/>
                <w:sz w:val="18"/>
                <w:szCs w:val="18"/>
              </w:rPr>
              <w:t>/2025</w:t>
            </w:r>
          </w:p>
        </w:tc>
        <w:tc>
          <w:tcPr>
            <w:tcW w:w="8279" w:type="dxa"/>
          </w:tcPr>
          <w:p w14:paraId="66602293" w14:textId="5CBB4C3C" w:rsidR="003E13D8" w:rsidRPr="00AA54A5" w:rsidRDefault="003E13D8" w:rsidP="006574BD">
            <w:pPr>
              <w:rPr>
                <w:rFonts w:asciiTheme="majorHAnsi" w:hAnsiTheme="majorHAnsi" w:cstheme="majorHAnsi"/>
                <w:sz w:val="18"/>
                <w:szCs w:val="18"/>
              </w:rPr>
            </w:pPr>
            <w:r>
              <w:rPr>
                <w:rFonts w:asciiTheme="majorHAnsi" w:hAnsiTheme="majorHAnsi" w:cstheme="majorHAnsi"/>
                <w:sz w:val="18"/>
                <w:szCs w:val="18"/>
              </w:rPr>
              <w:t>Section 2.0 Replaced broken hyperlinks</w:t>
            </w:r>
          </w:p>
        </w:tc>
      </w:tr>
    </w:tbl>
    <w:p w14:paraId="581F7D4C" w14:textId="3091EC09" w:rsidR="00893C3F" w:rsidRPr="00AA54A5" w:rsidRDefault="00893C3F" w:rsidP="00893C3F">
      <w:pPr>
        <w:ind w:left="-450"/>
        <w:rPr>
          <w:rFonts w:asciiTheme="majorHAnsi" w:hAnsiTheme="majorHAnsi" w:cstheme="majorHAnsi"/>
          <w:sz w:val="18"/>
          <w:szCs w:val="18"/>
        </w:rPr>
      </w:pPr>
    </w:p>
    <w:p w14:paraId="6918D136" w14:textId="7877A45C" w:rsidR="00893C3F" w:rsidRPr="00AA54A5" w:rsidRDefault="00893C3F">
      <w:pPr>
        <w:rPr>
          <w:rFonts w:asciiTheme="majorHAnsi" w:hAnsiTheme="majorHAnsi" w:cstheme="majorHAnsi"/>
          <w:sz w:val="18"/>
          <w:szCs w:val="18"/>
        </w:rPr>
      </w:pPr>
    </w:p>
    <w:p w14:paraId="5F08D3D6" w14:textId="7A53AEB7" w:rsidR="00EF5B57" w:rsidRPr="00AA54A5" w:rsidRDefault="00893C3F" w:rsidP="00EF5B57">
      <w:pPr>
        <w:pStyle w:val="ListParagraph"/>
        <w:numPr>
          <w:ilvl w:val="0"/>
          <w:numId w:val="1"/>
        </w:numPr>
        <w:spacing w:after="120"/>
        <w:ind w:left="274"/>
        <w:rPr>
          <w:rFonts w:asciiTheme="majorHAnsi" w:hAnsiTheme="majorHAnsi" w:cstheme="majorHAnsi"/>
          <w:b/>
        </w:rPr>
      </w:pPr>
      <w:r w:rsidRPr="00AA54A5">
        <w:rPr>
          <w:rFonts w:asciiTheme="majorHAnsi" w:hAnsiTheme="majorHAnsi" w:cstheme="majorHAnsi"/>
          <w:b/>
        </w:rPr>
        <w:t>PURPOSE</w:t>
      </w:r>
      <w:r w:rsidR="00CD0C9E" w:rsidRPr="00AA54A5">
        <w:rPr>
          <w:rFonts w:asciiTheme="majorHAnsi" w:hAnsiTheme="majorHAnsi" w:cstheme="majorHAnsi"/>
          <w:b/>
        </w:rPr>
        <w:t xml:space="preserve"> -- SCOPE</w:t>
      </w:r>
    </w:p>
    <w:p w14:paraId="07C55271" w14:textId="48B0B8DD" w:rsidR="00EF5B57" w:rsidRPr="00AA54A5" w:rsidRDefault="00EF5B57" w:rsidP="00CD0C9E">
      <w:pPr>
        <w:pStyle w:val="ListParagraph"/>
        <w:spacing w:after="120"/>
        <w:ind w:left="360"/>
        <w:rPr>
          <w:rFonts w:asciiTheme="majorHAnsi" w:hAnsiTheme="majorHAnsi" w:cstheme="majorHAnsi"/>
          <w:sz w:val="18"/>
          <w:szCs w:val="18"/>
        </w:rPr>
      </w:pPr>
      <w:r w:rsidRPr="00AA54A5">
        <w:rPr>
          <w:rFonts w:asciiTheme="majorHAnsi" w:hAnsiTheme="majorHAnsi" w:cstheme="majorHAnsi"/>
          <w:sz w:val="18"/>
          <w:szCs w:val="18"/>
        </w:rPr>
        <w:t xml:space="preserve">The purpose of this procedure is to provide methods and forms used for reporting serious incidents and to initiate a field safety corrective action (FSCA), or product retrieval of any product manufactured and/or distributed by Tulip Medical Products to the appropriate Competent Authority (CA) in the </w:t>
      </w:r>
      <w:r w:rsidR="00CD0C9E" w:rsidRPr="00AA54A5">
        <w:rPr>
          <w:rFonts w:asciiTheme="majorHAnsi" w:hAnsiTheme="majorHAnsi" w:cstheme="majorHAnsi"/>
          <w:sz w:val="18"/>
          <w:szCs w:val="18"/>
        </w:rPr>
        <w:t xml:space="preserve">EU </w:t>
      </w:r>
      <w:r w:rsidRPr="00AA54A5">
        <w:rPr>
          <w:rFonts w:asciiTheme="majorHAnsi" w:hAnsiTheme="majorHAnsi" w:cstheme="majorHAnsi"/>
          <w:sz w:val="18"/>
          <w:szCs w:val="18"/>
        </w:rPr>
        <w:t>and per the contract with EU Authorized Representative (AR)</w:t>
      </w:r>
      <w:r w:rsidR="00CD0C9E" w:rsidRPr="00AA54A5">
        <w:rPr>
          <w:rFonts w:asciiTheme="majorHAnsi" w:hAnsiTheme="majorHAnsi" w:cstheme="majorHAnsi"/>
          <w:sz w:val="18"/>
          <w:szCs w:val="18"/>
        </w:rPr>
        <w:t xml:space="preserve">. </w:t>
      </w:r>
    </w:p>
    <w:p w14:paraId="20750A11" w14:textId="77777777" w:rsidR="00CD0C9E" w:rsidRPr="00AA54A5" w:rsidRDefault="00CD0C9E" w:rsidP="00CD0C9E">
      <w:pPr>
        <w:ind w:left="360"/>
        <w:rPr>
          <w:rFonts w:asciiTheme="majorHAnsi" w:hAnsiTheme="majorHAnsi" w:cstheme="majorHAnsi"/>
          <w:color w:val="222222"/>
          <w:sz w:val="18"/>
          <w:szCs w:val="18"/>
        </w:rPr>
      </w:pPr>
      <w:r w:rsidRPr="00AA54A5">
        <w:rPr>
          <w:rFonts w:asciiTheme="majorHAnsi" w:hAnsiTheme="majorHAnsi" w:cstheme="majorHAnsi"/>
          <w:color w:val="222222"/>
          <w:sz w:val="18"/>
          <w:szCs w:val="18"/>
        </w:rPr>
        <w:t xml:space="preserve">These procedures apply to all situations which could conceivably result in a recall or product retrieval action. It also describes the procedures for reporting adverse events for products distributed in the U.S., Europe, Canada Brazil, Japan and Australia. </w:t>
      </w:r>
    </w:p>
    <w:p w14:paraId="3EB0D1FF" w14:textId="77777777" w:rsidR="00CD0C9E" w:rsidRPr="00AA54A5" w:rsidRDefault="00CD0C9E" w:rsidP="00CD0C9E">
      <w:pPr>
        <w:pStyle w:val="ListParagraph"/>
        <w:spacing w:after="120"/>
        <w:ind w:left="360"/>
        <w:rPr>
          <w:rFonts w:asciiTheme="majorHAnsi" w:hAnsiTheme="majorHAnsi" w:cstheme="majorHAnsi"/>
          <w:b/>
          <w:sz w:val="18"/>
          <w:szCs w:val="18"/>
        </w:rPr>
      </w:pPr>
    </w:p>
    <w:p w14:paraId="5187BBC8" w14:textId="450FED44" w:rsidR="00EF5B57" w:rsidRPr="00AA54A5" w:rsidRDefault="00EF5B57" w:rsidP="00CD0C9E">
      <w:pPr>
        <w:pStyle w:val="ListParagraph"/>
        <w:adjustRightInd w:val="0"/>
        <w:snapToGrid w:val="0"/>
        <w:spacing w:after="120"/>
        <w:ind w:left="360"/>
        <w:jc w:val="both"/>
        <w:rPr>
          <w:rFonts w:asciiTheme="majorHAnsi" w:hAnsiTheme="majorHAnsi" w:cstheme="majorHAnsi"/>
          <w:sz w:val="18"/>
          <w:szCs w:val="18"/>
        </w:rPr>
      </w:pPr>
      <w:r w:rsidRPr="00AA54A5">
        <w:rPr>
          <w:rFonts w:asciiTheme="majorHAnsi" w:hAnsiTheme="majorHAnsi" w:cstheme="majorHAnsi"/>
          <w:sz w:val="18"/>
          <w:szCs w:val="18"/>
        </w:rPr>
        <w:t>This procedure encompasses the requirements for reporting and record-keeping requirements for information received, which reasonably suggests that a manufactured device may have caused, or contributed to, a death, serious injury or has malfunctioned, and that the device would likely cause, or contribute to, a death or serious injury, if the malfunction were to recur.</w:t>
      </w:r>
    </w:p>
    <w:p w14:paraId="0F0E214C" w14:textId="77777777" w:rsidR="00CD0C9E" w:rsidRPr="00AA54A5" w:rsidRDefault="00CD0C9E" w:rsidP="00CD0C9E">
      <w:pPr>
        <w:pStyle w:val="ListParagraph"/>
        <w:adjustRightInd w:val="0"/>
        <w:snapToGrid w:val="0"/>
        <w:spacing w:after="120"/>
        <w:ind w:left="360"/>
        <w:jc w:val="both"/>
        <w:rPr>
          <w:rFonts w:asciiTheme="majorHAnsi" w:hAnsiTheme="majorHAnsi" w:cstheme="majorHAnsi"/>
          <w:sz w:val="18"/>
          <w:szCs w:val="18"/>
        </w:rPr>
      </w:pPr>
    </w:p>
    <w:p w14:paraId="59CBE442" w14:textId="5F3BCAEF" w:rsidR="00EF5B57" w:rsidRPr="00AA54A5" w:rsidRDefault="00EF5B57" w:rsidP="00CD0C9E">
      <w:pPr>
        <w:pStyle w:val="ListParagraph"/>
        <w:ind w:left="360"/>
        <w:rPr>
          <w:rFonts w:asciiTheme="majorHAnsi" w:hAnsiTheme="majorHAnsi" w:cstheme="majorHAnsi"/>
          <w:color w:val="222222"/>
          <w:sz w:val="18"/>
          <w:szCs w:val="18"/>
        </w:rPr>
      </w:pPr>
      <w:r w:rsidRPr="00AA54A5">
        <w:rPr>
          <w:rFonts w:asciiTheme="majorHAnsi" w:hAnsiTheme="majorHAnsi" w:cstheme="majorHAnsi"/>
          <w:sz w:val="18"/>
          <w:szCs w:val="18"/>
        </w:rPr>
        <w:t>This procedure also applies to all situations that could conceivably result in a FSCA</w:t>
      </w:r>
    </w:p>
    <w:p w14:paraId="78344198" w14:textId="77777777" w:rsidR="00EF5B57" w:rsidRPr="00AA54A5" w:rsidRDefault="00EF5B57" w:rsidP="00CD0C9E">
      <w:pPr>
        <w:ind w:left="360"/>
        <w:rPr>
          <w:rFonts w:asciiTheme="majorHAnsi" w:hAnsiTheme="majorHAnsi" w:cstheme="majorHAnsi"/>
          <w:color w:val="222222"/>
          <w:sz w:val="18"/>
          <w:szCs w:val="18"/>
        </w:rPr>
      </w:pPr>
    </w:p>
    <w:p w14:paraId="643A2EA8" w14:textId="77777777" w:rsidR="00D50A8A" w:rsidRPr="00AA54A5" w:rsidRDefault="00D50A8A" w:rsidP="00D50A8A">
      <w:pPr>
        <w:pStyle w:val="ListParagraph"/>
        <w:spacing w:after="120"/>
        <w:ind w:left="360"/>
        <w:jc w:val="both"/>
        <w:rPr>
          <w:rFonts w:asciiTheme="majorHAnsi" w:hAnsiTheme="majorHAnsi" w:cstheme="majorHAnsi"/>
          <w:sz w:val="18"/>
          <w:szCs w:val="18"/>
        </w:rPr>
      </w:pPr>
    </w:p>
    <w:p w14:paraId="3D206573" w14:textId="4461F35D" w:rsidR="003A46F0" w:rsidRPr="00AA54A5" w:rsidRDefault="003A46F0" w:rsidP="00FE47F6">
      <w:pPr>
        <w:pStyle w:val="ListParagraph"/>
        <w:numPr>
          <w:ilvl w:val="0"/>
          <w:numId w:val="1"/>
        </w:numPr>
        <w:spacing w:after="120"/>
        <w:ind w:left="274"/>
        <w:jc w:val="both"/>
        <w:rPr>
          <w:rFonts w:asciiTheme="majorHAnsi" w:hAnsiTheme="majorHAnsi" w:cstheme="majorHAnsi"/>
          <w:b/>
        </w:rPr>
      </w:pPr>
      <w:r w:rsidRPr="00AA54A5">
        <w:rPr>
          <w:rFonts w:asciiTheme="majorHAnsi" w:hAnsiTheme="majorHAnsi" w:cstheme="majorHAnsi"/>
          <w:b/>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8D1AC7" w:rsidRPr="00AA54A5" w14:paraId="41172C8E" w14:textId="77777777" w:rsidTr="008D1AC7">
        <w:tc>
          <w:tcPr>
            <w:tcW w:w="8856" w:type="dxa"/>
            <w:gridSpan w:val="2"/>
            <w:vAlign w:val="center"/>
          </w:tcPr>
          <w:p w14:paraId="6DCB17F9" w14:textId="77777777" w:rsidR="008D1AC7" w:rsidRPr="00AA54A5" w:rsidRDefault="008D1AC7" w:rsidP="00FE47F6">
            <w:pPr>
              <w:jc w:val="both"/>
              <w:rPr>
                <w:rFonts w:asciiTheme="majorHAnsi" w:eastAsiaTheme="minorEastAsia" w:hAnsiTheme="majorHAnsi" w:cstheme="majorHAnsi"/>
                <w:sz w:val="18"/>
                <w:szCs w:val="18"/>
              </w:rPr>
            </w:pPr>
            <w:r w:rsidRPr="00AA54A5">
              <w:rPr>
                <w:rFonts w:asciiTheme="majorHAnsi" w:hAnsiTheme="majorHAnsi" w:cstheme="majorHAnsi"/>
                <w:sz w:val="18"/>
                <w:szCs w:val="18"/>
              </w:rPr>
              <w:t>ISO 13485:</w:t>
            </w:r>
            <w:r w:rsidR="00407806" w:rsidRPr="00AA54A5">
              <w:rPr>
                <w:rFonts w:asciiTheme="majorHAnsi" w:hAnsiTheme="majorHAnsi" w:cstheme="majorHAnsi"/>
                <w:sz w:val="18"/>
                <w:szCs w:val="18"/>
              </w:rPr>
              <w:t xml:space="preserve">2016 </w:t>
            </w:r>
            <w:r w:rsidRPr="00AA54A5">
              <w:rPr>
                <w:rFonts w:asciiTheme="majorHAnsi" w:hAnsiTheme="majorHAnsi" w:cstheme="majorHAnsi"/>
                <w:sz w:val="18"/>
                <w:szCs w:val="18"/>
              </w:rPr>
              <w:t xml:space="preserve">Medical Devices – </w:t>
            </w:r>
            <w:r w:rsidR="00407806" w:rsidRPr="00AA54A5">
              <w:rPr>
                <w:rFonts w:asciiTheme="majorHAnsi" w:eastAsiaTheme="minorEastAsia" w:hAnsiTheme="majorHAnsi" w:cstheme="majorHAnsi"/>
                <w:sz w:val="18"/>
                <w:szCs w:val="18"/>
              </w:rPr>
              <w:t>8.3.3 Actions in response to nonconforming product detected after delivery</w:t>
            </w:r>
          </w:p>
          <w:p w14:paraId="7526F954" w14:textId="77777777" w:rsidR="000D5BBC" w:rsidRPr="00AA54A5" w:rsidRDefault="000D5BBC" w:rsidP="00FE47F6">
            <w:pPr>
              <w:jc w:val="both"/>
              <w:rPr>
                <w:rFonts w:asciiTheme="majorHAnsi" w:hAnsiTheme="majorHAnsi" w:cstheme="majorHAnsi"/>
                <w:sz w:val="18"/>
                <w:szCs w:val="18"/>
              </w:rPr>
            </w:pPr>
            <w:r w:rsidRPr="00AA54A5">
              <w:rPr>
                <w:rFonts w:asciiTheme="majorHAnsi" w:hAnsiTheme="majorHAnsi" w:cstheme="majorHAnsi"/>
                <w:sz w:val="18"/>
                <w:szCs w:val="18"/>
              </w:rPr>
              <w:t>EU 2017/745 Medical Device Regulation</w:t>
            </w:r>
          </w:p>
          <w:p w14:paraId="68C3F83D" w14:textId="56D82DDD" w:rsidR="000D5BBC" w:rsidRPr="00AA54A5" w:rsidRDefault="000D5BBC" w:rsidP="00FE47F6">
            <w:pPr>
              <w:jc w:val="both"/>
              <w:rPr>
                <w:rFonts w:asciiTheme="majorHAnsi" w:hAnsiTheme="majorHAnsi" w:cstheme="majorHAnsi"/>
                <w:sz w:val="18"/>
                <w:szCs w:val="18"/>
              </w:rPr>
            </w:pPr>
            <w:bookmarkStart w:id="0" w:name="_Hlk21070523"/>
            <w:r w:rsidRPr="00AA54A5">
              <w:rPr>
                <w:rFonts w:asciiTheme="majorHAnsi" w:hAnsiTheme="majorHAnsi" w:cstheme="majorHAnsi"/>
                <w:sz w:val="18"/>
                <w:szCs w:val="18"/>
              </w:rPr>
              <w:t xml:space="preserve">Manufacturer Incident Report (MIR) for Serious Incidents (MDR / IVDR) (effective January 2020): </w:t>
            </w:r>
            <w:hyperlink r:id="rId8" w:history="1">
              <w:r w:rsidRPr="00AA54A5">
                <w:rPr>
                  <w:rStyle w:val="Hyperlink"/>
                  <w:rFonts w:asciiTheme="majorHAnsi" w:hAnsiTheme="majorHAnsi" w:cstheme="majorHAnsi"/>
                  <w:sz w:val="18"/>
                  <w:szCs w:val="18"/>
                </w:rPr>
                <w:t>https://ec.europa.eu/docsroom/documents/37348</w:t>
              </w:r>
              <w:bookmarkEnd w:id="0"/>
            </w:hyperlink>
          </w:p>
        </w:tc>
      </w:tr>
      <w:tr w:rsidR="00407806" w:rsidRPr="00467425" w14:paraId="531B96BB" w14:textId="77777777" w:rsidTr="00D072A6">
        <w:tc>
          <w:tcPr>
            <w:tcW w:w="8856" w:type="dxa"/>
            <w:gridSpan w:val="2"/>
          </w:tcPr>
          <w:p w14:paraId="41E2547A" w14:textId="435DBDEC" w:rsidR="00407806" w:rsidRPr="00467425" w:rsidRDefault="00407806" w:rsidP="00407806">
            <w:pPr>
              <w:rPr>
                <w:rFonts w:asciiTheme="majorHAnsi" w:hAnsiTheme="majorHAnsi" w:cstheme="majorHAnsi"/>
                <w:sz w:val="18"/>
                <w:szCs w:val="18"/>
              </w:rPr>
            </w:pPr>
            <w:r w:rsidRPr="00467425">
              <w:rPr>
                <w:rFonts w:asciiTheme="majorHAnsi" w:hAnsiTheme="majorHAnsi" w:cstheme="majorHAnsi"/>
                <w:sz w:val="18"/>
                <w:szCs w:val="18"/>
              </w:rPr>
              <w:t xml:space="preserve">US FDA 21 CFR Part 806 </w:t>
            </w:r>
            <w:r w:rsidR="00AF2187" w:rsidRPr="00467425">
              <w:rPr>
                <w:rFonts w:asciiTheme="majorHAnsi" w:hAnsiTheme="majorHAnsi" w:cstheme="majorHAnsi"/>
                <w:sz w:val="18"/>
                <w:szCs w:val="18"/>
              </w:rPr>
              <w:t>–</w:t>
            </w:r>
          </w:p>
          <w:p w14:paraId="5CAB1E40" w14:textId="5246D9D8" w:rsidR="00AF2187" w:rsidRPr="00467425" w:rsidRDefault="00AF2187" w:rsidP="00407806">
            <w:pPr>
              <w:rPr>
                <w:rFonts w:asciiTheme="majorHAnsi" w:hAnsiTheme="majorHAnsi" w:cstheme="majorHAnsi"/>
                <w:sz w:val="18"/>
                <w:szCs w:val="18"/>
              </w:rPr>
            </w:pPr>
            <w:hyperlink r:id="rId9" w:history="1">
              <w:r w:rsidRPr="00467425">
                <w:rPr>
                  <w:rStyle w:val="Hyperlink"/>
                  <w:rFonts w:asciiTheme="majorHAnsi" w:hAnsiTheme="majorHAnsi" w:cstheme="majorHAnsi"/>
                  <w:sz w:val="18"/>
                  <w:szCs w:val="18"/>
                </w:rPr>
                <w:t>https://www.ecfr.gov/current/title-21/chapter-I/subchapter-H/part-806</w:t>
              </w:r>
            </w:hyperlink>
          </w:p>
          <w:p w14:paraId="14769570" w14:textId="4AFF891C" w:rsidR="00407806" w:rsidRPr="00467425" w:rsidRDefault="00407806" w:rsidP="00407806">
            <w:pPr>
              <w:rPr>
                <w:rFonts w:asciiTheme="majorHAnsi" w:hAnsiTheme="majorHAnsi" w:cstheme="majorHAnsi"/>
                <w:sz w:val="18"/>
                <w:szCs w:val="18"/>
              </w:rPr>
            </w:pPr>
            <w:r w:rsidRPr="00467425">
              <w:rPr>
                <w:rFonts w:asciiTheme="majorHAnsi" w:hAnsiTheme="majorHAnsi" w:cstheme="majorHAnsi"/>
                <w:sz w:val="18"/>
                <w:szCs w:val="18"/>
              </w:rPr>
              <w:t xml:space="preserve">US FDA 21 CFR Part 7 </w:t>
            </w:r>
            <w:r w:rsidR="00AF2187" w:rsidRPr="00467425">
              <w:rPr>
                <w:rFonts w:asciiTheme="majorHAnsi" w:hAnsiTheme="majorHAnsi" w:cstheme="majorHAnsi"/>
                <w:sz w:val="18"/>
                <w:szCs w:val="18"/>
              </w:rPr>
              <w:t>–</w:t>
            </w:r>
            <w:r w:rsidRPr="00467425">
              <w:rPr>
                <w:rFonts w:asciiTheme="majorHAnsi" w:hAnsiTheme="majorHAnsi" w:cstheme="majorHAnsi"/>
                <w:sz w:val="18"/>
                <w:szCs w:val="18"/>
              </w:rPr>
              <w:t xml:space="preserve"> </w:t>
            </w:r>
          </w:p>
          <w:p w14:paraId="28530418" w14:textId="354B5524" w:rsidR="00AF2187" w:rsidRPr="00467425" w:rsidRDefault="00AF2187" w:rsidP="00407806">
            <w:pPr>
              <w:rPr>
                <w:rFonts w:asciiTheme="majorHAnsi" w:hAnsiTheme="majorHAnsi" w:cstheme="majorHAnsi"/>
                <w:sz w:val="18"/>
                <w:szCs w:val="18"/>
              </w:rPr>
            </w:pPr>
            <w:hyperlink r:id="rId10" w:history="1">
              <w:r w:rsidRPr="00467425">
                <w:rPr>
                  <w:rStyle w:val="Hyperlink"/>
                  <w:rFonts w:asciiTheme="majorHAnsi" w:hAnsiTheme="majorHAnsi" w:cstheme="majorHAnsi"/>
                  <w:sz w:val="18"/>
                  <w:szCs w:val="18"/>
                </w:rPr>
                <w:t>https://www.ecfr.gov/current/title-21/chapter-I/subchapter-A/part-7</w:t>
              </w:r>
            </w:hyperlink>
          </w:p>
          <w:p w14:paraId="03115868" w14:textId="77777777" w:rsidR="00AF2187" w:rsidRPr="00467425" w:rsidRDefault="00AF2187" w:rsidP="00407806">
            <w:pPr>
              <w:rPr>
                <w:rFonts w:asciiTheme="majorHAnsi" w:hAnsiTheme="majorHAnsi" w:cstheme="majorHAnsi"/>
                <w:sz w:val="18"/>
                <w:szCs w:val="18"/>
              </w:rPr>
            </w:pPr>
          </w:p>
          <w:p w14:paraId="50D7E358" w14:textId="582B489C" w:rsidR="00407806" w:rsidRPr="00467425" w:rsidRDefault="00407806" w:rsidP="00407806">
            <w:pPr>
              <w:rPr>
                <w:rFonts w:asciiTheme="majorHAnsi" w:hAnsiTheme="majorHAnsi" w:cstheme="majorHAnsi"/>
                <w:sz w:val="18"/>
                <w:szCs w:val="18"/>
              </w:rPr>
            </w:pPr>
            <w:r w:rsidRPr="00467425">
              <w:rPr>
                <w:rFonts w:asciiTheme="majorHAnsi" w:hAnsiTheme="majorHAnsi" w:cstheme="majorHAnsi"/>
                <w:sz w:val="18"/>
                <w:szCs w:val="18"/>
              </w:rPr>
              <w:t xml:space="preserve">MEDDEV 2.12 - </w:t>
            </w:r>
          </w:p>
          <w:p w14:paraId="05397905" w14:textId="77777777" w:rsidR="00407806" w:rsidRPr="00467425" w:rsidRDefault="00407806" w:rsidP="00407806">
            <w:pPr>
              <w:rPr>
                <w:rFonts w:asciiTheme="majorHAnsi" w:hAnsiTheme="majorHAnsi" w:cstheme="majorHAnsi"/>
                <w:sz w:val="18"/>
                <w:szCs w:val="18"/>
              </w:rPr>
            </w:pPr>
            <w:hyperlink r:id="rId11" w:history="1">
              <w:r w:rsidRPr="00467425">
                <w:rPr>
                  <w:rStyle w:val="Hyperlink"/>
                  <w:rFonts w:asciiTheme="majorHAnsi" w:hAnsiTheme="majorHAnsi" w:cstheme="majorHAnsi"/>
                  <w:sz w:val="18"/>
                  <w:szCs w:val="18"/>
                </w:rPr>
                <w:t>https://ec.europa.eu/docsroom/documents/32305/attachments/1/translations</w:t>
              </w:r>
            </w:hyperlink>
          </w:p>
          <w:p w14:paraId="3CE97DC6" w14:textId="77777777" w:rsidR="00407806" w:rsidRPr="00467425" w:rsidRDefault="00407806" w:rsidP="00407806">
            <w:pPr>
              <w:rPr>
                <w:rFonts w:asciiTheme="majorHAnsi" w:hAnsiTheme="majorHAnsi" w:cstheme="majorHAnsi"/>
                <w:sz w:val="18"/>
                <w:szCs w:val="18"/>
              </w:rPr>
            </w:pPr>
            <w:r w:rsidRPr="00467425">
              <w:rPr>
                <w:rFonts w:asciiTheme="majorHAnsi" w:hAnsiTheme="majorHAnsi" w:cstheme="majorHAnsi"/>
                <w:sz w:val="18"/>
                <w:szCs w:val="18"/>
              </w:rPr>
              <w:t xml:space="preserve">Form 9.1-5-1 Advisory Notices, Recalls &amp; Vigilance Plan </w:t>
            </w:r>
          </w:p>
          <w:p w14:paraId="376C5C3E" w14:textId="2EF4A61E" w:rsidR="00407806" w:rsidRPr="00467425" w:rsidRDefault="00407806" w:rsidP="00407806">
            <w:pPr>
              <w:jc w:val="both"/>
              <w:rPr>
                <w:rFonts w:asciiTheme="majorHAnsi" w:hAnsiTheme="majorHAnsi" w:cstheme="majorHAnsi"/>
                <w:sz w:val="18"/>
                <w:szCs w:val="18"/>
              </w:rPr>
            </w:pPr>
            <w:r w:rsidRPr="00467425">
              <w:rPr>
                <w:rFonts w:asciiTheme="majorHAnsi" w:hAnsiTheme="majorHAnsi" w:cstheme="majorHAnsi"/>
                <w:sz w:val="18"/>
                <w:szCs w:val="18"/>
              </w:rPr>
              <w:t>Health Canada SOR/98/282</w:t>
            </w:r>
          </w:p>
        </w:tc>
      </w:tr>
      <w:tr w:rsidR="00407806" w:rsidRPr="00467425" w14:paraId="6F7D56A6" w14:textId="77777777" w:rsidTr="00D072A6">
        <w:tc>
          <w:tcPr>
            <w:tcW w:w="8856" w:type="dxa"/>
            <w:gridSpan w:val="2"/>
          </w:tcPr>
          <w:p w14:paraId="13D1B79A" w14:textId="7A95A77C" w:rsidR="00407806" w:rsidRPr="00467425" w:rsidRDefault="00407806" w:rsidP="00407806">
            <w:pPr>
              <w:jc w:val="both"/>
              <w:rPr>
                <w:rFonts w:asciiTheme="majorHAnsi" w:hAnsiTheme="majorHAnsi" w:cstheme="majorHAnsi"/>
                <w:sz w:val="18"/>
                <w:szCs w:val="18"/>
              </w:rPr>
            </w:pPr>
            <w:hyperlink r:id="rId12" w:history="1">
              <w:r w:rsidRPr="00467425">
                <w:rPr>
                  <w:rStyle w:val="Hyperlink"/>
                  <w:rFonts w:asciiTheme="majorHAnsi" w:hAnsiTheme="majorHAnsi" w:cstheme="majorHAnsi"/>
                  <w:sz w:val="18"/>
                  <w:szCs w:val="18"/>
                </w:rPr>
                <w:t>https://www.canada.ca/en/health-canada.html</w:t>
              </w:r>
            </w:hyperlink>
          </w:p>
        </w:tc>
      </w:tr>
      <w:tr w:rsidR="00407806" w:rsidRPr="00467425" w14:paraId="29047E75" w14:textId="77777777" w:rsidTr="00D072A6">
        <w:tc>
          <w:tcPr>
            <w:tcW w:w="8856" w:type="dxa"/>
            <w:gridSpan w:val="2"/>
          </w:tcPr>
          <w:p w14:paraId="520F1E26" w14:textId="3C533B44" w:rsidR="00407806" w:rsidRPr="00467425" w:rsidRDefault="00AF2187" w:rsidP="00407806">
            <w:pPr>
              <w:jc w:val="both"/>
              <w:rPr>
                <w:rFonts w:asciiTheme="majorHAnsi" w:hAnsiTheme="majorHAnsi" w:cstheme="majorHAnsi"/>
                <w:sz w:val="18"/>
                <w:szCs w:val="18"/>
              </w:rPr>
            </w:pPr>
            <w:hyperlink r:id="rId13" w:history="1">
              <w:r w:rsidRPr="00467425">
                <w:rPr>
                  <w:rStyle w:val="Hyperlink"/>
                  <w:rFonts w:asciiTheme="majorHAnsi" w:hAnsiTheme="majorHAnsi" w:cstheme="majorHAnsi"/>
                  <w:sz w:val="18"/>
                  <w:szCs w:val="18"/>
                </w:rPr>
                <w:t>https://recalls-rappels.canada.ca/en</w:t>
              </w:r>
            </w:hyperlink>
          </w:p>
        </w:tc>
      </w:tr>
      <w:tr w:rsidR="008D1AC7" w:rsidRPr="00467425" w14:paraId="7D8AEC89" w14:textId="77777777" w:rsidTr="003A46F0">
        <w:tc>
          <w:tcPr>
            <w:tcW w:w="1728" w:type="dxa"/>
            <w:vAlign w:val="center"/>
          </w:tcPr>
          <w:p w14:paraId="26DFD063" w14:textId="111D72BA" w:rsidR="008D1AC7" w:rsidRPr="00467425" w:rsidRDefault="008D1AC7" w:rsidP="00FE47F6">
            <w:pPr>
              <w:jc w:val="both"/>
              <w:rPr>
                <w:rFonts w:asciiTheme="majorHAnsi" w:hAnsiTheme="majorHAnsi" w:cstheme="majorHAnsi"/>
                <w:sz w:val="18"/>
                <w:szCs w:val="18"/>
              </w:rPr>
            </w:pPr>
            <w:r w:rsidRPr="00467425">
              <w:rPr>
                <w:rFonts w:asciiTheme="majorHAnsi" w:hAnsiTheme="majorHAnsi" w:cstheme="majorHAnsi"/>
                <w:sz w:val="18"/>
                <w:szCs w:val="18"/>
              </w:rPr>
              <w:t>Form 9.1-5</w:t>
            </w:r>
            <w:r w:rsidR="00127EBE" w:rsidRPr="00467425">
              <w:rPr>
                <w:rFonts w:asciiTheme="majorHAnsi" w:hAnsiTheme="majorHAnsi" w:cstheme="majorHAnsi"/>
                <w:sz w:val="18"/>
                <w:szCs w:val="18"/>
              </w:rPr>
              <w:t>-1</w:t>
            </w:r>
          </w:p>
        </w:tc>
        <w:tc>
          <w:tcPr>
            <w:tcW w:w="7128" w:type="dxa"/>
            <w:vAlign w:val="center"/>
          </w:tcPr>
          <w:p w14:paraId="734A1EC2" w14:textId="3887D6CF" w:rsidR="008D1AC7" w:rsidRPr="00467425" w:rsidRDefault="00127EBE" w:rsidP="00FE47F6">
            <w:pPr>
              <w:jc w:val="both"/>
              <w:rPr>
                <w:rFonts w:asciiTheme="majorHAnsi" w:hAnsiTheme="majorHAnsi" w:cstheme="majorHAnsi"/>
                <w:sz w:val="18"/>
                <w:szCs w:val="18"/>
              </w:rPr>
            </w:pPr>
            <w:r w:rsidRPr="00467425">
              <w:rPr>
                <w:rFonts w:asciiTheme="majorHAnsi" w:hAnsiTheme="majorHAnsi" w:cstheme="majorHAnsi"/>
                <w:sz w:val="18"/>
                <w:szCs w:val="18"/>
              </w:rPr>
              <w:t>Advisory Notices, Recalls &amp; Vigilance Plan</w:t>
            </w:r>
          </w:p>
        </w:tc>
      </w:tr>
      <w:tr w:rsidR="000D5BBC" w:rsidRPr="00467425" w14:paraId="66FF5CCC" w14:textId="77777777" w:rsidTr="003A46F0">
        <w:tc>
          <w:tcPr>
            <w:tcW w:w="1728" w:type="dxa"/>
            <w:vAlign w:val="center"/>
          </w:tcPr>
          <w:p w14:paraId="3AB6979C" w14:textId="6C5C8F7A"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QSP 4.2-1</w:t>
            </w:r>
          </w:p>
        </w:tc>
        <w:tc>
          <w:tcPr>
            <w:tcW w:w="7128" w:type="dxa"/>
            <w:vAlign w:val="center"/>
          </w:tcPr>
          <w:p w14:paraId="09E31092" w14:textId="7D8D1682"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Document Control</w:t>
            </w:r>
          </w:p>
        </w:tc>
      </w:tr>
      <w:tr w:rsidR="000D5BBC" w:rsidRPr="00467425" w14:paraId="00657DA4" w14:textId="77777777" w:rsidTr="003A46F0">
        <w:tc>
          <w:tcPr>
            <w:tcW w:w="1728" w:type="dxa"/>
            <w:vAlign w:val="center"/>
          </w:tcPr>
          <w:p w14:paraId="4D510D3F" w14:textId="626E21A1"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QSP 8.3-1</w:t>
            </w:r>
          </w:p>
        </w:tc>
        <w:tc>
          <w:tcPr>
            <w:tcW w:w="7128" w:type="dxa"/>
            <w:vAlign w:val="center"/>
          </w:tcPr>
          <w:p w14:paraId="397609DF" w14:textId="446DE17F"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Control of Nonconforming Product</w:t>
            </w:r>
          </w:p>
        </w:tc>
      </w:tr>
      <w:tr w:rsidR="003A46F0" w:rsidRPr="00467425" w14:paraId="441DA05F" w14:textId="77777777" w:rsidTr="003A46F0">
        <w:tc>
          <w:tcPr>
            <w:tcW w:w="1728" w:type="dxa"/>
            <w:vAlign w:val="center"/>
          </w:tcPr>
          <w:p w14:paraId="03A1707F" w14:textId="77777777" w:rsidR="003A46F0" w:rsidRPr="00467425" w:rsidRDefault="003A46F0" w:rsidP="00FE47F6">
            <w:pPr>
              <w:jc w:val="both"/>
              <w:rPr>
                <w:rFonts w:asciiTheme="majorHAnsi" w:hAnsiTheme="majorHAnsi" w:cstheme="majorHAnsi"/>
                <w:sz w:val="18"/>
                <w:szCs w:val="18"/>
              </w:rPr>
            </w:pPr>
            <w:r w:rsidRPr="00467425">
              <w:rPr>
                <w:rFonts w:asciiTheme="majorHAnsi" w:hAnsiTheme="majorHAnsi" w:cstheme="majorHAnsi"/>
                <w:sz w:val="18"/>
                <w:szCs w:val="18"/>
              </w:rPr>
              <w:t>QSP 6.2-1</w:t>
            </w:r>
          </w:p>
        </w:tc>
        <w:tc>
          <w:tcPr>
            <w:tcW w:w="7128" w:type="dxa"/>
            <w:vAlign w:val="center"/>
          </w:tcPr>
          <w:p w14:paraId="63656697" w14:textId="77777777" w:rsidR="003A46F0" w:rsidRPr="00467425" w:rsidRDefault="003A46F0" w:rsidP="00FE47F6">
            <w:pPr>
              <w:jc w:val="both"/>
              <w:rPr>
                <w:rFonts w:asciiTheme="majorHAnsi" w:hAnsiTheme="majorHAnsi" w:cstheme="majorHAnsi"/>
                <w:sz w:val="18"/>
                <w:szCs w:val="18"/>
              </w:rPr>
            </w:pPr>
            <w:r w:rsidRPr="00467425">
              <w:rPr>
                <w:rFonts w:asciiTheme="majorHAnsi" w:hAnsiTheme="majorHAnsi" w:cstheme="majorHAnsi"/>
                <w:sz w:val="18"/>
                <w:szCs w:val="18"/>
              </w:rPr>
              <w:t>Training and Qualification</w:t>
            </w:r>
          </w:p>
        </w:tc>
      </w:tr>
      <w:tr w:rsidR="008D1AC7" w:rsidRPr="00467425" w14:paraId="3BBADEFB" w14:textId="77777777" w:rsidTr="003A46F0">
        <w:tc>
          <w:tcPr>
            <w:tcW w:w="1728" w:type="dxa"/>
            <w:vAlign w:val="center"/>
          </w:tcPr>
          <w:p w14:paraId="061CFBB0" w14:textId="753A0CF1" w:rsidR="008D1AC7" w:rsidRPr="00467425" w:rsidRDefault="008D1AC7" w:rsidP="00FE47F6">
            <w:pPr>
              <w:jc w:val="both"/>
              <w:rPr>
                <w:rFonts w:asciiTheme="majorHAnsi" w:hAnsiTheme="majorHAnsi" w:cstheme="majorHAnsi"/>
                <w:sz w:val="18"/>
                <w:szCs w:val="18"/>
              </w:rPr>
            </w:pPr>
            <w:r w:rsidRPr="00467425">
              <w:rPr>
                <w:rFonts w:asciiTheme="majorHAnsi" w:hAnsiTheme="majorHAnsi" w:cstheme="majorHAnsi"/>
                <w:sz w:val="18"/>
                <w:szCs w:val="18"/>
              </w:rPr>
              <w:t>QSP 9.1-2</w:t>
            </w:r>
          </w:p>
        </w:tc>
        <w:tc>
          <w:tcPr>
            <w:tcW w:w="7128" w:type="dxa"/>
            <w:vAlign w:val="center"/>
          </w:tcPr>
          <w:p w14:paraId="20F03F58" w14:textId="15EB3591"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 xml:space="preserve">Conducting </w:t>
            </w:r>
            <w:r w:rsidR="008D1AC7" w:rsidRPr="00467425">
              <w:rPr>
                <w:rFonts w:asciiTheme="majorHAnsi" w:hAnsiTheme="majorHAnsi" w:cstheme="majorHAnsi"/>
                <w:sz w:val="18"/>
                <w:szCs w:val="18"/>
              </w:rPr>
              <w:t>Recalls – US FDA</w:t>
            </w:r>
          </w:p>
        </w:tc>
      </w:tr>
      <w:tr w:rsidR="000D5BBC" w:rsidRPr="00467425" w14:paraId="55436E18" w14:textId="77777777" w:rsidTr="003A46F0">
        <w:tc>
          <w:tcPr>
            <w:tcW w:w="1728" w:type="dxa"/>
            <w:vAlign w:val="center"/>
          </w:tcPr>
          <w:p w14:paraId="5244E577" w14:textId="588B635D"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QSP 9.1-6</w:t>
            </w:r>
          </w:p>
        </w:tc>
        <w:tc>
          <w:tcPr>
            <w:tcW w:w="7128" w:type="dxa"/>
            <w:vAlign w:val="center"/>
          </w:tcPr>
          <w:p w14:paraId="3823ECE2" w14:textId="49D36AA7"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Medical Device Reporting</w:t>
            </w:r>
          </w:p>
        </w:tc>
      </w:tr>
      <w:tr w:rsidR="000D5BBC" w:rsidRPr="00467425" w14:paraId="59F8BAD1" w14:textId="77777777" w:rsidTr="003A46F0">
        <w:tc>
          <w:tcPr>
            <w:tcW w:w="1728" w:type="dxa"/>
            <w:vAlign w:val="center"/>
          </w:tcPr>
          <w:p w14:paraId="6597A977" w14:textId="12ADEF37"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QSP 9.1-7</w:t>
            </w:r>
          </w:p>
        </w:tc>
        <w:tc>
          <w:tcPr>
            <w:tcW w:w="7128" w:type="dxa"/>
            <w:vAlign w:val="center"/>
          </w:tcPr>
          <w:p w14:paraId="064D2E60" w14:textId="24EE4E22" w:rsidR="000D5BBC" w:rsidRPr="00467425" w:rsidRDefault="000D5BBC" w:rsidP="00FE47F6">
            <w:pPr>
              <w:jc w:val="both"/>
              <w:rPr>
                <w:rFonts w:asciiTheme="majorHAnsi" w:hAnsiTheme="majorHAnsi" w:cstheme="majorHAnsi"/>
                <w:sz w:val="18"/>
                <w:szCs w:val="18"/>
              </w:rPr>
            </w:pPr>
            <w:r w:rsidRPr="00467425">
              <w:rPr>
                <w:rFonts w:asciiTheme="majorHAnsi" w:hAnsiTheme="majorHAnsi" w:cstheme="majorHAnsi"/>
                <w:sz w:val="18"/>
                <w:szCs w:val="18"/>
              </w:rPr>
              <w:t>Post Market Surveillance</w:t>
            </w:r>
          </w:p>
        </w:tc>
      </w:tr>
      <w:tr w:rsidR="00AD04BB" w:rsidRPr="00AA54A5" w14:paraId="62D9C369" w14:textId="77777777" w:rsidTr="003A46F0">
        <w:tc>
          <w:tcPr>
            <w:tcW w:w="1728" w:type="dxa"/>
            <w:vAlign w:val="center"/>
          </w:tcPr>
          <w:p w14:paraId="36D13FF6" w14:textId="19C5CB4A" w:rsidR="00AD04BB" w:rsidRPr="00467425" w:rsidRDefault="00381BE3" w:rsidP="00FE47F6">
            <w:pPr>
              <w:jc w:val="both"/>
              <w:rPr>
                <w:rFonts w:asciiTheme="majorHAnsi" w:hAnsiTheme="majorHAnsi" w:cstheme="majorHAnsi"/>
                <w:sz w:val="18"/>
                <w:szCs w:val="18"/>
              </w:rPr>
            </w:pPr>
            <w:r w:rsidRPr="00467425">
              <w:rPr>
                <w:rFonts w:asciiTheme="majorHAnsi" w:hAnsiTheme="majorHAnsi" w:cstheme="majorHAnsi"/>
                <w:sz w:val="18"/>
                <w:szCs w:val="18"/>
              </w:rPr>
              <w:t>QSP 8.2-2</w:t>
            </w:r>
          </w:p>
        </w:tc>
        <w:tc>
          <w:tcPr>
            <w:tcW w:w="7128" w:type="dxa"/>
            <w:vAlign w:val="center"/>
          </w:tcPr>
          <w:p w14:paraId="148F91D1" w14:textId="5AE2D811" w:rsidR="00AD04BB" w:rsidRPr="00AA54A5" w:rsidRDefault="00381BE3" w:rsidP="00FE47F6">
            <w:pPr>
              <w:jc w:val="both"/>
              <w:rPr>
                <w:rFonts w:asciiTheme="majorHAnsi" w:hAnsiTheme="majorHAnsi" w:cstheme="majorHAnsi"/>
                <w:sz w:val="18"/>
                <w:szCs w:val="18"/>
              </w:rPr>
            </w:pPr>
            <w:r w:rsidRPr="00467425">
              <w:rPr>
                <w:rFonts w:asciiTheme="majorHAnsi" w:hAnsiTheme="majorHAnsi" w:cstheme="majorHAnsi"/>
                <w:sz w:val="18"/>
                <w:szCs w:val="18"/>
              </w:rPr>
              <w:t>Customer Feedback and Complaints</w:t>
            </w:r>
          </w:p>
        </w:tc>
      </w:tr>
    </w:tbl>
    <w:p w14:paraId="10C9A58A" w14:textId="62CED6CC" w:rsidR="001E77F2" w:rsidRPr="00AA54A5" w:rsidRDefault="001E77F2" w:rsidP="001E77F2">
      <w:pPr>
        <w:rPr>
          <w:rFonts w:asciiTheme="majorHAnsi" w:hAnsiTheme="majorHAnsi" w:cstheme="majorHAnsi"/>
          <w:sz w:val="18"/>
          <w:szCs w:val="18"/>
        </w:rPr>
      </w:pPr>
    </w:p>
    <w:p w14:paraId="34133411" w14:textId="77777777" w:rsidR="0082743D" w:rsidRDefault="0082743D" w:rsidP="001E77F2">
      <w:pPr>
        <w:rPr>
          <w:rFonts w:asciiTheme="majorHAnsi" w:hAnsiTheme="majorHAnsi" w:cstheme="majorHAnsi"/>
          <w:sz w:val="18"/>
          <w:szCs w:val="18"/>
        </w:rPr>
      </w:pPr>
    </w:p>
    <w:p w14:paraId="271E270E" w14:textId="77777777" w:rsidR="00AA54A5" w:rsidRDefault="00AA54A5" w:rsidP="001E77F2">
      <w:pPr>
        <w:rPr>
          <w:rFonts w:asciiTheme="majorHAnsi" w:hAnsiTheme="majorHAnsi" w:cstheme="majorHAnsi"/>
          <w:sz w:val="18"/>
          <w:szCs w:val="18"/>
        </w:rPr>
      </w:pPr>
    </w:p>
    <w:p w14:paraId="38BD0D62" w14:textId="77777777" w:rsidR="00AA54A5" w:rsidRDefault="00AA54A5" w:rsidP="001E77F2">
      <w:pPr>
        <w:rPr>
          <w:rFonts w:asciiTheme="majorHAnsi" w:hAnsiTheme="majorHAnsi" w:cstheme="majorHAnsi"/>
          <w:sz w:val="18"/>
          <w:szCs w:val="18"/>
        </w:rPr>
      </w:pPr>
    </w:p>
    <w:p w14:paraId="5D379251" w14:textId="77777777" w:rsidR="00AA54A5" w:rsidRDefault="00AA54A5" w:rsidP="001E77F2">
      <w:pPr>
        <w:rPr>
          <w:rFonts w:asciiTheme="majorHAnsi" w:hAnsiTheme="majorHAnsi" w:cstheme="majorHAnsi"/>
          <w:sz w:val="18"/>
          <w:szCs w:val="18"/>
        </w:rPr>
      </w:pPr>
    </w:p>
    <w:p w14:paraId="4E2D2CFD" w14:textId="77777777" w:rsidR="00AA54A5" w:rsidRDefault="00AA54A5" w:rsidP="001E77F2">
      <w:pPr>
        <w:rPr>
          <w:rFonts w:asciiTheme="majorHAnsi" w:hAnsiTheme="majorHAnsi" w:cstheme="majorHAnsi"/>
          <w:sz w:val="18"/>
          <w:szCs w:val="18"/>
        </w:rPr>
      </w:pPr>
    </w:p>
    <w:p w14:paraId="1294708A" w14:textId="77777777" w:rsidR="00AA54A5" w:rsidRDefault="00AA54A5" w:rsidP="001E77F2">
      <w:pPr>
        <w:rPr>
          <w:rFonts w:asciiTheme="majorHAnsi" w:hAnsiTheme="majorHAnsi" w:cstheme="majorHAnsi"/>
          <w:sz w:val="18"/>
          <w:szCs w:val="18"/>
        </w:rPr>
      </w:pPr>
    </w:p>
    <w:p w14:paraId="29F467AE" w14:textId="77777777" w:rsidR="00AA54A5" w:rsidRDefault="00AA54A5" w:rsidP="001E77F2">
      <w:pPr>
        <w:rPr>
          <w:rFonts w:asciiTheme="majorHAnsi" w:hAnsiTheme="majorHAnsi" w:cstheme="majorHAnsi"/>
          <w:sz w:val="18"/>
          <w:szCs w:val="18"/>
        </w:rPr>
      </w:pPr>
    </w:p>
    <w:p w14:paraId="7576C8C0" w14:textId="77777777" w:rsidR="00AA54A5" w:rsidRPr="00AA54A5" w:rsidRDefault="00AA54A5" w:rsidP="001E77F2">
      <w:pPr>
        <w:rPr>
          <w:rFonts w:asciiTheme="majorHAnsi" w:hAnsiTheme="majorHAnsi" w:cstheme="majorHAnsi"/>
          <w:sz w:val="18"/>
          <w:szCs w:val="18"/>
        </w:rPr>
      </w:pPr>
    </w:p>
    <w:tbl>
      <w:tblPr>
        <w:tblStyle w:val="TableGrid"/>
        <w:tblW w:w="0" w:type="auto"/>
        <w:tblLook w:val="04A0" w:firstRow="1" w:lastRow="0" w:firstColumn="1" w:lastColumn="0" w:noHBand="0" w:noVBand="1"/>
      </w:tblPr>
      <w:tblGrid>
        <w:gridCol w:w="1034"/>
        <w:gridCol w:w="1618"/>
        <w:gridCol w:w="6698"/>
      </w:tblGrid>
      <w:tr w:rsidR="001E77F2" w:rsidRPr="00AA54A5" w14:paraId="7AA904D9" w14:textId="77777777" w:rsidTr="00192948">
        <w:tc>
          <w:tcPr>
            <w:tcW w:w="0" w:type="auto"/>
            <w:gridSpan w:val="2"/>
          </w:tcPr>
          <w:p w14:paraId="22E062F2"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lastRenderedPageBreak/>
              <w:t>REPORTS TO REGULATORY AUTHORITIES</w:t>
            </w:r>
          </w:p>
        </w:tc>
        <w:tc>
          <w:tcPr>
            <w:tcW w:w="0" w:type="auto"/>
          </w:tcPr>
          <w:p w14:paraId="1540A02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When a medical device malfunctions and contributes to serious patient injury or death, the governing laws in the country where the incident occurred are applicable to reporting requirements of the device manufacturers, users and distributors.  </w:t>
            </w:r>
          </w:p>
          <w:p w14:paraId="6B4CC185" w14:textId="77777777" w:rsidR="001E77F2" w:rsidRPr="00AA54A5" w:rsidRDefault="001E77F2" w:rsidP="00192948">
            <w:pPr>
              <w:rPr>
                <w:rFonts w:asciiTheme="majorHAnsi" w:hAnsiTheme="majorHAnsi" w:cstheme="majorHAnsi"/>
                <w:b/>
                <w:bCs/>
                <w:sz w:val="18"/>
                <w:szCs w:val="18"/>
              </w:rPr>
            </w:pPr>
          </w:p>
        </w:tc>
      </w:tr>
      <w:tr w:rsidR="001E77F2" w:rsidRPr="00AA54A5" w14:paraId="4CD5B8D9" w14:textId="77777777" w:rsidTr="00192948">
        <w:tc>
          <w:tcPr>
            <w:tcW w:w="0" w:type="auto"/>
            <w:gridSpan w:val="3"/>
          </w:tcPr>
          <w:p w14:paraId="412BEAA6" w14:textId="77777777" w:rsidR="001E77F2" w:rsidRPr="00AA54A5" w:rsidRDefault="001E77F2" w:rsidP="00192948">
            <w:pPr>
              <w:rPr>
                <w:rFonts w:asciiTheme="majorHAnsi" w:hAnsiTheme="majorHAnsi" w:cstheme="majorHAnsi"/>
                <w:b/>
                <w:bCs/>
                <w:sz w:val="18"/>
                <w:szCs w:val="18"/>
              </w:rPr>
            </w:pPr>
          </w:p>
        </w:tc>
      </w:tr>
      <w:tr w:rsidR="001E77F2" w:rsidRPr="00AA54A5" w14:paraId="1A0D63BD" w14:textId="77777777" w:rsidTr="00192948">
        <w:tc>
          <w:tcPr>
            <w:tcW w:w="0" w:type="auto"/>
            <w:gridSpan w:val="3"/>
          </w:tcPr>
          <w:p w14:paraId="3E212ECE"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Guidance and procedures pertaining to Adverse Events</w:t>
            </w:r>
          </w:p>
        </w:tc>
      </w:tr>
      <w:tr w:rsidR="001E77F2" w:rsidRPr="00AA54A5" w14:paraId="6938710F" w14:textId="77777777" w:rsidTr="00192948">
        <w:tc>
          <w:tcPr>
            <w:tcW w:w="0" w:type="auto"/>
          </w:tcPr>
          <w:p w14:paraId="0EB80768" w14:textId="77777777" w:rsidR="001E77F2" w:rsidRPr="00467425" w:rsidRDefault="001E77F2" w:rsidP="00192948">
            <w:pPr>
              <w:rPr>
                <w:rFonts w:asciiTheme="majorHAnsi" w:hAnsiTheme="majorHAnsi" w:cstheme="majorHAnsi"/>
                <w:b/>
                <w:bCs/>
                <w:sz w:val="18"/>
                <w:szCs w:val="18"/>
              </w:rPr>
            </w:pPr>
            <w:r w:rsidRPr="00467425">
              <w:rPr>
                <w:rFonts w:asciiTheme="majorHAnsi" w:hAnsiTheme="majorHAnsi" w:cstheme="majorHAnsi"/>
                <w:b/>
                <w:bCs/>
                <w:sz w:val="18"/>
                <w:szCs w:val="18"/>
              </w:rPr>
              <w:t>Market</w:t>
            </w:r>
          </w:p>
        </w:tc>
        <w:tc>
          <w:tcPr>
            <w:tcW w:w="0" w:type="auto"/>
          </w:tcPr>
          <w:p w14:paraId="4500C7AB" w14:textId="77777777" w:rsidR="001E77F2" w:rsidRPr="00467425" w:rsidRDefault="001E77F2" w:rsidP="00192948">
            <w:pPr>
              <w:rPr>
                <w:rFonts w:asciiTheme="majorHAnsi" w:hAnsiTheme="majorHAnsi" w:cstheme="majorHAnsi"/>
                <w:b/>
                <w:bCs/>
                <w:sz w:val="18"/>
                <w:szCs w:val="18"/>
              </w:rPr>
            </w:pPr>
            <w:r w:rsidRPr="00467425">
              <w:rPr>
                <w:rFonts w:asciiTheme="majorHAnsi" w:hAnsiTheme="majorHAnsi" w:cstheme="majorHAnsi"/>
                <w:b/>
                <w:bCs/>
                <w:sz w:val="18"/>
                <w:szCs w:val="18"/>
              </w:rPr>
              <w:t>Regulation Document</w:t>
            </w:r>
          </w:p>
        </w:tc>
        <w:tc>
          <w:tcPr>
            <w:tcW w:w="0" w:type="auto"/>
          </w:tcPr>
          <w:p w14:paraId="49F8CF60" w14:textId="77777777" w:rsidR="001E77F2" w:rsidRPr="00467425" w:rsidRDefault="001E77F2" w:rsidP="00192948">
            <w:pPr>
              <w:rPr>
                <w:rFonts w:asciiTheme="majorHAnsi" w:hAnsiTheme="majorHAnsi" w:cstheme="majorHAnsi"/>
                <w:b/>
                <w:bCs/>
                <w:sz w:val="18"/>
                <w:szCs w:val="18"/>
              </w:rPr>
            </w:pPr>
            <w:r w:rsidRPr="00467425">
              <w:rPr>
                <w:rFonts w:asciiTheme="majorHAnsi" w:hAnsiTheme="majorHAnsi" w:cstheme="majorHAnsi"/>
                <w:b/>
                <w:bCs/>
                <w:sz w:val="18"/>
                <w:szCs w:val="18"/>
              </w:rPr>
              <w:t>Title</w:t>
            </w:r>
          </w:p>
        </w:tc>
      </w:tr>
      <w:tr w:rsidR="001E77F2" w:rsidRPr="00AA54A5" w14:paraId="52A323E5" w14:textId="77777777" w:rsidTr="00192948">
        <w:tc>
          <w:tcPr>
            <w:tcW w:w="0" w:type="auto"/>
          </w:tcPr>
          <w:p w14:paraId="35564ED3"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EU</w:t>
            </w:r>
          </w:p>
        </w:tc>
        <w:tc>
          <w:tcPr>
            <w:tcW w:w="0" w:type="auto"/>
          </w:tcPr>
          <w:p w14:paraId="4B1AD097"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EN ISO 13485:2016</w:t>
            </w:r>
          </w:p>
        </w:tc>
        <w:tc>
          <w:tcPr>
            <w:tcW w:w="0" w:type="auto"/>
          </w:tcPr>
          <w:p w14:paraId="5EC105D3"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 xml:space="preserve">Medical Device Regulation </w:t>
            </w:r>
          </w:p>
          <w:p w14:paraId="2E0948BE" w14:textId="77777777" w:rsidR="001E77F2" w:rsidRPr="00467425" w:rsidRDefault="001E77F2" w:rsidP="00192948">
            <w:pPr>
              <w:rPr>
                <w:rFonts w:asciiTheme="majorHAnsi" w:hAnsiTheme="majorHAnsi" w:cstheme="majorHAnsi"/>
                <w:sz w:val="18"/>
                <w:szCs w:val="18"/>
              </w:rPr>
            </w:pPr>
            <w:hyperlink r:id="rId14" w:history="1">
              <w:r w:rsidRPr="00467425">
                <w:rPr>
                  <w:rStyle w:val="Hyperlink"/>
                  <w:rFonts w:asciiTheme="majorHAnsi" w:hAnsiTheme="majorHAnsi" w:cstheme="majorHAnsi"/>
                  <w:sz w:val="18"/>
                  <w:szCs w:val="18"/>
                </w:rPr>
                <w:t>http://www.isomcx.com/uploadfile/2018/0623/20180623095340510.pdf</w:t>
              </w:r>
            </w:hyperlink>
          </w:p>
          <w:p w14:paraId="353879BD" w14:textId="77777777" w:rsidR="001E77F2" w:rsidRPr="00467425" w:rsidRDefault="001E77F2" w:rsidP="00192948">
            <w:pPr>
              <w:rPr>
                <w:rFonts w:asciiTheme="majorHAnsi" w:hAnsiTheme="majorHAnsi" w:cstheme="majorHAnsi"/>
                <w:sz w:val="18"/>
                <w:szCs w:val="18"/>
              </w:rPr>
            </w:pPr>
          </w:p>
        </w:tc>
      </w:tr>
      <w:tr w:rsidR="001E77F2" w:rsidRPr="00AA54A5" w14:paraId="131432A3" w14:textId="77777777" w:rsidTr="00192948">
        <w:tc>
          <w:tcPr>
            <w:tcW w:w="0" w:type="auto"/>
          </w:tcPr>
          <w:p w14:paraId="57A4F908"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EU</w:t>
            </w:r>
          </w:p>
        </w:tc>
        <w:tc>
          <w:tcPr>
            <w:tcW w:w="0" w:type="auto"/>
          </w:tcPr>
          <w:p w14:paraId="6EF296DF" w14:textId="6A0504CF"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EU 2017/74</w:t>
            </w:r>
            <w:r w:rsidR="000D5BBC" w:rsidRPr="00467425">
              <w:rPr>
                <w:rFonts w:asciiTheme="majorHAnsi" w:hAnsiTheme="majorHAnsi" w:cstheme="majorHAnsi"/>
                <w:sz w:val="18"/>
                <w:szCs w:val="18"/>
              </w:rPr>
              <w:t>5</w:t>
            </w:r>
            <w:r w:rsidRPr="00467425">
              <w:rPr>
                <w:rFonts w:asciiTheme="majorHAnsi" w:hAnsiTheme="majorHAnsi" w:cstheme="majorHAnsi"/>
                <w:sz w:val="18"/>
                <w:szCs w:val="18"/>
              </w:rPr>
              <w:t xml:space="preserve"> (MDR)</w:t>
            </w:r>
          </w:p>
        </w:tc>
        <w:tc>
          <w:tcPr>
            <w:tcW w:w="0" w:type="auto"/>
          </w:tcPr>
          <w:p w14:paraId="6B92E996"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 xml:space="preserve">EU Medical Device Regulation </w:t>
            </w:r>
          </w:p>
          <w:p w14:paraId="6B04D3E5" w14:textId="56471654" w:rsidR="000D5BBC" w:rsidRPr="00467425" w:rsidRDefault="001E77F2" w:rsidP="00192948">
            <w:pPr>
              <w:rPr>
                <w:rFonts w:asciiTheme="majorHAnsi" w:hAnsiTheme="majorHAnsi" w:cstheme="majorHAnsi"/>
                <w:sz w:val="18"/>
                <w:szCs w:val="18"/>
              </w:rPr>
            </w:pPr>
            <w:hyperlink r:id="rId15" w:history="1">
              <w:r w:rsidRPr="00467425">
                <w:rPr>
                  <w:rStyle w:val="Hyperlink"/>
                  <w:rFonts w:asciiTheme="majorHAnsi" w:hAnsiTheme="majorHAnsi" w:cstheme="majorHAnsi"/>
                  <w:sz w:val="18"/>
                  <w:szCs w:val="18"/>
                </w:rPr>
                <w:t>https://eur-lex.europa.eu/legal-content/EN/TXT/?uri=OJ:L:2017:117:TOC</w:t>
              </w:r>
            </w:hyperlink>
          </w:p>
          <w:p w14:paraId="4A5214C4" w14:textId="77777777" w:rsidR="008476C3" w:rsidRPr="00467425" w:rsidRDefault="008476C3" w:rsidP="00192948">
            <w:pPr>
              <w:rPr>
                <w:rFonts w:asciiTheme="majorHAnsi" w:hAnsiTheme="majorHAnsi" w:cstheme="majorHAnsi"/>
                <w:sz w:val="18"/>
                <w:szCs w:val="18"/>
              </w:rPr>
            </w:pPr>
          </w:p>
          <w:p w14:paraId="0B350CBA" w14:textId="1B428D79" w:rsidR="008476C3" w:rsidRPr="00467425" w:rsidRDefault="008476C3" w:rsidP="00192948">
            <w:pPr>
              <w:rPr>
                <w:rFonts w:asciiTheme="majorHAnsi" w:hAnsiTheme="majorHAnsi" w:cstheme="majorHAnsi"/>
                <w:color w:val="0000FF" w:themeColor="hyperlink"/>
                <w:sz w:val="18"/>
                <w:szCs w:val="18"/>
                <w:u w:val="single"/>
              </w:rPr>
            </w:pPr>
            <w:hyperlink r:id="rId16" w:history="1">
              <w:r w:rsidRPr="00467425">
                <w:rPr>
                  <w:rStyle w:val="Hyperlink"/>
                  <w:rFonts w:asciiTheme="majorHAnsi" w:hAnsiTheme="majorHAnsi" w:cstheme="majorHAnsi"/>
                  <w:sz w:val="18"/>
                  <w:szCs w:val="18"/>
                </w:rPr>
                <w:t>https://eur-lex.europa.eu/legal-content/EN/TXT/PDF/?uri=OJ:L:2017:117:FULL</w:t>
              </w:r>
            </w:hyperlink>
          </w:p>
          <w:p w14:paraId="7CC45595" w14:textId="77777777" w:rsidR="001E77F2" w:rsidRPr="00467425" w:rsidRDefault="001E77F2" w:rsidP="00192948">
            <w:pPr>
              <w:rPr>
                <w:rFonts w:asciiTheme="majorHAnsi" w:hAnsiTheme="majorHAnsi" w:cstheme="majorHAnsi"/>
                <w:sz w:val="18"/>
                <w:szCs w:val="18"/>
              </w:rPr>
            </w:pPr>
          </w:p>
        </w:tc>
      </w:tr>
      <w:tr w:rsidR="001E77F2" w:rsidRPr="00AA54A5" w14:paraId="0B412F70" w14:textId="77777777" w:rsidTr="00192948">
        <w:tc>
          <w:tcPr>
            <w:tcW w:w="0" w:type="auto"/>
          </w:tcPr>
          <w:p w14:paraId="08E75449"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EU</w:t>
            </w:r>
          </w:p>
        </w:tc>
        <w:tc>
          <w:tcPr>
            <w:tcW w:w="0" w:type="auto"/>
          </w:tcPr>
          <w:p w14:paraId="2D99296C"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MDD 93/42 EEC</w:t>
            </w:r>
          </w:p>
        </w:tc>
        <w:tc>
          <w:tcPr>
            <w:tcW w:w="0" w:type="auto"/>
          </w:tcPr>
          <w:p w14:paraId="67D6D0D9"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 xml:space="preserve">EU Medical Device Directive </w:t>
            </w:r>
          </w:p>
          <w:p w14:paraId="37171303" w14:textId="77777777" w:rsidR="001E77F2" w:rsidRPr="00467425" w:rsidRDefault="001E77F2" w:rsidP="00192948">
            <w:pPr>
              <w:rPr>
                <w:rFonts w:asciiTheme="majorHAnsi" w:hAnsiTheme="majorHAnsi" w:cstheme="majorHAnsi"/>
                <w:sz w:val="18"/>
                <w:szCs w:val="18"/>
              </w:rPr>
            </w:pPr>
            <w:hyperlink r:id="rId17" w:history="1">
              <w:r w:rsidRPr="00467425">
                <w:rPr>
                  <w:rStyle w:val="Hyperlink"/>
                  <w:rFonts w:asciiTheme="majorHAnsi" w:hAnsiTheme="majorHAnsi" w:cstheme="majorHAnsi"/>
                  <w:sz w:val="18"/>
                  <w:szCs w:val="18"/>
                </w:rPr>
                <w:t>https://ec.europa.eu/growth/single-market/european-standards/harmonised-standards/medical-devices_en</w:t>
              </w:r>
            </w:hyperlink>
          </w:p>
        </w:tc>
      </w:tr>
      <w:tr w:rsidR="001E77F2" w:rsidRPr="00AA54A5" w14:paraId="6CA821F4" w14:textId="77777777" w:rsidTr="00192948">
        <w:tc>
          <w:tcPr>
            <w:tcW w:w="0" w:type="auto"/>
          </w:tcPr>
          <w:p w14:paraId="5EC58AE4"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EU</w:t>
            </w:r>
          </w:p>
        </w:tc>
        <w:tc>
          <w:tcPr>
            <w:tcW w:w="0" w:type="auto"/>
          </w:tcPr>
          <w:p w14:paraId="5B6E374D"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MEDDEV 2.12/1</w:t>
            </w:r>
          </w:p>
        </w:tc>
        <w:tc>
          <w:tcPr>
            <w:tcW w:w="0" w:type="auto"/>
          </w:tcPr>
          <w:p w14:paraId="2E4C6316" w14:textId="77777777" w:rsidR="001E77F2" w:rsidRPr="00467425" w:rsidRDefault="001E77F2" w:rsidP="00192948">
            <w:pPr>
              <w:rPr>
                <w:rFonts w:asciiTheme="majorHAnsi" w:hAnsiTheme="majorHAnsi" w:cstheme="majorHAnsi"/>
                <w:sz w:val="18"/>
                <w:szCs w:val="18"/>
              </w:rPr>
            </w:pPr>
            <w:hyperlink r:id="rId18" w:history="1">
              <w:r w:rsidRPr="00467425">
                <w:rPr>
                  <w:rStyle w:val="Hyperlink"/>
                  <w:rFonts w:asciiTheme="majorHAnsi" w:hAnsiTheme="majorHAnsi" w:cstheme="majorHAnsi"/>
                  <w:sz w:val="18"/>
                  <w:szCs w:val="18"/>
                </w:rPr>
                <w:t>https://ec.europa.eu/docsroom/documents/32305/attachments/1/translations</w:t>
              </w:r>
            </w:hyperlink>
          </w:p>
          <w:p w14:paraId="4381FBDD" w14:textId="77777777" w:rsidR="001E77F2" w:rsidRPr="00467425" w:rsidRDefault="001E77F2" w:rsidP="00192948">
            <w:pPr>
              <w:rPr>
                <w:rFonts w:asciiTheme="majorHAnsi" w:hAnsiTheme="majorHAnsi" w:cstheme="majorHAnsi"/>
                <w:sz w:val="18"/>
                <w:szCs w:val="18"/>
              </w:rPr>
            </w:pPr>
          </w:p>
        </w:tc>
      </w:tr>
      <w:tr w:rsidR="001E77F2" w:rsidRPr="00AA54A5" w14:paraId="293FF54A" w14:textId="77777777" w:rsidTr="00192948">
        <w:tc>
          <w:tcPr>
            <w:tcW w:w="0" w:type="auto"/>
          </w:tcPr>
          <w:p w14:paraId="092B7139"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USA</w:t>
            </w:r>
          </w:p>
        </w:tc>
        <w:tc>
          <w:tcPr>
            <w:tcW w:w="0" w:type="auto"/>
          </w:tcPr>
          <w:p w14:paraId="62A35A9E"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FDA – How to Report Medical Device Problems</w:t>
            </w:r>
          </w:p>
        </w:tc>
        <w:tc>
          <w:tcPr>
            <w:tcW w:w="0" w:type="auto"/>
          </w:tcPr>
          <w:p w14:paraId="2FD8411B" w14:textId="77777777" w:rsidR="001E77F2" w:rsidRPr="00467425" w:rsidRDefault="001E77F2" w:rsidP="00192948">
            <w:pPr>
              <w:rPr>
                <w:rFonts w:asciiTheme="majorHAnsi" w:hAnsiTheme="majorHAnsi" w:cstheme="majorHAnsi"/>
                <w:sz w:val="18"/>
                <w:szCs w:val="18"/>
              </w:rPr>
            </w:pPr>
            <w:hyperlink r:id="rId19" w:history="1">
              <w:r w:rsidRPr="00467425">
                <w:rPr>
                  <w:rStyle w:val="Hyperlink"/>
                  <w:rFonts w:asciiTheme="majorHAnsi" w:hAnsiTheme="majorHAnsi" w:cstheme="majorHAnsi"/>
                  <w:sz w:val="18"/>
                  <w:szCs w:val="18"/>
                </w:rPr>
                <w:t>https://www.fda.gov/medical-devices/medical-device-safety/medical-device-reporting-mdr-how-report-medical-device-problems</w:t>
              </w:r>
            </w:hyperlink>
          </w:p>
          <w:p w14:paraId="16467D41" w14:textId="77777777" w:rsidR="001E77F2" w:rsidRPr="00467425" w:rsidRDefault="001E77F2" w:rsidP="00192948">
            <w:pPr>
              <w:rPr>
                <w:rFonts w:asciiTheme="majorHAnsi" w:hAnsiTheme="majorHAnsi" w:cstheme="majorHAnsi"/>
                <w:sz w:val="18"/>
                <w:szCs w:val="18"/>
              </w:rPr>
            </w:pPr>
          </w:p>
        </w:tc>
      </w:tr>
      <w:tr w:rsidR="001E77F2" w:rsidRPr="00AA54A5" w14:paraId="2D449F56" w14:textId="77777777" w:rsidTr="00192948">
        <w:tc>
          <w:tcPr>
            <w:tcW w:w="0" w:type="auto"/>
          </w:tcPr>
          <w:p w14:paraId="15B1E716"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USA</w:t>
            </w:r>
          </w:p>
        </w:tc>
        <w:tc>
          <w:tcPr>
            <w:tcW w:w="0" w:type="auto"/>
          </w:tcPr>
          <w:p w14:paraId="64FAEA3E"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FDA – Recalls, Corrections and Removals</w:t>
            </w:r>
          </w:p>
        </w:tc>
        <w:tc>
          <w:tcPr>
            <w:tcW w:w="0" w:type="auto"/>
          </w:tcPr>
          <w:p w14:paraId="08F92FA8" w14:textId="77777777" w:rsidR="001E77F2" w:rsidRPr="00467425" w:rsidRDefault="001E77F2" w:rsidP="00192948">
            <w:pPr>
              <w:rPr>
                <w:rFonts w:asciiTheme="majorHAnsi" w:hAnsiTheme="majorHAnsi" w:cstheme="majorHAnsi"/>
                <w:sz w:val="18"/>
                <w:szCs w:val="18"/>
              </w:rPr>
            </w:pPr>
            <w:hyperlink r:id="rId20" w:history="1">
              <w:r w:rsidRPr="00467425">
                <w:rPr>
                  <w:rStyle w:val="Hyperlink"/>
                  <w:rFonts w:asciiTheme="majorHAnsi" w:hAnsiTheme="majorHAnsi" w:cstheme="majorHAnsi"/>
                  <w:sz w:val="18"/>
                  <w:szCs w:val="18"/>
                </w:rPr>
                <w:t>https://www.fda.gov/medical-devices/postmarket-requirements-devices/recalls-corrections-and-removals-devices</w:t>
              </w:r>
            </w:hyperlink>
          </w:p>
          <w:p w14:paraId="5AA5FF6B" w14:textId="77777777" w:rsidR="001E77F2" w:rsidRPr="00467425" w:rsidRDefault="001E77F2" w:rsidP="00192948">
            <w:pPr>
              <w:rPr>
                <w:rFonts w:asciiTheme="majorHAnsi" w:hAnsiTheme="majorHAnsi" w:cstheme="majorHAnsi"/>
                <w:sz w:val="18"/>
                <w:szCs w:val="18"/>
              </w:rPr>
            </w:pPr>
          </w:p>
        </w:tc>
      </w:tr>
      <w:tr w:rsidR="001E77F2" w:rsidRPr="00AA54A5" w14:paraId="316EABD8" w14:textId="77777777" w:rsidTr="00192948">
        <w:tc>
          <w:tcPr>
            <w:tcW w:w="0" w:type="auto"/>
          </w:tcPr>
          <w:p w14:paraId="3CA17C8F"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USA</w:t>
            </w:r>
          </w:p>
        </w:tc>
        <w:tc>
          <w:tcPr>
            <w:tcW w:w="0" w:type="auto"/>
          </w:tcPr>
          <w:p w14:paraId="1A345D62"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FDA 21 CFR 806</w:t>
            </w:r>
          </w:p>
        </w:tc>
        <w:tc>
          <w:tcPr>
            <w:tcW w:w="0" w:type="auto"/>
          </w:tcPr>
          <w:p w14:paraId="65EF2D80" w14:textId="77777777" w:rsidR="001E77F2" w:rsidRPr="00467425" w:rsidRDefault="001E77F2" w:rsidP="00192948">
            <w:pPr>
              <w:pStyle w:val="NoSpacing"/>
              <w:rPr>
                <w:rFonts w:asciiTheme="majorHAnsi" w:hAnsiTheme="majorHAnsi" w:cstheme="majorHAnsi"/>
                <w:sz w:val="18"/>
                <w:szCs w:val="18"/>
              </w:rPr>
            </w:pPr>
            <w:r w:rsidRPr="00467425">
              <w:rPr>
                <w:rFonts w:asciiTheme="majorHAnsi" w:hAnsiTheme="majorHAnsi" w:cstheme="majorHAnsi"/>
                <w:sz w:val="18"/>
                <w:szCs w:val="18"/>
              </w:rPr>
              <w:t>US FDA PART 806—Medical Devices; Reports of Corrections and Removals</w:t>
            </w:r>
          </w:p>
          <w:p w14:paraId="23B16A7B" w14:textId="14B04182" w:rsidR="001E77F2" w:rsidRPr="00467425" w:rsidRDefault="00DB355B" w:rsidP="00192948">
            <w:pPr>
              <w:rPr>
                <w:rFonts w:asciiTheme="majorHAnsi" w:hAnsiTheme="majorHAnsi" w:cstheme="majorHAnsi"/>
                <w:sz w:val="18"/>
                <w:szCs w:val="18"/>
              </w:rPr>
            </w:pPr>
            <w:hyperlink r:id="rId21" w:history="1">
              <w:r w:rsidRPr="00467425">
                <w:rPr>
                  <w:rStyle w:val="Hyperlink"/>
                  <w:rFonts w:asciiTheme="majorHAnsi" w:hAnsiTheme="majorHAnsi" w:cstheme="majorHAnsi"/>
                  <w:sz w:val="18"/>
                  <w:szCs w:val="18"/>
                </w:rPr>
                <w:t>https://www.ecfr.gov/current/title-21/chapter-I/subchapter-H/part-806</w:t>
              </w:r>
            </w:hyperlink>
          </w:p>
          <w:p w14:paraId="684EC87F" w14:textId="77777777" w:rsidR="001E77F2" w:rsidRPr="00467425" w:rsidRDefault="001E77F2" w:rsidP="00192948">
            <w:pPr>
              <w:rPr>
                <w:rFonts w:asciiTheme="majorHAnsi" w:hAnsiTheme="majorHAnsi" w:cstheme="majorHAnsi"/>
                <w:sz w:val="18"/>
                <w:szCs w:val="18"/>
              </w:rPr>
            </w:pPr>
          </w:p>
        </w:tc>
      </w:tr>
      <w:tr w:rsidR="001E77F2" w:rsidRPr="00AA54A5" w14:paraId="0A8B37AE" w14:textId="77777777" w:rsidTr="00192948">
        <w:tc>
          <w:tcPr>
            <w:tcW w:w="0" w:type="auto"/>
          </w:tcPr>
          <w:p w14:paraId="7DC35309"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USA</w:t>
            </w:r>
          </w:p>
        </w:tc>
        <w:tc>
          <w:tcPr>
            <w:tcW w:w="0" w:type="auto"/>
          </w:tcPr>
          <w:p w14:paraId="49556ABE"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 xml:space="preserve">FDA 21 CFR </w:t>
            </w:r>
          </w:p>
        </w:tc>
        <w:tc>
          <w:tcPr>
            <w:tcW w:w="0" w:type="auto"/>
          </w:tcPr>
          <w:p w14:paraId="6CECD935"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US FDA Code of Federal Regulations</w:t>
            </w:r>
          </w:p>
          <w:p w14:paraId="52C5D50D" w14:textId="584CA25A" w:rsidR="001E77F2" w:rsidRPr="00467425" w:rsidRDefault="00162DBB" w:rsidP="00162DBB">
            <w:pPr>
              <w:rPr>
                <w:rFonts w:asciiTheme="majorHAnsi" w:hAnsiTheme="majorHAnsi" w:cstheme="majorHAnsi"/>
                <w:sz w:val="18"/>
                <w:szCs w:val="18"/>
              </w:rPr>
            </w:pPr>
            <w:hyperlink r:id="rId22" w:history="1">
              <w:r w:rsidRPr="00467425">
                <w:rPr>
                  <w:rStyle w:val="Hyperlink"/>
                  <w:rFonts w:asciiTheme="majorHAnsi" w:hAnsiTheme="majorHAnsi" w:cstheme="majorHAnsi"/>
                  <w:sz w:val="18"/>
                  <w:szCs w:val="18"/>
                  <w:shd w:val="clear" w:color="auto" w:fill="FFFFFF"/>
                </w:rPr>
                <w:t>https://www.ecfr.gov/current/title-21</w:t>
              </w:r>
            </w:hyperlink>
          </w:p>
        </w:tc>
      </w:tr>
      <w:tr w:rsidR="001E77F2" w:rsidRPr="00AA54A5" w14:paraId="1C30D02A" w14:textId="77777777" w:rsidTr="00192948">
        <w:tc>
          <w:tcPr>
            <w:tcW w:w="0" w:type="auto"/>
          </w:tcPr>
          <w:p w14:paraId="19E3CD87"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CANADA</w:t>
            </w:r>
          </w:p>
        </w:tc>
        <w:tc>
          <w:tcPr>
            <w:tcW w:w="0" w:type="auto"/>
          </w:tcPr>
          <w:p w14:paraId="53507A2D"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 xml:space="preserve">SOR-98-282 </w:t>
            </w:r>
          </w:p>
        </w:tc>
        <w:tc>
          <w:tcPr>
            <w:tcW w:w="0" w:type="auto"/>
          </w:tcPr>
          <w:p w14:paraId="516BEAC9" w14:textId="77777777" w:rsidR="001E77F2" w:rsidRPr="00467425" w:rsidRDefault="001E77F2" w:rsidP="00192948">
            <w:pPr>
              <w:rPr>
                <w:rFonts w:asciiTheme="majorHAnsi" w:hAnsiTheme="majorHAnsi" w:cstheme="majorHAnsi"/>
                <w:sz w:val="18"/>
                <w:szCs w:val="18"/>
              </w:rPr>
            </w:pPr>
            <w:r w:rsidRPr="00467425">
              <w:rPr>
                <w:rFonts w:asciiTheme="majorHAnsi" w:hAnsiTheme="majorHAnsi" w:cstheme="majorHAnsi"/>
                <w:sz w:val="18"/>
                <w:szCs w:val="18"/>
              </w:rPr>
              <w:t>Health Canada’s Medical Device Regulations (CDMR)</w:t>
            </w:r>
          </w:p>
          <w:p w14:paraId="0B782BB1" w14:textId="7E3AB787" w:rsidR="001E77F2" w:rsidRPr="00467425" w:rsidRDefault="00162DBB" w:rsidP="00162DBB">
            <w:pPr>
              <w:rPr>
                <w:rFonts w:asciiTheme="majorHAnsi" w:hAnsiTheme="majorHAnsi" w:cstheme="majorHAnsi"/>
                <w:sz w:val="18"/>
                <w:szCs w:val="18"/>
              </w:rPr>
            </w:pPr>
            <w:hyperlink r:id="rId23" w:history="1">
              <w:r w:rsidRPr="00467425">
                <w:rPr>
                  <w:rStyle w:val="Hyperlink"/>
                  <w:rFonts w:asciiTheme="majorHAnsi" w:hAnsiTheme="majorHAnsi" w:cstheme="majorHAnsi"/>
                  <w:sz w:val="18"/>
                  <w:szCs w:val="18"/>
                </w:rPr>
                <w:t>https://laws-lois.justice.gc.ca/eng/regulations/sor-98-282/</w:t>
              </w:r>
            </w:hyperlink>
          </w:p>
        </w:tc>
      </w:tr>
      <w:tr w:rsidR="001E77F2" w:rsidRPr="00AA54A5" w14:paraId="05CA91FF" w14:textId="77777777" w:rsidTr="00192948">
        <w:tc>
          <w:tcPr>
            <w:tcW w:w="0" w:type="auto"/>
          </w:tcPr>
          <w:p w14:paraId="17AE8AD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BRAZIL </w:t>
            </w:r>
          </w:p>
        </w:tc>
        <w:tc>
          <w:tcPr>
            <w:tcW w:w="0" w:type="auto"/>
          </w:tcPr>
          <w:p w14:paraId="1E111AB2"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ANVISA RDC No. 67/2009, Section II </w:t>
            </w:r>
          </w:p>
        </w:tc>
        <w:tc>
          <w:tcPr>
            <w:tcW w:w="0" w:type="auto"/>
          </w:tcPr>
          <w:p w14:paraId="1139E82C"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Brazil’s Adverse Events </w:t>
            </w:r>
          </w:p>
          <w:p w14:paraId="758C9ABA" w14:textId="77777777" w:rsidR="001E77F2" w:rsidRPr="00AA54A5" w:rsidRDefault="001E77F2" w:rsidP="00192948">
            <w:pPr>
              <w:rPr>
                <w:rFonts w:asciiTheme="majorHAnsi" w:hAnsiTheme="majorHAnsi" w:cstheme="majorHAnsi"/>
                <w:sz w:val="18"/>
                <w:szCs w:val="18"/>
              </w:rPr>
            </w:pPr>
            <w:hyperlink r:id="rId24" w:history="1">
              <w:r w:rsidRPr="00AA54A5">
                <w:rPr>
                  <w:rStyle w:val="Hyperlink"/>
                  <w:rFonts w:asciiTheme="majorHAnsi" w:hAnsiTheme="majorHAnsi" w:cstheme="majorHAnsi"/>
                  <w:sz w:val="18"/>
                  <w:szCs w:val="18"/>
                </w:rPr>
                <w:t>https://www.fda.gov/media/93179/download</w:t>
              </w:r>
            </w:hyperlink>
          </w:p>
          <w:p w14:paraId="2E18BAFF" w14:textId="77777777" w:rsidR="001E77F2" w:rsidRPr="00AA54A5" w:rsidRDefault="001E77F2" w:rsidP="00192948">
            <w:pPr>
              <w:rPr>
                <w:rFonts w:asciiTheme="majorHAnsi" w:hAnsiTheme="majorHAnsi" w:cstheme="majorHAnsi"/>
                <w:sz w:val="18"/>
                <w:szCs w:val="18"/>
              </w:rPr>
            </w:pPr>
          </w:p>
        </w:tc>
      </w:tr>
      <w:tr w:rsidR="001E77F2" w:rsidRPr="00AA54A5" w14:paraId="3C2CE42E" w14:textId="77777777" w:rsidTr="00192948">
        <w:tc>
          <w:tcPr>
            <w:tcW w:w="0" w:type="auto"/>
          </w:tcPr>
          <w:p w14:paraId="474F9072"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AUSTRALIA </w:t>
            </w:r>
          </w:p>
        </w:tc>
        <w:tc>
          <w:tcPr>
            <w:tcW w:w="0" w:type="auto"/>
          </w:tcPr>
          <w:p w14:paraId="526530B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TGA</w:t>
            </w:r>
          </w:p>
        </w:tc>
        <w:tc>
          <w:tcPr>
            <w:tcW w:w="0" w:type="auto"/>
          </w:tcPr>
          <w:p w14:paraId="0F0ACB6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TGA’s Adverse Events </w:t>
            </w:r>
          </w:p>
          <w:p w14:paraId="2C28F51F" w14:textId="77777777" w:rsidR="001E77F2" w:rsidRPr="00AA54A5" w:rsidRDefault="001E77F2" w:rsidP="00192948">
            <w:pPr>
              <w:rPr>
                <w:rFonts w:asciiTheme="majorHAnsi" w:hAnsiTheme="majorHAnsi" w:cstheme="majorHAnsi"/>
                <w:sz w:val="18"/>
                <w:szCs w:val="18"/>
              </w:rPr>
            </w:pPr>
            <w:hyperlink r:id="rId25" w:history="1">
              <w:r w:rsidRPr="00AA54A5">
                <w:rPr>
                  <w:rStyle w:val="Hyperlink"/>
                  <w:rFonts w:asciiTheme="majorHAnsi" w:hAnsiTheme="majorHAnsi" w:cstheme="majorHAnsi"/>
                  <w:sz w:val="18"/>
                  <w:szCs w:val="18"/>
                </w:rPr>
                <w:t>https://www.tga.gov.au/reporting-adverse-events</w:t>
              </w:r>
            </w:hyperlink>
          </w:p>
          <w:p w14:paraId="3A507889" w14:textId="77777777" w:rsidR="001E77F2" w:rsidRPr="00AA54A5" w:rsidRDefault="001E77F2" w:rsidP="00192948">
            <w:pPr>
              <w:rPr>
                <w:rFonts w:asciiTheme="majorHAnsi" w:hAnsiTheme="majorHAnsi" w:cstheme="majorHAnsi"/>
                <w:sz w:val="18"/>
                <w:szCs w:val="18"/>
              </w:rPr>
            </w:pPr>
          </w:p>
        </w:tc>
      </w:tr>
      <w:tr w:rsidR="001E77F2" w:rsidRPr="00AA54A5" w14:paraId="1C9713A5" w14:textId="77777777" w:rsidTr="00192948">
        <w:tc>
          <w:tcPr>
            <w:tcW w:w="0" w:type="auto"/>
          </w:tcPr>
          <w:p w14:paraId="213A8C55"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JAPAN </w:t>
            </w:r>
          </w:p>
        </w:tc>
        <w:tc>
          <w:tcPr>
            <w:tcW w:w="0" w:type="auto"/>
          </w:tcPr>
          <w:p w14:paraId="5E2667A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color w:val="000000"/>
                <w:sz w:val="18"/>
                <w:szCs w:val="18"/>
              </w:rPr>
              <w:t>PMDA (Pharmaceuticals and Medical Devices Agency)</w:t>
            </w:r>
          </w:p>
          <w:p w14:paraId="026261A9" w14:textId="77777777" w:rsidR="001E77F2" w:rsidRPr="00AA54A5" w:rsidRDefault="001E77F2" w:rsidP="00192948">
            <w:pPr>
              <w:rPr>
                <w:rFonts w:asciiTheme="majorHAnsi" w:hAnsiTheme="majorHAnsi" w:cstheme="majorHAnsi"/>
                <w:sz w:val="18"/>
                <w:szCs w:val="18"/>
              </w:rPr>
            </w:pPr>
          </w:p>
        </w:tc>
        <w:tc>
          <w:tcPr>
            <w:tcW w:w="0" w:type="auto"/>
          </w:tcPr>
          <w:p w14:paraId="13493F8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JAPANs PMDA</w:t>
            </w:r>
          </w:p>
          <w:p w14:paraId="7C16DB2F" w14:textId="77777777" w:rsidR="001E77F2" w:rsidRPr="00AA54A5" w:rsidRDefault="001E77F2" w:rsidP="00192948">
            <w:pPr>
              <w:rPr>
                <w:rFonts w:asciiTheme="majorHAnsi" w:hAnsiTheme="majorHAnsi" w:cstheme="majorHAnsi"/>
                <w:sz w:val="18"/>
                <w:szCs w:val="18"/>
              </w:rPr>
            </w:pPr>
            <w:hyperlink r:id="rId26" w:history="1">
              <w:r w:rsidRPr="00AA54A5">
                <w:rPr>
                  <w:rStyle w:val="Hyperlink"/>
                  <w:rFonts w:asciiTheme="majorHAnsi" w:hAnsiTheme="majorHAnsi" w:cstheme="majorHAnsi"/>
                  <w:sz w:val="18"/>
                  <w:szCs w:val="18"/>
                </w:rPr>
                <w:t>https://www.pmda.go.jp/english/about-pmda/0004.html</w:t>
              </w:r>
            </w:hyperlink>
          </w:p>
          <w:p w14:paraId="13E39350" w14:textId="77777777" w:rsidR="001E77F2" w:rsidRPr="00AA54A5" w:rsidRDefault="001E77F2" w:rsidP="00192948">
            <w:pPr>
              <w:rPr>
                <w:rFonts w:asciiTheme="majorHAnsi" w:hAnsiTheme="majorHAnsi" w:cstheme="majorHAnsi"/>
                <w:sz w:val="18"/>
                <w:szCs w:val="18"/>
              </w:rPr>
            </w:pPr>
          </w:p>
        </w:tc>
      </w:tr>
    </w:tbl>
    <w:p w14:paraId="4C9D80A5" w14:textId="77777777" w:rsidR="00A009BE" w:rsidRDefault="00A009BE" w:rsidP="008D1AC7">
      <w:pPr>
        <w:jc w:val="both"/>
        <w:rPr>
          <w:rFonts w:asciiTheme="majorHAnsi" w:hAnsiTheme="majorHAnsi" w:cstheme="majorHAnsi"/>
          <w:sz w:val="18"/>
          <w:szCs w:val="18"/>
        </w:rPr>
      </w:pPr>
    </w:p>
    <w:p w14:paraId="4F92A674" w14:textId="77777777" w:rsidR="00AA54A5" w:rsidRDefault="00AA54A5" w:rsidP="008D1AC7">
      <w:pPr>
        <w:jc w:val="both"/>
        <w:rPr>
          <w:rFonts w:asciiTheme="majorHAnsi" w:hAnsiTheme="majorHAnsi" w:cstheme="majorHAnsi"/>
          <w:sz w:val="18"/>
          <w:szCs w:val="18"/>
        </w:rPr>
      </w:pPr>
    </w:p>
    <w:p w14:paraId="0D6833EA" w14:textId="77777777" w:rsidR="00AA54A5" w:rsidRDefault="00AA54A5" w:rsidP="008D1AC7">
      <w:pPr>
        <w:jc w:val="both"/>
        <w:rPr>
          <w:rFonts w:asciiTheme="majorHAnsi" w:hAnsiTheme="majorHAnsi" w:cstheme="majorHAnsi"/>
          <w:sz w:val="18"/>
          <w:szCs w:val="18"/>
        </w:rPr>
      </w:pPr>
    </w:p>
    <w:p w14:paraId="16A66797" w14:textId="77777777" w:rsidR="00AA54A5" w:rsidRDefault="00AA54A5" w:rsidP="008D1AC7">
      <w:pPr>
        <w:jc w:val="both"/>
        <w:rPr>
          <w:rFonts w:asciiTheme="majorHAnsi" w:hAnsiTheme="majorHAnsi" w:cstheme="majorHAnsi"/>
          <w:sz w:val="18"/>
          <w:szCs w:val="18"/>
        </w:rPr>
      </w:pPr>
    </w:p>
    <w:p w14:paraId="30DF7423" w14:textId="77777777" w:rsidR="00AA54A5" w:rsidRDefault="00AA54A5" w:rsidP="008D1AC7">
      <w:pPr>
        <w:jc w:val="both"/>
        <w:rPr>
          <w:rFonts w:asciiTheme="majorHAnsi" w:hAnsiTheme="majorHAnsi" w:cstheme="majorHAnsi"/>
          <w:sz w:val="18"/>
          <w:szCs w:val="18"/>
        </w:rPr>
      </w:pPr>
    </w:p>
    <w:p w14:paraId="05241C35" w14:textId="77777777" w:rsidR="00AA54A5" w:rsidRDefault="00AA54A5" w:rsidP="008D1AC7">
      <w:pPr>
        <w:jc w:val="both"/>
        <w:rPr>
          <w:rFonts w:asciiTheme="majorHAnsi" w:hAnsiTheme="majorHAnsi" w:cstheme="majorHAnsi"/>
          <w:sz w:val="18"/>
          <w:szCs w:val="18"/>
        </w:rPr>
      </w:pPr>
    </w:p>
    <w:p w14:paraId="1AB84892" w14:textId="77777777" w:rsidR="00AA54A5" w:rsidRPr="00AA54A5" w:rsidRDefault="00AA54A5" w:rsidP="008D1AC7">
      <w:pPr>
        <w:jc w:val="both"/>
        <w:rPr>
          <w:rFonts w:asciiTheme="majorHAnsi" w:hAnsiTheme="majorHAnsi" w:cstheme="majorHAnsi"/>
          <w:sz w:val="18"/>
          <w:szCs w:val="18"/>
        </w:rPr>
      </w:pPr>
    </w:p>
    <w:p w14:paraId="0389467E" w14:textId="3D9FA94E" w:rsidR="003A46F0" w:rsidRPr="00AA54A5" w:rsidRDefault="003A46F0" w:rsidP="00FE47F6">
      <w:pPr>
        <w:pStyle w:val="ListParagraph"/>
        <w:numPr>
          <w:ilvl w:val="0"/>
          <w:numId w:val="1"/>
        </w:numPr>
        <w:spacing w:after="120"/>
        <w:ind w:left="274"/>
        <w:jc w:val="both"/>
        <w:rPr>
          <w:rFonts w:asciiTheme="majorHAnsi" w:hAnsiTheme="majorHAnsi" w:cstheme="majorHAnsi"/>
          <w:b/>
        </w:rPr>
      </w:pPr>
      <w:r w:rsidRPr="00AA54A5">
        <w:rPr>
          <w:rFonts w:asciiTheme="majorHAnsi" w:hAnsiTheme="majorHAnsi" w:cstheme="majorHAnsi"/>
          <w:b/>
        </w:rPr>
        <w:lastRenderedPageBreak/>
        <w:t>DEFINITIONS</w:t>
      </w:r>
    </w:p>
    <w:p w14:paraId="7C7629A6" w14:textId="278E326E" w:rsidR="00A009BE" w:rsidRPr="00AA54A5" w:rsidRDefault="00A009BE" w:rsidP="00953AE7">
      <w:pPr>
        <w:spacing w:after="120"/>
        <w:ind w:left="270" w:right="-360"/>
        <w:jc w:val="both"/>
        <w:rPr>
          <w:rFonts w:asciiTheme="majorHAnsi" w:hAnsiTheme="majorHAnsi" w:cstheme="majorHAnsi"/>
          <w:sz w:val="18"/>
          <w:szCs w:val="18"/>
        </w:rPr>
      </w:pPr>
      <w:r w:rsidRPr="00AA54A5">
        <w:rPr>
          <w:rFonts w:asciiTheme="majorHAnsi" w:hAnsiTheme="majorHAnsi" w:cstheme="majorHAnsi"/>
          <w:sz w:val="18"/>
          <w:szCs w:val="18"/>
          <w:u w:val="single"/>
        </w:rPr>
        <w:t>Abnormal Use</w:t>
      </w:r>
      <w:r w:rsidRPr="00AA54A5">
        <w:rPr>
          <w:rFonts w:asciiTheme="majorHAnsi" w:hAnsiTheme="majorHAnsi" w:cstheme="majorHAnsi"/>
          <w:sz w:val="18"/>
          <w:szCs w:val="18"/>
        </w:rPr>
        <w:t>: act or omission of an act by the operator or user of a medical device as a result of conduct which is beyond any means of risk control by the manufacturer</w:t>
      </w:r>
    </w:p>
    <w:p w14:paraId="153175FD" w14:textId="773CA1EC" w:rsidR="00A009BE" w:rsidRPr="00AA54A5" w:rsidRDefault="00A009BE" w:rsidP="00953AE7">
      <w:pPr>
        <w:spacing w:after="120"/>
        <w:ind w:left="270" w:right="-360"/>
        <w:jc w:val="both"/>
        <w:rPr>
          <w:rFonts w:asciiTheme="majorHAnsi" w:hAnsiTheme="majorHAnsi" w:cstheme="majorHAnsi"/>
          <w:sz w:val="18"/>
          <w:szCs w:val="18"/>
        </w:rPr>
      </w:pPr>
      <w:r w:rsidRPr="00AA54A5">
        <w:rPr>
          <w:rFonts w:asciiTheme="majorHAnsi" w:hAnsiTheme="majorHAnsi" w:cstheme="majorHAnsi"/>
          <w:sz w:val="18"/>
          <w:szCs w:val="18"/>
          <w:u w:val="single"/>
        </w:rPr>
        <w:t>Authorized representative (Art. 2(32))</w:t>
      </w:r>
      <w:r w:rsidRPr="00AA54A5">
        <w:rPr>
          <w:rFonts w:asciiTheme="majorHAnsi" w:hAnsiTheme="majorHAnsi" w:cstheme="majorHAnsi"/>
          <w:sz w:val="18"/>
          <w:szCs w:val="18"/>
        </w:rPr>
        <w:t>: any natural or legal person established within the Union who has received and accepted a written mandate from a manufacturer, located outside the Union, to act on the manufacturer's behalf in relation to specified tasks with regard to the latter's obligations under the MDR.</w:t>
      </w:r>
    </w:p>
    <w:p w14:paraId="6C1CC548" w14:textId="751BAA63" w:rsidR="00A009BE" w:rsidRPr="00AA54A5" w:rsidRDefault="00A009BE" w:rsidP="00953AE7">
      <w:pPr>
        <w:spacing w:after="120"/>
        <w:ind w:left="270" w:right="-360"/>
        <w:jc w:val="both"/>
        <w:rPr>
          <w:rFonts w:asciiTheme="majorHAnsi" w:hAnsiTheme="majorHAnsi" w:cstheme="majorHAnsi"/>
          <w:sz w:val="18"/>
          <w:szCs w:val="18"/>
        </w:rPr>
      </w:pPr>
      <w:r w:rsidRPr="00AA54A5">
        <w:rPr>
          <w:rFonts w:asciiTheme="majorHAnsi" w:hAnsiTheme="majorHAnsi" w:cstheme="majorHAnsi"/>
          <w:sz w:val="18"/>
          <w:szCs w:val="18"/>
          <w:u w:val="single"/>
        </w:rPr>
        <w:t xml:space="preserve">Caused or Contributed </w:t>
      </w:r>
      <w:proofErr w:type="gramStart"/>
      <w:r w:rsidRPr="00AA54A5">
        <w:rPr>
          <w:rFonts w:asciiTheme="majorHAnsi" w:hAnsiTheme="majorHAnsi" w:cstheme="majorHAnsi"/>
          <w:sz w:val="18"/>
          <w:szCs w:val="18"/>
          <w:u w:val="single"/>
        </w:rPr>
        <w:t>to</w:t>
      </w:r>
      <w:r w:rsidRPr="00AA54A5">
        <w:rPr>
          <w:rFonts w:asciiTheme="majorHAnsi" w:hAnsiTheme="majorHAnsi" w:cstheme="majorHAnsi"/>
          <w:sz w:val="18"/>
          <w:szCs w:val="18"/>
        </w:rPr>
        <w:t>:</w:t>
      </w:r>
      <w:proofErr w:type="gramEnd"/>
      <w:r w:rsidRPr="00AA54A5">
        <w:rPr>
          <w:rFonts w:asciiTheme="majorHAnsi" w:hAnsiTheme="majorHAnsi" w:cstheme="majorHAnsi"/>
          <w:sz w:val="18"/>
          <w:szCs w:val="18"/>
        </w:rPr>
        <w:t xml:space="preserve"> a device may have “caused or contributed to” a death or serious injury, if the death or serious injury was or may be attributed to the device, or the device may have been a factor in the death or serious injury because of device failure or malfunction, improper or inadequate design, manufacture, labeling, instruction or user error.</w:t>
      </w:r>
    </w:p>
    <w:p w14:paraId="227E85F0" w14:textId="1A061D72" w:rsidR="00A009BE" w:rsidRPr="00AA54A5" w:rsidRDefault="00A009BE" w:rsidP="00953AE7">
      <w:pPr>
        <w:spacing w:after="120"/>
        <w:ind w:left="270" w:right="-360"/>
        <w:jc w:val="both"/>
        <w:rPr>
          <w:rFonts w:asciiTheme="majorHAnsi" w:hAnsiTheme="majorHAnsi" w:cstheme="majorHAnsi"/>
          <w:sz w:val="18"/>
          <w:szCs w:val="18"/>
        </w:rPr>
      </w:pPr>
      <w:r w:rsidRPr="00AA54A5">
        <w:rPr>
          <w:rFonts w:asciiTheme="majorHAnsi" w:hAnsiTheme="majorHAnsi" w:cstheme="majorHAnsi"/>
          <w:sz w:val="18"/>
          <w:szCs w:val="18"/>
          <w:u w:val="single"/>
        </w:rPr>
        <w:t>Complaint</w:t>
      </w:r>
      <w:r w:rsidRPr="00AA54A5">
        <w:rPr>
          <w:rFonts w:asciiTheme="majorHAnsi" w:hAnsiTheme="majorHAnsi" w:cstheme="majorHAnsi"/>
          <w:sz w:val="18"/>
          <w:szCs w:val="18"/>
        </w:rPr>
        <w:t>: any communication about a device that alleges deficiencies related to the identity, quality, durability, safety, effectiveness, or performance after it is released for distribution.</w:t>
      </w:r>
    </w:p>
    <w:p w14:paraId="77A46BE3" w14:textId="59118DF8" w:rsidR="00A009BE" w:rsidRPr="00AA54A5" w:rsidRDefault="00A009BE" w:rsidP="00953AE7">
      <w:pPr>
        <w:spacing w:after="120"/>
        <w:ind w:left="270" w:right="-360"/>
        <w:jc w:val="both"/>
        <w:rPr>
          <w:rFonts w:asciiTheme="majorHAnsi" w:hAnsiTheme="majorHAnsi" w:cstheme="majorHAnsi"/>
          <w:bCs/>
          <w:sz w:val="18"/>
          <w:szCs w:val="18"/>
        </w:rPr>
      </w:pPr>
      <w:r w:rsidRPr="00AA54A5">
        <w:rPr>
          <w:rFonts w:asciiTheme="majorHAnsi" w:hAnsiTheme="majorHAnsi" w:cstheme="majorHAnsi"/>
          <w:sz w:val="18"/>
          <w:szCs w:val="18"/>
          <w:u w:val="single"/>
        </w:rPr>
        <w:t>Corrective Action (MDR Article 2(67))</w:t>
      </w:r>
      <w:r w:rsidRPr="00AA54A5">
        <w:rPr>
          <w:rFonts w:asciiTheme="majorHAnsi" w:hAnsiTheme="majorHAnsi" w:cstheme="majorHAnsi"/>
          <w:sz w:val="18"/>
          <w:szCs w:val="18"/>
        </w:rPr>
        <w:t>:</w:t>
      </w:r>
      <w:r w:rsidR="00AA54A5">
        <w:rPr>
          <w:rFonts w:asciiTheme="majorHAnsi" w:hAnsiTheme="majorHAnsi" w:cstheme="majorHAnsi"/>
          <w:bCs/>
          <w:sz w:val="18"/>
          <w:szCs w:val="18"/>
        </w:rPr>
        <w:t xml:space="preserve"> </w:t>
      </w:r>
      <w:r w:rsidRPr="00AA54A5">
        <w:rPr>
          <w:rFonts w:asciiTheme="majorHAnsi" w:hAnsiTheme="majorHAnsi" w:cstheme="majorHAnsi"/>
          <w:bCs/>
          <w:sz w:val="18"/>
          <w:szCs w:val="18"/>
        </w:rPr>
        <w:t xml:space="preserve">action taken to eliminate the cause of a potential or actual non-conformity or </w:t>
      </w:r>
      <w:proofErr w:type="gramStart"/>
      <w:r w:rsidRPr="00AA54A5">
        <w:rPr>
          <w:rFonts w:asciiTheme="majorHAnsi" w:hAnsiTheme="majorHAnsi" w:cstheme="majorHAnsi"/>
          <w:bCs/>
          <w:sz w:val="18"/>
          <w:szCs w:val="18"/>
        </w:rPr>
        <w:t>other</w:t>
      </w:r>
      <w:proofErr w:type="gramEnd"/>
      <w:r w:rsidRPr="00AA54A5">
        <w:rPr>
          <w:rFonts w:asciiTheme="majorHAnsi" w:hAnsiTheme="majorHAnsi" w:cstheme="majorHAnsi"/>
          <w:bCs/>
          <w:sz w:val="18"/>
          <w:szCs w:val="18"/>
        </w:rPr>
        <w:t xml:space="preserve"> undesirable situation.</w:t>
      </w:r>
    </w:p>
    <w:p w14:paraId="278E888B" w14:textId="06E9E573" w:rsidR="00A009BE" w:rsidRPr="00AA54A5" w:rsidRDefault="00A009BE" w:rsidP="00953AE7">
      <w:pPr>
        <w:spacing w:after="120"/>
        <w:ind w:left="270" w:right="-360"/>
        <w:jc w:val="both"/>
        <w:rPr>
          <w:rFonts w:asciiTheme="majorHAnsi" w:hAnsiTheme="majorHAnsi" w:cstheme="majorHAnsi"/>
          <w:bCs/>
          <w:sz w:val="18"/>
          <w:szCs w:val="18"/>
        </w:rPr>
      </w:pPr>
      <w:r w:rsidRPr="00AA54A5">
        <w:rPr>
          <w:rFonts w:asciiTheme="majorHAnsi" w:hAnsiTheme="majorHAnsi" w:cstheme="majorHAnsi"/>
          <w:bCs/>
          <w:sz w:val="18"/>
          <w:szCs w:val="18"/>
          <w:u w:val="single"/>
        </w:rPr>
        <w:t>Device Deficiency (MDR Article 2(59))</w:t>
      </w:r>
      <w:r w:rsidRPr="00AA54A5">
        <w:rPr>
          <w:rFonts w:asciiTheme="majorHAnsi" w:hAnsiTheme="majorHAnsi" w:cstheme="majorHAnsi"/>
          <w:b/>
          <w:sz w:val="18"/>
          <w:szCs w:val="18"/>
        </w:rPr>
        <w:t xml:space="preserve">: </w:t>
      </w:r>
      <w:r w:rsidRPr="00AA54A5">
        <w:rPr>
          <w:rFonts w:asciiTheme="majorHAnsi" w:hAnsiTheme="majorHAnsi" w:cstheme="majorHAnsi"/>
          <w:bCs/>
          <w:sz w:val="18"/>
          <w:szCs w:val="18"/>
        </w:rPr>
        <w:t>any inadequacy in the identity, quality, durability, reliability, safety or performance of an investigational device, including malfunction, use errors or inadequacy in information supplied by the manufacturer.</w:t>
      </w:r>
    </w:p>
    <w:p w14:paraId="56141949" w14:textId="6A46A1E6" w:rsidR="00A009BE" w:rsidRPr="00AA54A5" w:rsidRDefault="00647C38" w:rsidP="00953AE7">
      <w:pPr>
        <w:spacing w:after="120"/>
        <w:ind w:left="270" w:right="-360"/>
        <w:jc w:val="both"/>
        <w:rPr>
          <w:rFonts w:asciiTheme="majorHAnsi" w:hAnsiTheme="majorHAnsi" w:cstheme="majorHAnsi"/>
          <w:sz w:val="18"/>
          <w:szCs w:val="18"/>
        </w:rPr>
      </w:pPr>
      <w:proofErr w:type="spellStart"/>
      <w:r w:rsidRPr="00AA54A5">
        <w:rPr>
          <w:rFonts w:asciiTheme="majorHAnsi" w:hAnsiTheme="majorHAnsi" w:cstheme="majorHAnsi"/>
          <w:color w:val="000000"/>
          <w:sz w:val="18"/>
          <w:szCs w:val="18"/>
          <w:u w:val="single"/>
        </w:rPr>
        <w:t>Eudamed</w:t>
      </w:r>
      <w:proofErr w:type="spellEnd"/>
      <w:r w:rsidRPr="00AA54A5">
        <w:rPr>
          <w:rFonts w:asciiTheme="majorHAnsi" w:hAnsiTheme="majorHAnsi" w:cstheme="majorHAnsi"/>
          <w:color w:val="000000"/>
          <w:sz w:val="18"/>
          <w:szCs w:val="18"/>
          <w:u w:val="single"/>
        </w:rPr>
        <w:t>:</w:t>
      </w:r>
      <w:r w:rsidRPr="00AA54A5">
        <w:rPr>
          <w:rFonts w:asciiTheme="majorHAnsi" w:hAnsiTheme="majorHAnsi" w:cstheme="majorHAnsi"/>
          <w:b/>
          <w:sz w:val="18"/>
          <w:szCs w:val="18"/>
        </w:rPr>
        <w:t xml:space="preserve"> </w:t>
      </w:r>
      <w:r w:rsidRPr="00AA54A5">
        <w:rPr>
          <w:rFonts w:asciiTheme="majorHAnsi" w:hAnsiTheme="majorHAnsi" w:cstheme="majorHAnsi"/>
          <w:sz w:val="18"/>
          <w:szCs w:val="18"/>
        </w:rPr>
        <w:t>the European database on medical devices that integrates different electronic systems to collate and process information regarding devices on the market and the relevant economic operators, certain aspects of conformity assessment, notified bodies, certificates, clinical investigations, vigilance and market surveillance. {Currently delayed until May 2022}</w:t>
      </w:r>
    </w:p>
    <w:p w14:paraId="4AAA9935" w14:textId="64E5FA71" w:rsidR="00647C38" w:rsidRPr="00AA54A5" w:rsidRDefault="00647C38" w:rsidP="00AA54A5">
      <w:pPr>
        <w:spacing w:after="120"/>
        <w:ind w:left="270" w:right="-360"/>
        <w:jc w:val="both"/>
        <w:rPr>
          <w:rFonts w:asciiTheme="majorHAnsi" w:hAnsiTheme="majorHAnsi" w:cstheme="majorHAnsi"/>
          <w:sz w:val="18"/>
          <w:szCs w:val="18"/>
        </w:rPr>
      </w:pPr>
      <w:r w:rsidRPr="00AA54A5">
        <w:rPr>
          <w:rFonts w:asciiTheme="majorHAnsi" w:hAnsiTheme="majorHAnsi" w:cstheme="majorHAnsi"/>
          <w:sz w:val="18"/>
          <w:szCs w:val="18"/>
          <w:u w:val="single"/>
        </w:rPr>
        <w:t>European Union (EU)</w:t>
      </w:r>
      <w:r w:rsidRPr="00AA54A5">
        <w:rPr>
          <w:rFonts w:asciiTheme="majorHAnsi" w:hAnsiTheme="majorHAnsi" w:cstheme="majorHAnsi"/>
          <w:sz w:val="18"/>
          <w:szCs w:val="18"/>
        </w:rPr>
        <w:t>: collectively referred to as “EU” and includes 27</w:t>
      </w:r>
      <w:r w:rsidRPr="00AA54A5">
        <w:rPr>
          <w:rStyle w:val="FootnoteReference"/>
          <w:rFonts w:asciiTheme="majorHAnsi" w:hAnsiTheme="majorHAnsi" w:cstheme="majorHAnsi"/>
          <w:sz w:val="18"/>
          <w:szCs w:val="18"/>
        </w:rPr>
        <w:footnoteReference w:id="1"/>
      </w:r>
      <w:r w:rsidRPr="00AA54A5">
        <w:rPr>
          <w:rFonts w:asciiTheme="majorHAnsi" w:hAnsiTheme="majorHAnsi" w:cstheme="majorHAnsi"/>
          <w:sz w:val="18"/>
          <w:szCs w:val="18"/>
        </w:rPr>
        <w:t xml:space="preserve"> official EU member states, the EEA (Norway, Iceland, and </w:t>
      </w:r>
      <w:r w:rsidR="00AA54A5">
        <w:rPr>
          <w:rFonts w:asciiTheme="majorHAnsi" w:hAnsiTheme="majorHAnsi" w:cstheme="majorHAnsi"/>
          <w:sz w:val="18"/>
          <w:szCs w:val="18"/>
        </w:rPr>
        <w:t>Liechtenstein</w:t>
      </w:r>
      <w:r w:rsidRPr="00AA54A5">
        <w:rPr>
          <w:rFonts w:asciiTheme="majorHAnsi" w:hAnsiTheme="majorHAnsi" w:cstheme="majorHAnsi"/>
          <w:sz w:val="18"/>
          <w:szCs w:val="18"/>
        </w:rPr>
        <w:t>)</w:t>
      </w:r>
      <w:r w:rsidR="00AA54A5">
        <w:rPr>
          <w:rFonts w:asciiTheme="majorHAnsi" w:hAnsiTheme="majorHAnsi" w:cstheme="majorHAnsi"/>
          <w:sz w:val="18"/>
          <w:szCs w:val="18"/>
        </w:rPr>
        <w:t>,</w:t>
      </w:r>
      <w:r w:rsidRPr="00AA54A5">
        <w:rPr>
          <w:rFonts w:asciiTheme="majorHAnsi" w:hAnsiTheme="majorHAnsi" w:cstheme="majorHAnsi"/>
          <w:sz w:val="18"/>
          <w:szCs w:val="18"/>
        </w:rPr>
        <w:t xml:space="preserve"> and Switzerland.</w:t>
      </w:r>
    </w:p>
    <w:p w14:paraId="58884CB0" w14:textId="25AEA501" w:rsidR="008D1AC7" w:rsidRPr="00AA54A5" w:rsidRDefault="008D1AC7" w:rsidP="008D1AC7">
      <w:pPr>
        <w:ind w:left="274" w:right="-360"/>
        <w:jc w:val="both"/>
        <w:rPr>
          <w:rFonts w:asciiTheme="majorHAnsi" w:hAnsiTheme="majorHAnsi" w:cstheme="majorHAnsi"/>
          <w:sz w:val="18"/>
          <w:szCs w:val="18"/>
        </w:rPr>
      </w:pPr>
      <w:r w:rsidRPr="00AA54A5">
        <w:rPr>
          <w:rFonts w:asciiTheme="majorHAnsi" w:hAnsiTheme="majorHAnsi" w:cstheme="majorHAnsi"/>
          <w:sz w:val="18"/>
          <w:szCs w:val="18"/>
          <w:u w:val="single"/>
        </w:rPr>
        <w:t>Field Safety Corrective Action (FSCA)-EU</w:t>
      </w:r>
      <w:r w:rsidR="000D5BBC" w:rsidRPr="00AA54A5">
        <w:rPr>
          <w:rFonts w:asciiTheme="majorHAnsi" w:hAnsiTheme="majorHAnsi" w:cstheme="majorHAnsi"/>
          <w:sz w:val="18"/>
          <w:szCs w:val="18"/>
          <w:u w:val="single"/>
        </w:rPr>
        <w:t xml:space="preserve"> (</w:t>
      </w:r>
      <w:r w:rsidR="000D5BBC" w:rsidRPr="00AA54A5">
        <w:rPr>
          <w:rFonts w:asciiTheme="majorHAnsi" w:hAnsiTheme="majorHAnsi" w:cstheme="majorHAnsi"/>
          <w:color w:val="000000"/>
          <w:sz w:val="18"/>
          <w:szCs w:val="18"/>
          <w:u w:val="single"/>
        </w:rPr>
        <w:t>MDR Article 2(69)):</w:t>
      </w:r>
      <w:r w:rsidR="000D5BBC" w:rsidRPr="00AA54A5">
        <w:rPr>
          <w:rFonts w:asciiTheme="majorHAnsi" w:hAnsiTheme="majorHAnsi" w:cstheme="majorHAnsi"/>
          <w:color w:val="000000"/>
          <w:sz w:val="18"/>
          <w:szCs w:val="18"/>
        </w:rPr>
        <w:t xml:space="preserve"> </w:t>
      </w:r>
      <w:r w:rsidRPr="00AA54A5">
        <w:rPr>
          <w:rFonts w:asciiTheme="majorHAnsi" w:hAnsiTheme="majorHAnsi" w:cstheme="majorHAnsi"/>
          <w:sz w:val="18"/>
          <w:szCs w:val="18"/>
        </w:rPr>
        <w:t xml:space="preserve"> – </w:t>
      </w:r>
      <w:r w:rsidR="000D5BBC" w:rsidRPr="00AA54A5">
        <w:rPr>
          <w:rFonts w:asciiTheme="majorHAnsi" w:hAnsiTheme="majorHAnsi" w:cstheme="majorHAnsi"/>
          <w:sz w:val="18"/>
          <w:szCs w:val="18"/>
        </w:rPr>
        <w:t>Corrective</w:t>
      </w:r>
      <w:r w:rsidRPr="00AA54A5">
        <w:rPr>
          <w:rFonts w:asciiTheme="majorHAnsi" w:hAnsiTheme="majorHAnsi" w:cstheme="majorHAnsi"/>
          <w:sz w:val="18"/>
          <w:szCs w:val="18"/>
        </w:rPr>
        <w:t xml:space="preserve"> action taken by a Manufacturer </w:t>
      </w:r>
      <w:r w:rsidR="000D5BBC" w:rsidRPr="00AA54A5">
        <w:rPr>
          <w:rFonts w:asciiTheme="majorHAnsi" w:hAnsiTheme="majorHAnsi" w:cstheme="majorHAnsi"/>
          <w:sz w:val="18"/>
          <w:szCs w:val="18"/>
        </w:rPr>
        <w:t>for technical or medical reasons to prevent or reduce the risk of a serious incident in relation to a device made available on the market.</w:t>
      </w:r>
      <w:r w:rsidRPr="00AA54A5">
        <w:rPr>
          <w:rFonts w:asciiTheme="majorHAnsi" w:hAnsiTheme="majorHAnsi" w:cstheme="majorHAnsi"/>
          <w:sz w:val="18"/>
          <w:szCs w:val="18"/>
        </w:rPr>
        <w:t xml:space="preserve"> Such actions, whether associated with direct or indirect harm, should be report</w:t>
      </w:r>
      <w:r w:rsidR="000D5BBC" w:rsidRPr="00AA54A5">
        <w:rPr>
          <w:rFonts w:asciiTheme="majorHAnsi" w:hAnsiTheme="majorHAnsi" w:cstheme="majorHAnsi"/>
          <w:sz w:val="18"/>
          <w:szCs w:val="18"/>
        </w:rPr>
        <w:t>ed</w:t>
      </w:r>
      <w:r w:rsidRPr="00AA54A5">
        <w:rPr>
          <w:rFonts w:asciiTheme="majorHAnsi" w:hAnsiTheme="majorHAnsi" w:cstheme="majorHAnsi"/>
          <w:sz w:val="18"/>
          <w:szCs w:val="18"/>
        </w:rPr>
        <w:t xml:space="preserve"> and should be notified via a Field Safety Notice. The FSCA may include:</w:t>
      </w:r>
    </w:p>
    <w:p w14:paraId="6F8813C4" w14:textId="5ABD0C97" w:rsidR="008D1AC7" w:rsidRPr="00AA54A5" w:rsidRDefault="008D1AC7" w:rsidP="008D1AC7">
      <w:pPr>
        <w:pStyle w:val="ListParagraph"/>
        <w:numPr>
          <w:ilvl w:val="0"/>
          <w:numId w:val="10"/>
        </w:numPr>
        <w:spacing w:after="120"/>
        <w:ind w:right="-360" w:hanging="180"/>
        <w:jc w:val="both"/>
        <w:rPr>
          <w:rFonts w:asciiTheme="majorHAnsi" w:hAnsiTheme="majorHAnsi" w:cstheme="majorHAnsi"/>
          <w:sz w:val="18"/>
          <w:szCs w:val="18"/>
        </w:rPr>
      </w:pPr>
      <w:r w:rsidRPr="00AA54A5">
        <w:rPr>
          <w:rFonts w:asciiTheme="majorHAnsi" w:hAnsiTheme="majorHAnsi" w:cstheme="majorHAnsi"/>
          <w:sz w:val="18"/>
          <w:szCs w:val="18"/>
        </w:rPr>
        <w:t xml:space="preserve">The return of a medical device to the </w:t>
      </w:r>
      <w:proofErr w:type="gramStart"/>
      <w:r w:rsidRPr="00AA54A5">
        <w:rPr>
          <w:rFonts w:asciiTheme="majorHAnsi" w:hAnsiTheme="majorHAnsi" w:cstheme="majorHAnsi"/>
          <w:sz w:val="18"/>
          <w:szCs w:val="18"/>
        </w:rPr>
        <w:t>supplier;</w:t>
      </w:r>
      <w:proofErr w:type="gramEnd"/>
    </w:p>
    <w:p w14:paraId="52246ED7" w14:textId="1177FC10" w:rsidR="008D1AC7" w:rsidRPr="00AA54A5" w:rsidRDefault="008D1AC7" w:rsidP="008D1AC7">
      <w:pPr>
        <w:pStyle w:val="ListParagraph"/>
        <w:numPr>
          <w:ilvl w:val="0"/>
          <w:numId w:val="10"/>
        </w:numPr>
        <w:spacing w:after="120"/>
        <w:ind w:right="-360" w:hanging="180"/>
        <w:jc w:val="both"/>
        <w:rPr>
          <w:rFonts w:asciiTheme="majorHAnsi" w:hAnsiTheme="majorHAnsi" w:cstheme="majorHAnsi"/>
          <w:sz w:val="18"/>
          <w:szCs w:val="18"/>
        </w:rPr>
      </w:pPr>
      <w:r w:rsidRPr="00AA54A5">
        <w:rPr>
          <w:rFonts w:asciiTheme="majorHAnsi" w:hAnsiTheme="majorHAnsi" w:cstheme="majorHAnsi"/>
          <w:sz w:val="18"/>
          <w:szCs w:val="18"/>
        </w:rPr>
        <w:t xml:space="preserve">Device </w:t>
      </w:r>
      <w:proofErr w:type="gramStart"/>
      <w:r w:rsidRPr="00AA54A5">
        <w:rPr>
          <w:rFonts w:asciiTheme="majorHAnsi" w:hAnsiTheme="majorHAnsi" w:cstheme="majorHAnsi"/>
          <w:sz w:val="18"/>
          <w:szCs w:val="18"/>
        </w:rPr>
        <w:t>modification;</w:t>
      </w:r>
      <w:proofErr w:type="gramEnd"/>
    </w:p>
    <w:p w14:paraId="050E524D" w14:textId="756594B0" w:rsidR="008D1AC7" w:rsidRPr="00AA54A5" w:rsidRDefault="008D1AC7" w:rsidP="008D1AC7">
      <w:pPr>
        <w:pStyle w:val="ListParagraph"/>
        <w:numPr>
          <w:ilvl w:val="0"/>
          <w:numId w:val="10"/>
        </w:numPr>
        <w:spacing w:after="120"/>
        <w:ind w:right="-360" w:hanging="180"/>
        <w:jc w:val="both"/>
        <w:rPr>
          <w:rFonts w:asciiTheme="majorHAnsi" w:hAnsiTheme="majorHAnsi" w:cstheme="majorHAnsi"/>
          <w:sz w:val="18"/>
          <w:szCs w:val="18"/>
        </w:rPr>
      </w:pPr>
      <w:r w:rsidRPr="00AA54A5">
        <w:rPr>
          <w:rFonts w:asciiTheme="majorHAnsi" w:hAnsiTheme="majorHAnsi" w:cstheme="majorHAnsi"/>
          <w:sz w:val="18"/>
          <w:szCs w:val="18"/>
        </w:rPr>
        <w:t xml:space="preserve">Device </w:t>
      </w:r>
      <w:proofErr w:type="gramStart"/>
      <w:r w:rsidRPr="00AA54A5">
        <w:rPr>
          <w:rFonts w:asciiTheme="majorHAnsi" w:hAnsiTheme="majorHAnsi" w:cstheme="majorHAnsi"/>
          <w:sz w:val="18"/>
          <w:szCs w:val="18"/>
        </w:rPr>
        <w:t>exchange;</w:t>
      </w:r>
      <w:proofErr w:type="gramEnd"/>
    </w:p>
    <w:p w14:paraId="2EB1C880" w14:textId="5407F946" w:rsidR="008D1AC7" w:rsidRPr="00AA54A5" w:rsidRDefault="008D1AC7" w:rsidP="008D1AC7">
      <w:pPr>
        <w:pStyle w:val="ListParagraph"/>
        <w:numPr>
          <w:ilvl w:val="0"/>
          <w:numId w:val="10"/>
        </w:numPr>
        <w:spacing w:after="120"/>
        <w:ind w:right="-360" w:hanging="180"/>
        <w:jc w:val="both"/>
        <w:rPr>
          <w:rFonts w:asciiTheme="majorHAnsi" w:hAnsiTheme="majorHAnsi" w:cstheme="majorHAnsi"/>
          <w:sz w:val="18"/>
          <w:szCs w:val="18"/>
        </w:rPr>
      </w:pPr>
      <w:r w:rsidRPr="00AA54A5">
        <w:rPr>
          <w:rFonts w:asciiTheme="majorHAnsi" w:hAnsiTheme="majorHAnsi" w:cstheme="majorHAnsi"/>
          <w:sz w:val="18"/>
          <w:szCs w:val="18"/>
        </w:rPr>
        <w:t xml:space="preserve">Device </w:t>
      </w:r>
      <w:proofErr w:type="gramStart"/>
      <w:r w:rsidRPr="00AA54A5">
        <w:rPr>
          <w:rFonts w:asciiTheme="majorHAnsi" w:hAnsiTheme="majorHAnsi" w:cstheme="majorHAnsi"/>
          <w:sz w:val="18"/>
          <w:szCs w:val="18"/>
        </w:rPr>
        <w:t>destruction;</w:t>
      </w:r>
      <w:proofErr w:type="gramEnd"/>
    </w:p>
    <w:p w14:paraId="211C4175" w14:textId="3EB7E525" w:rsidR="008D1AC7" w:rsidRPr="00AA54A5" w:rsidRDefault="008D1AC7" w:rsidP="008D1AC7">
      <w:pPr>
        <w:pStyle w:val="ListParagraph"/>
        <w:numPr>
          <w:ilvl w:val="0"/>
          <w:numId w:val="10"/>
        </w:numPr>
        <w:spacing w:after="120"/>
        <w:ind w:right="-360" w:hanging="180"/>
        <w:jc w:val="both"/>
        <w:rPr>
          <w:rFonts w:asciiTheme="majorHAnsi" w:hAnsiTheme="majorHAnsi" w:cstheme="majorHAnsi"/>
          <w:sz w:val="18"/>
          <w:szCs w:val="18"/>
        </w:rPr>
      </w:pPr>
      <w:r w:rsidRPr="00AA54A5">
        <w:rPr>
          <w:rFonts w:asciiTheme="majorHAnsi" w:hAnsiTheme="majorHAnsi" w:cstheme="majorHAnsi"/>
          <w:sz w:val="18"/>
          <w:szCs w:val="18"/>
        </w:rPr>
        <w:t xml:space="preserve">Retrofit by purchaser of manufacturer’s modification or design </w:t>
      </w:r>
      <w:proofErr w:type="gramStart"/>
      <w:r w:rsidRPr="00AA54A5">
        <w:rPr>
          <w:rFonts w:asciiTheme="majorHAnsi" w:hAnsiTheme="majorHAnsi" w:cstheme="majorHAnsi"/>
          <w:sz w:val="18"/>
          <w:szCs w:val="18"/>
        </w:rPr>
        <w:t>change;</w:t>
      </w:r>
      <w:proofErr w:type="gramEnd"/>
    </w:p>
    <w:p w14:paraId="3A6E90DB" w14:textId="7B0702CA" w:rsidR="008D1AC7" w:rsidRPr="00AA54A5" w:rsidRDefault="008D1AC7" w:rsidP="008D1AC7">
      <w:pPr>
        <w:pStyle w:val="ListParagraph"/>
        <w:numPr>
          <w:ilvl w:val="0"/>
          <w:numId w:val="10"/>
        </w:numPr>
        <w:spacing w:after="120"/>
        <w:ind w:right="-360" w:hanging="180"/>
        <w:jc w:val="both"/>
        <w:rPr>
          <w:rFonts w:asciiTheme="majorHAnsi" w:hAnsiTheme="majorHAnsi" w:cstheme="majorHAnsi"/>
          <w:sz w:val="18"/>
          <w:szCs w:val="18"/>
        </w:rPr>
      </w:pPr>
      <w:r w:rsidRPr="00AA54A5">
        <w:rPr>
          <w:rFonts w:asciiTheme="majorHAnsi" w:hAnsiTheme="majorHAnsi" w:cstheme="majorHAnsi"/>
          <w:sz w:val="18"/>
          <w:szCs w:val="18"/>
        </w:rPr>
        <w:t>Advice given by manufacturer regarding the use of the device and/or the follow up of patients, users or others (e.g. where the device is no longer on the market or has been withdrawn but could still possibly be in use e.g. implants or change in analytical sensitivity or specificity for diagnostic devices).</w:t>
      </w:r>
    </w:p>
    <w:p w14:paraId="1ECFFC46" w14:textId="7439D895" w:rsidR="00D11A3B" w:rsidRPr="00AA54A5" w:rsidRDefault="00D11A3B" w:rsidP="000D5BBC">
      <w:pPr>
        <w:autoSpaceDE w:val="0"/>
        <w:autoSpaceDN w:val="0"/>
        <w:adjustRightInd w:val="0"/>
        <w:snapToGrid w:val="0"/>
        <w:spacing w:after="120"/>
        <w:ind w:left="270"/>
        <w:jc w:val="both"/>
        <w:rPr>
          <w:rFonts w:asciiTheme="majorHAnsi" w:hAnsiTheme="majorHAnsi" w:cstheme="majorHAnsi"/>
          <w:sz w:val="18"/>
          <w:szCs w:val="18"/>
        </w:rPr>
      </w:pPr>
      <w:r w:rsidRPr="00AA54A5">
        <w:rPr>
          <w:rFonts w:asciiTheme="majorHAnsi" w:hAnsiTheme="majorHAnsi" w:cstheme="majorHAnsi"/>
          <w:sz w:val="18"/>
          <w:szCs w:val="18"/>
          <w:u w:val="single"/>
        </w:rPr>
        <w:t xml:space="preserve">Incident (MDR </w:t>
      </w:r>
      <w:r w:rsidRPr="00AA54A5">
        <w:rPr>
          <w:rFonts w:asciiTheme="majorHAnsi" w:hAnsiTheme="majorHAnsi" w:cstheme="majorHAnsi"/>
          <w:color w:val="000000"/>
          <w:sz w:val="18"/>
          <w:szCs w:val="18"/>
          <w:u w:val="single"/>
        </w:rPr>
        <w:t>Article 2(64))</w:t>
      </w:r>
      <w:r w:rsidRPr="00AA54A5">
        <w:rPr>
          <w:rFonts w:asciiTheme="majorHAnsi" w:hAnsiTheme="majorHAnsi" w:cstheme="majorHAnsi"/>
          <w:sz w:val="18"/>
          <w:szCs w:val="18"/>
        </w:rPr>
        <w:t>: any malfunction or deterioration in the characteristics or performance of a device made available on the market, including use-error due to ergonomic features, as well as any inadequacy in the information supplied by the manufacturer and any undesirable side-effect.</w:t>
      </w:r>
    </w:p>
    <w:p w14:paraId="6A36CB48" w14:textId="7C44579B" w:rsidR="00D11A3B" w:rsidRPr="00AA54A5" w:rsidRDefault="00D11A3B" w:rsidP="000D5BBC">
      <w:pPr>
        <w:autoSpaceDE w:val="0"/>
        <w:autoSpaceDN w:val="0"/>
        <w:adjustRightInd w:val="0"/>
        <w:snapToGrid w:val="0"/>
        <w:spacing w:after="120"/>
        <w:ind w:left="270"/>
        <w:jc w:val="both"/>
        <w:rPr>
          <w:rFonts w:asciiTheme="majorHAnsi" w:hAnsiTheme="majorHAnsi" w:cstheme="majorHAnsi"/>
          <w:color w:val="000000"/>
          <w:sz w:val="18"/>
          <w:szCs w:val="18"/>
        </w:rPr>
      </w:pPr>
      <w:r w:rsidRPr="00AA54A5">
        <w:rPr>
          <w:rFonts w:asciiTheme="majorHAnsi" w:hAnsiTheme="majorHAnsi" w:cstheme="majorHAnsi"/>
          <w:color w:val="000000"/>
          <w:sz w:val="18"/>
          <w:szCs w:val="18"/>
          <w:u w:val="single"/>
        </w:rPr>
        <w:t>Intended Purpose (MDR Article 2(12))</w:t>
      </w:r>
      <w:r w:rsidRPr="00AA54A5">
        <w:rPr>
          <w:rFonts w:asciiTheme="majorHAnsi" w:hAnsiTheme="majorHAnsi" w:cstheme="majorHAnsi"/>
          <w:color w:val="000000"/>
          <w:sz w:val="18"/>
          <w:szCs w:val="18"/>
        </w:rPr>
        <w:t>: the use for which a device is intended according to the data supplied by the manufacturer on the label, in the instructions for use or in promotional or sales materials or statements and as specified by the manufacturer in the clinical evaluation.</w:t>
      </w:r>
    </w:p>
    <w:p w14:paraId="64E1DD00" w14:textId="13305F49" w:rsidR="00D11A3B" w:rsidRDefault="00D11A3B" w:rsidP="000D5BBC">
      <w:pPr>
        <w:autoSpaceDE w:val="0"/>
        <w:autoSpaceDN w:val="0"/>
        <w:adjustRightInd w:val="0"/>
        <w:snapToGrid w:val="0"/>
        <w:spacing w:after="120"/>
        <w:ind w:left="270"/>
        <w:jc w:val="both"/>
        <w:rPr>
          <w:rFonts w:asciiTheme="majorHAnsi" w:hAnsiTheme="majorHAnsi" w:cstheme="majorHAnsi"/>
          <w:bCs/>
          <w:sz w:val="18"/>
          <w:szCs w:val="18"/>
        </w:rPr>
      </w:pPr>
      <w:r w:rsidRPr="00AA54A5">
        <w:rPr>
          <w:rFonts w:asciiTheme="majorHAnsi" w:hAnsiTheme="majorHAnsi" w:cstheme="majorHAnsi"/>
          <w:bCs/>
          <w:sz w:val="18"/>
          <w:szCs w:val="18"/>
          <w:u w:val="single"/>
        </w:rPr>
        <w:t>Making Available on the Market (MDR Article 2(27))</w:t>
      </w:r>
      <w:r w:rsidRPr="00AA54A5">
        <w:rPr>
          <w:rFonts w:asciiTheme="majorHAnsi" w:hAnsiTheme="majorHAnsi" w:cstheme="majorHAnsi"/>
          <w:bCs/>
          <w:sz w:val="18"/>
          <w:szCs w:val="18"/>
        </w:rPr>
        <w:t>: any supply of a device, other than an investigational device, for distribution, consumption or use on the Union market in the course of a commercial activity, whether in return for payment or free of charge.</w:t>
      </w:r>
    </w:p>
    <w:p w14:paraId="70BF1546" w14:textId="77777777" w:rsidR="00AA54A5" w:rsidRPr="00AA54A5" w:rsidRDefault="00AA54A5" w:rsidP="00AA54A5">
      <w:pPr>
        <w:autoSpaceDE w:val="0"/>
        <w:autoSpaceDN w:val="0"/>
        <w:adjustRightInd w:val="0"/>
        <w:snapToGrid w:val="0"/>
        <w:spacing w:after="120"/>
        <w:jc w:val="both"/>
        <w:rPr>
          <w:rFonts w:asciiTheme="majorHAnsi" w:hAnsiTheme="majorHAnsi" w:cstheme="majorHAnsi"/>
          <w:bCs/>
          <w:sz w:val="18"/>
          <w:szCs w:val="18"/>
        </w:rPr>
      </w:pPr>
    </w:p>
    <w:p w14:paraId="41C430D0" w14:textId="4DB13F1F" w:rsidR="00D11A3B" w:rsidRPr="00AA54A5" w:rsidRDefault="00D11A3B" w:rsidP="00522786">
      <w:pPr>
        <w:autoSpaceDE w:val="0"/>
        <w:autoSpaceDN w:val="0"/>
        <w:adjustRightInd w:val="0"/>
        <w:snapToGrid w:val="0"/>
        <w:spacing w:after="120"/>
        <w:ind w:left="270"/>
        <w:rPr>
          <w:rFonts w:asciiTheme="majorHAnsi" w:hAnsiTheme="majorHAnsi" w:cstheme="majorHAnsi"/>
          <w:sz w:val="18"/>
          <w:szCs w:val="18"/>
        </w:rPr>
      </w:pPr>
      <w:r w:rsidRPr="00AA54A5">
        <w:rPr>
          <w:rFonts w:asciiTheme="majorHAnsi" w:hAnsiTheme="majorHAnsi" w:cstheme="majorHAnsi"/>
          <w:bCs/>
          <w:sz w:val="18"/>
          <w:szCs w:val="18"/>
          <w:u w:val="single"/>
        </w:rPr>
        <w:lastRenderedPageBreak/>
        <w:t>Malfunction</w:t>
      </w:r>
      <w:r w:rsidRPr="00AA54A5">
        <w:rPr>
          <w:rFonts w:asciiTheme="majorHAnsi" w:hAnsiTheme="majorHAnsi" w:cstheme="majorHAnsi"/>
          <w:bCs/>
          <w:sz w:val="18"/>
          <w:szCs w:val="18"/>
        </w:rPr>
        <w:t xml:space="preserve">: </w:t>
      </w:r>
      <w:r w:rsidRPr="00AA54A5">
        <w:rPr>
          <w:rFonts w:asciiTheme="majorHAnsi" w:hAnsiTheme="majorHAnsi" w:cstheme="majorHAnsi"/>
          <w:sz w:val="18"/>
          <w:szCs w:val="18"/>
        </w:rPr>
        <w:t xml:space="preserve">failure of a device to meet its performance specifications or to perform as intended.  A malfunction is reportable when it is likely to cause or contribute to a death or a serious deterioration in the state of health or serious injury of a patient, user or other person.  </w:t>
      </w:r>
    </w:p>
    <w:p w14:paraId="1413C6B1" w14:textId="77777777" w:rsidR="00327A14" w:rsidRPr="00AA54A5" w:rsidRDefault="003A46F0" w:rsidP="00522786">
      <w:pPr>
        <w:spacing w:after="120"/>
        <w:ind w:left="270" w:right="-360"/>
        <w:rPr>
          <w:rFonts w:asciiTheme="majorHAnsi" w:hAnsiTheme="majorHAnsi" w:cstheme="majorHAnsi"/>
          <w:sz w:val="18"/>
          <w:szCs w:val="18"/>
        </w:rPr>
      </w:pPr>
      <w:r w:rsidRPr="00AA54A5">
        <w:rPr>
          <w:rFonts w:asciiTheme="majorHAnsi" w:hAnsiTheme="majorHAnsi" w:cstheme="majorHAnsi"/>
          <w:sz w:val="18"/>
          <w:szCs w:val="18"/>
          <w:u w:val="single"/>
        </w:rPr>
        <w:t>Management Representative</w:t>
      </w:r>
      <w:r w:rsidRPr="00AA54A5">
        <w:rPr>
          <w:rFonts w:asciiTheme="majorHAnsi" w:hAnsiTheme="majorHAnsi" w:cstheme="majorHAnsi"/>
          <w:sz w:val="18"/>
          <w:szCs w:val="18"/>
        </w:rPr>
        <w:t xml:space="preserve"> – The member of Tulip Medical whose cross-functional role encompasses the development and monitoring of the quality management system to ensure accuracy and effectiveness of all Quality System Procedures (QSPs). </w:t>
      </w:r>
    </w:p>
    <w:p w14:paraId="0A01D57B" w14:textId="77777777" w:rsidR="00327A14" w:rsidRPr="00AA54A5" w:rsidRDefault="00327A14" w:rsidP="00522786">
      <w:pPr>
        <w:spacing w:after="120"/>
        <w:ind w:left="270" w:right="-360"/>
        <w:rPr>
          <w:rFonts w:asciiTheme="majorHAnsi" w:hAnsiTheme="majorHAnsi" w:cstheme="majorHAnsi"/>
          <w:color w:val="000000"/>
          <w:sz w:val="18"/>
          <w:szCs w:val="18"/>
        </w:rPr>
      </w:pPr>
      <w:r w:rsidRPr="00AA54A5">
        <w:rPr>
          <w:rFonts w:asciiTheme="majorHAnsi" w:hAnsiTheme="majorHAnsi" w:cstheme="majorHAnsi"/>
          <w:color w:val="000000"/>
          <w:sz w:val="18"/>
          <w:szCs w:val="18"/>
          <w:u w:val="single"/>
        </w:rPr>
        <w:t>Manufacturer (MDR Article 2(30))</w:t>
      </w:r>
      <w:r w:rsidRPr="00AA54A5">
        <w:rPr>
          <w:rFonts w:asciiTheme="majorHAnsi" w:hAnsiTheme="majorHAnsi" w:cstheme="majorHAnsi"/>
          <w:color w:val="000000"/>
          <w:sz w:val="18"/>
          <w:szCs w:val="18"/>
        </w:rPr>
        <w:t>: the natural or legal person who manufactures or fully refurbishes a device or has a device designed, manufactured or fully refurbished, and markets that device under its name or trademark.</w:t>
      </w:r>
    </w:p>
    <w:p w14:paraId="5726763A" w14:textId="0AD8382C" w:rsidR="003A46F0" w:rsidRPr="00AA54A5" w:rsidRDefault="00327A14" w:rsidP="00522786">
      <w:pPr>
        <w:spacing w:after="120"/>
        <w:ind w:left="270" w:right="-360"/>
        <w:rPr>
          <w:rFonts w:asciiTheme="majorHAnsi" w:hAnsiTheme="majorHAnsi" w:cstheme="majorHAnsi"/>
          <w:sz w:val="18"/>
          <w:szCs w:val="18"/>
        </w:rPr>
      </w:pPr>
      <w:r w:rsidRPr="00AA54A5">
        <w:rPr>
          <w:rFonts w:asciiTheme="majorHAnsi" w:hAnsiTheme="majorHAnsi" w:cstheme="majorHAnsi"/>
          <w:bCs/>
          <w:sz w:val="18"/>
          <w:szCs w:val="18"/>
          <w:u w:val="single"/>
        </w:rPr>
        <w:t>Manufacture Incident Report (MIR)</w:t>
      </w:r>
      <w:r w:rsidRPr="00AA54A5">
        <w:rPr>
          <w:rFonts w:asciiTheme="majorHAnsi" w:hAnsiTheme="majorHAnsi" w:cstheme="majorHAnsi"/>
          <w:bCs/>
          <w:sz w:val="18"/>
          <w:szCs w:val="18"/>
        </w:rPr>
        <w:t>: t</w:t>
      </w:r>
      <w:r w:rsidRPr="00AA54A5">
        <w:rPr>
          <w:rFonts w:asciiTheme="majorHAnsi" w:hAnsiTheme="majorHAnsi" w:cstheme="majorHAnsi"/>
          <w:sz w:val="18"/>
          <w:szCs w:val="18"/>
        </w:rPr>
        <w:t>he MDR requires manufacturers to report incidents where death or serious deterioration in the state of health of a person have occurred or near incidents which might have led to the death or serious deterioration in the health. Refer to MDR Art. 87 through 92.</w:t>
      </w:r>
      <w:r w:rsidR="003A46F0" w:rsidRPr="00AA54A5">
        <w:rPr>
          <w:rFonts w:asciiTheme="majorHAnsi" w:hAnsiTheme="majorHAnsi" w:cstheme="majorHAnsi"/>
          <w:sz w:val="18"/>
          <w:szCs w:val="18"/>
        </w:rPr>
        <w:t xml:space="preserve"> </w:t>
      </w:r>
    </w:p>
    <w:p w14:paraId="3A87213D" w14:textId="1B49870C" w:rsidR="00327A14" w:rsidRPr="00AA54A5" w:rsidRDefault="008D1AC7" w:rsidP="00522786">
      <w:pPr>
        <w:spacing w:after="120"/>
        <w:ind w:left="270" w:right="-360"/>
        <w:rPr>
          <w:rFonts w:asciiTheme="majorHAnsi" w:hAnsiTheme="majorHAnsi" w:cstheme="majorHAnsi"/>
          <w:bCs/>
          <w:sz w:val="18"/>
          <w:szCs w:val="18"/>
        </w:rPr>
      </w:pPr>
      <w:r w:rsidRPr="00AA54A5">
        <w:rPr>
          <w:rFonts w:asciiTheme="majorHAnsi" w:hAnsiTheme="majorHAnsi" w:cstheme="majorHAnsi"/>
          <w:sz w:val="18"/>
          <w:szCs w:val="18"/>
          <w:u w:val="single"/>
        </w:rPr>
        <w:t>Market Withdrawal</w:t>
      </w:r>
      <w:r w:rsidRPr="00AA54A5">
        <w:rPr>
          <w:rFonts w:asciiTheme="majorHAnsi" w:hAnsiTheme="majorHAnsi" w:cstheme="majorHAnsi"/>
          <w:sz w:val="18"/>
          <w:szCs w:val="18"/>
        </w:rPr>
        <w:t xml:space="preserve"> – Removal or correction of a distributed product, which involves a minor violation that would not be subject to legal action by the FDA or which involves no violation.</w:t>
      </w:r>
      <w:r w:rsidR="00327A14" w:rsidRPr="00AA54A5">
        <w:rPr>
          <w:rFonts w:asciiTheme="majorHAnsi" w:hAnsiTheme="majorHAnsi" w:cstheme="majorHAnsi"/>
          <w:sz w:val="18"/>
          <w:szCs w:val="18"/>
        </w:rPr>
        <w:t xml:space="preserve"> </w:t>
      </w:r>
      <w:r w:rsidR="00327A14" w:rsidRPr="00AA54A5">
        <w:rPr>
          <w:rFonts w:asciiTheme="majorHAnsi" w:hAnsiTheme="majorHAnsi" w:cstheme="majorHAnsi"/>
          <w:bCs/>
          <w:sz w:val="18"/>
          <w:szCs w:val="18"/>
          <w:u w:val="single"/>
        </w:rPr>
        <w:t>(</w:t>
      </w:r>
      <w:r w:rsidR="00327A14" w:rsidRPr="00AA54A5">
        <w:rPr>
          <w:rFonts w:asciiTheme="majorHAnsi" w:hAnsiTheme="majorHAnsi" w:cstheme="majorHAnsi"/>
          <w:bCs/>
          <w:sz w:val="18"/>
          <w:szCs w:val="18"/>
        </w:rPr>
        <w:t>MDR Article 2(63) any measure aimed at preventing a device in the supply chain from being further made available on the market</w:t>
      </w:r>
      <w:r w:rsidR="00E00428" w:rsidRPr="00AA54A5">
        <w:rPr>
          <w:rFonts w:asciiTheme="majorHAnsi" w:hAnsiTheme="majorHAnsi" w:cstheme="majorHAnsi"/>
          <w:bCs/>
          <w:sz w:val="18"/>
          <w:szCs w:val="18"/>
        </w:rPr>
        <w:t>.</w:t>
      </w:r>
    </w:p>
    <w:p w14:paraId="085FDB00" w14:textId="77777777" w:rsidR="00C40434" w:rsidRPr="00AA54A5" w:rsidRDefault="00C40434" w:rsidP="00522786">
      <w:pPr>
        <w:spacing w:after="120"/>
        <w:ind w:left="270" w:right="-360"/>
        <w:rPr>
          <w:rFonts w:asciiTheme="majorHAnsi" w:hAnsiTheme="majorHAnsi" w:cstheme="majorHAnsi"/>
          <w:sz w:val="18"/>
          <w:szCs w:val="18"/>
        </w:rPr>
      </w:pPr>
      <w:r w:rsidRPr="00AA54A5">
        <w:rPr>
          <w:rFonts w:asciiTheme="majorHAnsi" w:hAnsiTheme="majorHAnsi" w:cstheme="majorHAnsi"/>
          <w:sz w:val="18"/>
          <w:szCs w:val="18"/>
          <w:u w:val="single"/>
        </w:rPr>
        <w:t>Removal</w:t>
      </w:r>
      <w:r w:rsidRPr="00AA54A5">
        <w:rPr>
          <w:rFonts w:asciiTheme="majorHAnsi" w:hAnsiTheme="majorHAnsi" w:cstheme="majorHAnsi"/>
          <w:sz w:val="18"/>
          <w:szCs w:val="18"/>
        </w:rPr>
        <w:t xml:space="preserve"> – The physical removal of a device from its point of use to some other location for repair, modification, adjustment, relabeling, destruction or inspection. </w:t>
      </w:r>
    </w:p>
    <w:p w14:paraId="6061392F" w14:textId="5FC12F7D" w:rsidR="00C40434" w:rsidRPr="00AA54A5" w:rsidRDefault="00C40434" w:rsidP="00522786">
      <w:pPr>
        <w:autoSpaceDE w:val="0"/>
        <w:autoSpaceDN w:val="0"/>
        <w:adjustRightInd w:val="0"/>
        <w:ind w:left="270"/>
        <w:rPr>
          <w:rFonts w:asciiTheme="majorHAnsi" w:eastAsiaTheme="minorEastAsia" w:hAnsiTheme="majorHAnsi" w:cstheme="majorHAnsi"/>
          <w:sz w:val="18"/>
          <w:szCs w:val="18"/>
        </w:rPr>
      </w:pPr>
      <w:r w:rsidRPr="00AA54A5">
        <w:rPr>
          <w:rFonts w:asciiTheme="majorHAnsi" w:eastAsiaTheme="minorEastAsia" w:hAnsiTheme="majorHAnsi" w:cstheme="majorHAnsi"/>
          <w:sz w:val="18"/>
          <w:szCs w:val="18"/>
          <w:u w:val="single"/>
        </w:rPr>
        <w:t>Reporting to regulatory authorities</w:t>
      </w:r>
      <w:r w:rsidRPr="00AA54A5">
        <w:rPr>
          <w:rFonts w:asciiTheme="majorHAnsi" w:eastAsiaTheme="minorEastAsia" w:hAnsiTheme="majorHAnsi" w:cstheme="majorHAnsi"/>
          <w:sz w:val="18"/>
          <w:szCs w:val="18"/>
        </w:rPr>
        <w:t xml:space="preserve"> </w:t>
      </w:r>
      <w:proofErr w:type="gramStart"/>
      <w:r w:rsidRPr="00AA54A5">
        <w:rPr>
          <w:rFonts w:asciiTheme="majorHAnsi" w:eastAsiaTheme="minorEastAsia" w:hAnsiTheme="majorHAnsi" w:cstheme="majorHAnsi"/>
          <w:sz w:val="18"/>
          <w:szCs w:val="18"/>
        </w:rPr>
        <w:t>-  If</w:t>
      </w:r>
      <w:proofErr w:type="gramEnd"/>
      <w:r w:rsidRPr="00AA54A5">
        <w:rPr>
          <w:rFonts w:asciiTheme="majorHAnsi" w:eastAsiaTheme="minorEastAsia" w:hAnsiTheme="majorHAnsi" w:cstheme="majorHAnsi"/>
          <w:sz w:val="18"/>
          <w:szCs w:val="18"/>
        </w:rPr>
        <w:t xml:space="preserve"> applicable regulatory requirements require notification of complaints that meet specified reporting criteria of adverse events or issuance of advisory notices, the organization shall document procedures for providing notification to the appropriate regulatory authorities.</w:t>
      </w:r>
    </w:p>
    <w:p w14:paraId="1147BAE9" w14:textId="77777777" w:rsidR="0082743D" w:rsidRPr="00AA54A5" w:rsidRDefault="0082743D" w:rsidP="00522786">
      <w:pPr>
        <w:autoSpaceDE w:val="0"/>
        <w:autoSpaceDN w:val="0"/>
        <w:adjustRightInd w:val="0"/>
        <w:ind w:left="270"/>
        <w:rPr>
          <w:rFonts w:asciiTheme="majorHAnsi" w:hAnsiTheme="majorHAnsi" w:cstheme="majorHAnsi"/>
          <w:sz w:val="18"/>
          <w:szCs w:val="18"/>
          <w:u w:val="single"/>
        </w:rPr>
      </w:pPr>
    </w:p>
    <w:p w14:paraId="61308638" w14:textId="6AD279B7" w:rsidR="00C40434" w:rsidRPr="00AA54A5" w:rsidRDefault="00C40434" w:rsidP="00522786">
      <w:pPr>
        <w:spacing w:after="120"/>
        <w:ind w:left="270" w:right="-360"/>
        <w:rPr>
          <w:rFonts w:asciiTheme="majorHAnsi" w:hAnsiTheme="majorHAnsi" w:cstheme="majorHAnsi"/>
          <w:sz w:val="18"/>
          <w:szCs w:val="18"/>
        </w:rPr>
      </w:pPr>
      <w:r w:rsidRPr="00AA54A5">
        <w:rPr>
          <w:rFonts w:asciiTheme="majorHAnsi" w:hAnsiTheme="majorHAnsi" w:cstheme="majorHAnsi"/>
          <w:sz w:val="18"/>
          <w:szCs w:val="18"/>
          <w:u w:val="single"/>
        </w:rPr>
        <w:t>Risk to Health</w:t>
      </w:r>
      <w:r w:rsidRPr="00AA54A5">
        <w:rPr>
          <w:rFonts w:asciiTheme="majorHAnsi" w:hAnsiTheme="majorHAnsi" w:cstheme="majorHAnsi"/>
          <w:sz w:val="18"/>
          <w:szCs w:val="18"/>
        </w:rPr>
        <w:t xml:space="preserve"> – A reasonable probability that use of, or exposure tom the product will cause serious adverse health consequences, or death; or, that use of, or exposure to, the product may cause temporary or medically reversible adverse health consequences, or an outcome where the probability of serious adverse health consequences is remote. </w:t>
      </w:r>
    </w:p>
    <w:p w14:paraId="48C0D08C" w14:textId="2507238E" w:rsidR="00327A14" w:rsidRPr="00AA54A5" w:rsidRDefault="00327A14" w:rsidP="00522786">
      <w:pPr>
        <w:spacing w:after="120"/>
        <w:ind w:left="270" w:right="-360"/>
        <w:rPr>
          <w:rFonts w:asciiTheme="majorHAnsi" w:hAnsiTheme="majorHAnsi" w:cstheme="majorHAnsi"/>
          <w:sz w:val="18"/>
          <w:szCs w:val="18"/>
        </w:rPr>
      </w:pPr>
      <w:r w:rsidRPr="00AA54A5">
        <w:rPr>
          <w:rFonts w:asciiTheme="majorHAnsi" w:hAnsiTheme="majorHAnsi" w:cstheme="majorHAnsi"/>
          <w:bCs/>
          <w:sz w:val="18"/>
          <w:szCs w:val="18"/>
          <w:u w:val="single"/>
        </w:rPr>
        <w:t>Serious Incident (MDR Article 2(65))</w:t>
      </w:r>
      <w:r w:rsidRPr="00AA54A5">
        <w:rPr>
          <w:rFonts w:asciiTheme="majorHAnsi" w:hAnsiTheme="majorHAnsi" w:cstheme="majorHAnsi"/>
          <w:bCs/>
          <w:sz w:val="18"/>
          <w:szCs w:val="18"/>
        </w:rPr>
        <w:t xml:space="preserve">: </w:t>
      </w:r>
      <w:r w:rsidRPr="00AA54A5">
        <w:rPr>
          <w:rFonts w:asciiTheme="majorHAnsi" w:hAnsiTheme="majorHAnsi" w:cstheme="majorHAnsi"/>
          <w:sz w:val="18"/>
          <w:szCs w:val="18"/>
        </w:rPr>
        <w:t>any incident that directly or indirectly led, might have led or might lead to any of the following:</w:t>
      </w:r>
    </w:p>
    <w:p w14:paraId="7793708A" w14:textId="77777777" w:rsidR="00E00428" w:rsidRPr="00AA54A5" w:rsidRDefault="00E00428" w:rsidP="00522786">
      <w:pPr>
        <w:numPr>
          <w:ilvl w:val="2"/>
          <w:numId w:val="19"/>
        </w:numPr>
        <w:adjustRightInd w:val="0"/>
        <w:snapToGrid w:val="0"/>
        <w:spacing w:after="120"/>
        <w:ind w:left="1080"/>
        <w:rPr>
          <w:rFonts w:asciiTheme="majorHAnsi" w:hAnsiTheme="majorHAnsi" w:cstheme="majorHAnsi"/>
          <w:sz w:val="18"/>
          <w:szCs w:val="18"/>
        </w:rPr>
      </w:pPr>
      <w:r w:rsidRPr="00AA54A5">
        <w:rPr>
          <w:rFonts w:asciiTheme="majorHAnsi" w:hAnsiTheme="majorHAnsi" w:cstheme="majorHAnsi"/>
          <w:sz w:val="18"/>
          <w:szCs w:val="18"/>
        </w:rPr>
        <w:t>the death of a patient, user or other person,</w:t>
      </w:r>
    </w:p>
    <w:p w14:paraId="6E515B1C" w14:textId="77777777" w:rsidR="00E00428" w:rsidRPr="00AA54A5" w:rsidRDefault="00E00428" w:rsidP="00522786">
      <w:pPr>
        <w:numPr>
          <w:ilvl w:val="2"/>
          <w:numId w:val="19"/>
        </w:numPr>
        <w:adjustRightInd w:val="0"/>
        <w:snapToGrid w:val="0"/>
        <w:spacing w:after="120"/>
        <w:ind w:left="1080"/>
        <w:rPr>
          <w:rFonts w:asciiTheme="majorHAnsi" w:hAnsiTheme="majorHAnsi" w:cstheme="majorHAnsi"/>
          <w:sz w:val="18"/>
          <w:szCs w:val="18"/>
        </w:rPr>
      </w:pPr>
      <w:r w:rsidRPr="00AA54A5">
        <w:rPr>
          <w:rFonts w:asciiTheme="majorHAnsi" w:hAnsiTheme="majorHAnsi" w:cstheme="majorHAnsi"/>
          <w:sz w:val="18"/>
          <w:szCs w:val="18"/>
        </w:rPr>
        <w:t>the temporary or permanent serious deterioration of a patient’s, user’s or other person’s state of health,</w:t>
      </w:r>
    </w:p>
    <w:p w14:paraId="4221407A" w14:textId="77777777" w:rsidR="00E00428" w:rsidRPr="00AA54A5" w:rsidRDefault="00E00428" w:rsidP="00522786">
      <w:pPr>
        <w:numPr>
          <w:ilvl w:val="2"/>
          <w:numId w:val="19"/>
        </w:numPr>
        <w:adjustRightInd w:val="0"/>
        <w:snapToGrid w:val="0"/>
        <w:spacing w:after="120"/>
        <w:ind w:left="1080"/>
        <w:rPr>
          <w:rFonts w:asciiTheme="majorHAnsi" w:hAnsiTheme="majorHAnsi" w:cstheme="majorHAnsi"/>
          <w:sz w:val="18"/>
          <w:szCs w:val="18"/>
        </w:rPr>
      </w:pPr>
      <w:r w:rsidRPr="00AA54A5">
        <w:rPr>
          <w:rFonts w:asciiTheme="majorHAnsi" w:hAnsiTheme="majorHAnsi" w:cstheme="majorHAnsi"/>
          <w:sz w:val="18"/>
          <w:szCs w:val="18"/>
        </w:rPr>
        <w:t xml:space="preserve">a serious public health threat. </w:t>
      </w:r>
    </w:p>
    <w:p w14:paraId="10B3532D" w14:textId="77777777" w:rsidR="00E00428" w:rsidRPr="00AA54A5" w:rsidRDefault="00E00428" w:rsidP="00522786">
      <w:pPr>
        <w:numPr>
          <w:ilvl w:val="2"/>
          <w:numId w:val="19"/>
        </w:numPr>
        <w:adjustRightInd w:val="0"/>
        <w:snapToGrid w:val="0"/>
        <w:spacing w:after="120"/>
        <w:ind w:left="1080"/>
        <w:rPr>
          <w:rFonts w:asciiTheme="majorHAnsi" w:hAnsiTheme="majorHAnsi" w:cstheme="majorHAnsi"/>
          <w:sz w:val="18"/>
          <w:szCs w:val="18"/>
        </w:rPr>
      </w:pPr>
      <w:r w:rsidRPr="00AA54A5">
        <w:rPr>
          <w:rFonts w:asciiTheme="majorHAnsi" w:hAnsiTheme="majorHAnsi" w:cstheme="majorHAnsi"/>
          <w:bCs/>
          <w:sz w:val="18"/>
          <w:szCs w:val="18"/>
          <w:u w:val="single"/>
        </w:rPr>
        <w:t xml:space="preserve">Serious deterioration in state of health </w:t>
      </w:r>
      <w:r w:rsidRPr="00AA54A5">
        <w:rPr>
          <w:rFonts w:asciiTheme="majorHAnsi" w:hAnsiTheme="majorHAnsi" w:cstheme="majorHAnsi"/>
          <w:bCs/>
          <w:sz w:val="18"/>
          <w:szCs w:val="18"/>
        </w:rPr>
        <w:t xml:space="preserve">- </w:t>
      </w:r>
    </w:p>
    <w:p w14:paraId="4A8AAA6E" w14:textId="77777777" w:rsidR="00E00428" w:rsidRPr="00AA54A5" w:rsidRDefault="00E00428" w:rsidP="00522786">
      <w:pPr>
        <w:pStyle w:val="ListParagraph"/>
        <w:numPr>
          <w:ilvl w:val="0"/>
          <w:numId w:val="20"/>
        </w:numPr>
        <w:adjustRightInd w:val="0"/>
        <w:snapToGrid w:val="0"/>
        <w:spacing w:after="120"/>
        <w:ind w:left="1440"/>
        <w:rPr>
          <w:rFonts w:asciiTheme="majorHAnsi" w:hAnsiTheme="majorHAnsi" w:cstheme="majorHAnsi"/>
          <w:sz w:val="18"/>
          <w:szCs w:val="18"/>
        </w:rPr>
      </w:pPr>
      <w:r w:rsidRPr="00AA54A5">
        <w:rPr>
          <w:rFonts w:asciiTheme="majorHAnsi" w:hAnsiTheme="majorHAnsi" w:cstheme="majorHAnsi"/>
          <w:sz w:val="18"/>
          <w:szCs w:val="18"/>
        </w:rPr>
        <w:t xml:space="preserve">Life threatening illness / </w:t>
      </w:r>
      <w:proofErr w:type="gramStart"/>
      <w:r w:rsidRPr="00AA54A5">
        <w:rPr>
          <w:rFonts w:asciiTheme="majorHAnsi" w:hAnsiTheme="majorHAnsi" w:cstheme="majorHAnsi"/>
          <w:sz w:val="18"/>
          <w:szCs w:val="18"/>
        </w:rPr>
        <w:t>injury;</w:t>
      </w:r>
      <w:proofErr w:type="gramEnd"/>
    </w:p>
    <w:p w14:paraId="44B929EF" w14:textId="77777777" w:rsidR="00E00428" w:rsidRPr="00AA54A5" w:rsidRDefault="00E00428" w:rsidP="00522786">
      <w:pPr>
        <w:pStyle w:val="ListParagraph"/>
        <w:numPr>
          <w:ilvl w:val="0"/>
          <w:numId w:val="20"/>
        </w:numPr>
        <w:adjustRightInd w:val="0"/>
        <w:snapToGrid w:val="0"/>
        <w:spacing w:after="120"/>
        <w:ind w:left="1440"/>
        <w:rPr>
          <w:rFonts w:asciiTheme="majorHAnsi" w:hAnsiTheme="majorHAnsi" w:cstheme="majorHAnsi"/>
          <w:sz w:val="18"/>
          <w:szCs w:val="18"/>
        </w:rPr>
      </w:pPr>
      <w:r w:rsidRPr="00AA54A5">
        <w:rPr>
          <w:rFonts w:asciiTheme="majorHAnsi" w:hAnsiTheme="majorHAnsi" w:cstheme="majorHAnsi"/>
          <w:spacing w:val="-3"/>
          <w:sz w:val="18"/>
          <w:szCs w:val="18"/>
        </w:rPr>
        <w:t>I</w:t>
      </w:r>
      <w:r w:rsidRPr="00AA54A5">
        <w:rPr>
          <w:rFonts w:asciiTheme="majorHAnsi" w:hAnsiTheme="majorHAnsi" w:cstheme="majorHAnsi"/>
          <w:sz w:val="18"/>
          <w:szCs w:val="18"/>
        </w:rPr>
        <w:t xml:space="preserve">njuries or illness that result in permanent damage to a body structure or permanent impairment of a body </w:t>
      </w:r>
      <w:proofErr w:type="gramStart"/>
      <w:r w:rsidRPr="00AA54A5">
        <w:rPr>
          <w:rFonts w:asciiTheme="majorHAnsi" w:hAnsiTheme="majorHAnsi" w:cstheme="majorHAnsi"/>
          <w:sz w:val="18"/>
          <w:szCs w:val="18"/>
        </w:rPr>
        <w:t>function;</w:t>
      </w:r>
      <w:proofErr w:type="gramEnd"/>
      <w:r w:rsidRPr="00AA54A5">
        <w:rPr>
          <w:rFonts w:asciiTheme="majorHAnsi" w:hAnsiTheme="majorHAnsi" w:cstheme="majorHAnsi"/>
          <w:sz w:val="18"/>
          <w:szCs w:val="18"/>
        </w:rPr>
        <w:t xml:space="preserve"> </w:t>
      </w:r>
    </w:p>
    <w:p w14:paraId="0E8A85DA" w14:textId="77777777" w:rsidR="00E00428" w:rsidRPr="00AA54A5" w:rsidRDefault="00E00428" w:rsidP="00522786">
      <w:pPr>
        <w:pStyle w:val="ListParagraph"/>
        <w:numPr>
          <w:ilvl w:val="0"/>
          <w:numId w:val="20"/>
        </w:numPr>
        <w:adjustRightInd w:val="0"/>
        <w:snapToGrid w:val="0"/>
        <w:spacing w:after="120"/>
        <w:ind w:left="1440"/>
        <w:rPr>
          <w:rFonts w:asciiTheme="majorHAnsi" w:hAnsiTheme="majorHAnsi" w:cstheme="majorHAnsi"/>
          <w:sz w:val="18"/>
          <w:szCs w:val="18"/>
        </w:rPr>
      </w:pPr>
      <w:r w:rsidRPr="00AA54A5">
        <w:rPr>
          <w:rFonts w:asciiTheme="majorHAnsi" w:hAnsiTheme="majorHAnsi" w:cstheme="majorHAnsi"/>
          <w:spacing w:val="-3"/>
          <w:sz w:val="18"/>
          <w:szCs w:val="18"/>
        </w:rPr>
        <w:t xml:space="preserve">A condition necessitating </w:t>
      </w:r>
      <w:r w:rsidRPr="00AA54A5">
        <w:rPr>
          <w:rFonts w:asciiTheme="majorHAnsi" w:hAnsiTheme="majorHAnsi" w:cstheme="majorHAnsi"/>
          <w:sz w:val="18"/>
          <w:szCs w:val="18"/>
        </w:rPr>
        <w:t xml:space="preserve">medical or surgical to prevent the two (2) bullet points </w:t>
      </w:r>
      <w:proofErr w:type="gramStart"/>
      <w:r w:rsidRPr="00AA54A5">
        <w:rPr>
          <w:rFonts w:asciiTheme="majorHAnsi" w:hAnsiTheme="majorHAnsi" w:cstheme="majorHAnsi"/>
          <w:sz w:val="18"/>
          <w:szCs w:val="18"/>
        </w:rPr>
        <w:t>above;</w:t>
      </w:r>
      <w:proofErr w:type="gramEnd"/>
      <w:r w:rsidRPr="00AA54A5">
        <w:rPr>
          <w:rFonts w:asciiTheme="majorHAnsi" w:hAnsiTheme="majorHAnsi" w:cstheme="majorHAnsi"/>
          <w:sz w:val="18"/>
          <w:szCs w:val="18"/>
        </w:rPr>
        <w:t xml:space="preserve"> </w:t>
      </w:r>
    </w:p>
    <w:p w14:paraId="3393642B" w14:textId="77777777" w:rsidR="00E00428" w:rsidRPr="00AA54A5" w:rsidRDefault="00E00428" w:rsidP="00522786">
      <w:pPr>
        <w:pStyle w:val="ListParagraph"/>
        <w:numPr>
          <w:ilvl w:val="0"/>
          <w:numId w:val="20"/>
        </w:numPr>
        <w:adjustRightInd w:val="0"/>
        <w:snapToGrid w:val="0"/>
        <w:spacing w:after="120"/>
        <w:ind w:left="1440"/>
        <w:rPr>
          <w:rFonts w:asciiTheme="majorHAnsi" w:hAnsiTheme="majorHAnsi" w:cstheme="majorHAnsi"/>
          <w:sz w:val="18"/>
          <w:szCs w:val="18"/>
        </w:rPr>
      </w:pPr>
      <w:r w:rsidRPr="00AA54A5">
        <w:rPr>
          <w:rFonts w:asciiTheme="majorHAnsi" w:hAnsiTheme="majorHAnsi" w:cstheme="majorHAnsi"/>
          <w:sz w:val="18"/>
          <w:szCs w:val="18"/>
        </w:rPr>
        <w:t>Any indirect harm as a consequence of an incorrect diagnosis or IVD test results when used within the manufacturer instruction for use; and</w:t>
      </w:r>
    </w:p>
    <w:p w14:paraId="1DEBBBE1" w14:textId="38769E30" w:rsidR="00E00428" w:rsidRPr="00AA54A5" w:rsidRDefault="00E00428" w:rsidP="00522786">
      <w:pPr>
        <w:pStyle w:val="ListParagraph"/>
        <w:numPr>
          <w:ilvl w:val="0"/>
          <w:numId w:val="20"/>
        </w:numPr>
        <w:adjustRightInd w:val="0"/>
        <w:snapToGrid w:val="0"/>
        <w:spacing w:after="120"/>
        <w:ind w:left="1440"/>
        <w:rPr>
          <w:rFonts w:asciiTheme="majorHAnsi" w:hAnsiTheme="majorHAnsi" w:cstheme="majorHAnsi"/>
          <w:sz w:val="18"/>
          <w:szCs w:val="18"/>
        </w:rPr>
      </w:pPr>
      <w:r w:rsidRPr="00AA54A5">
        <w:rPr>
          <w:rFonts w:asciiTheme="majorHAnsi" w:hAnsiTheme="majorHAnsi" w:cstheme="majorHAnsi"/>
          <w:sz w:val="18"/>
          <w:szCs w:val="18"/>
        </w:rPr>
        <w:t>Fetal distress, fetal death or congenital abnormality or birth defects.</w:t>
      </w:r>
    </w:p>
    <w:p w14:paraId="399F65BD" w14:textId="30B73439" w:rsidR="00E00428" w:rsidRPr="00AA54A5" w:rsidRDefault="00E00428" w:rsidP="00522786">
      <w:pPr>
        <w:adjustRightInd w:val="0"/>
        <w:snapToGrid w:val="0"/>
        <w:spacing w:after="120"/>
        <w:ind w:left="360"/>
        <w:rPr>
          <w:rFonts w:asciiTheme="majorHAnsi" w:hAnsiTheme="majorHAnsi" w:cstheme="majorHAnsi"/>
          <w:sz w:val="18"/>
          <w:szCs w:val="18"/>
        </w:rPr>
      </w:pPr>
      <w:r w:rsidRPr="00AA54A5">
        <w:rPr>
          <w:rFonts w:asciiTheme="majorHAnsi" w:hAnsiTheme="majorHAnsi" w:cstheme="majorHAnsi"/>
          <w:sz w:val="18"/>
          <w:szCs w:val="18"/>
          <w:u w:val="single"/>
        </w:rPr>
        <w:t>Serious Public Health Threat (MDR Article 2(66))</w:t>
      </w:r>
      <w:r w:rsidRPr="00AA54A5">
        <w:rPr>
          <w:rFonts w:asciiTheme="majorHAnsi" w:hAnsiTheme="majorHAnsi" w:cstheme="majorHAnsi"/>
          <w:sz w:val="18"/>
          <w:szCs w:val="18"/>
        </w:rPr>
        <w:t>: an event which could result in imminent risk of death, serious deterioration in a person’s state of health, or serious illness, that may require prompt remedial action, and that may cause significant morbidity or mortality in humans, or that is unusual or unexpected for the give place and time.</w:t>
      </w:r>
    </w:p>
    <w:p w14:paraId="7F5B2F4B" w14:textId="6832401D" w:rsidR="00C40434" w:rsidRPr="00AA54A5" w:rsidRDefault="00C40434" w:rsidP="00522786">
      <w:pPr>
        <w:adjustRightInd w:val="0"/>
        <w:snapToGrid w:val="0"/>
        <w:spacing w:after="120"/>
        <w:ind w:left="360"/>
        <w:rPr>
          <w:rFonts w:asciiTheme="majorHAnsi" w:hAnsiTheme="majorHAnsi" w:cstheme="majorHAnsi"/>
          <w:sz w:val="18"/>
          <w:szCs w:val="18"/>
        </w:rPr>
      </w:pPr>
      <w:r w:rsidRPr="00AA54A5">
        <w:rPr>
          <w:rFonts w:asciiTheme="majorHAnsi" w:hAnsiTheme="majorHAnsi" w:cstheme="majorHAnsi"/>
          <w:sz w:val="18"/>
          <w:szCs w:val="18"/>
          <w:u w:val="single"/>
        </w:rPr>
        <w:t>Stock Recovery</w:t>
      </w:r>
      <w:r w:rsidRPr="00AA54A5">
        <w:rPr>
          <w:rFonts w:asciiTheme="majorHAnsi" w:hAnsiTheme="majorHAnsi" w:cstheme="majorHAnsi"/>
          <w:sz w:val="18"/>
          <w:szCs w:val="18"/>
        </w:rPr>
        <w:t xml:space="preserve"> – The correction or removal of a device that has not been marketed or that has not left the direct control of the manufacturer, i.e. the device is located on the premises owned, or under the control of, the manufacturer, and no portion of the lot, model, code or other relevant unit involved in the corrective or removal action has been released for sale or use.</w:t>
      </w:r>
    </w:p>
    <w:p w14:paraId="6C78D651" w14:textId="747AEE68" w:rsidR="00E00428" w:rsidRPr="00AA54A5" w:rsidRDefault="00E00428" w:rsidP="00522786">
      <w:pPr>
        <w:adjustRightInd w:val="0"/>
        <w:snapToGrid w:val="0"/>
        <w:spacing w:after="120"/>
        <w:ind w:left="360"/>
        <w:rPr>
          <w:rFonts w:asciiTheme="majorHAnsi" w:hAnsiTheme="majorHAnsi" w:cstheme="majorHAnsi"/>
          <w:sz w:val="18"/>
          <w:szCs w:val="18"/>
        </w:rPr>
      </w:pPr>
      <w:r w:rsidRPr="00AA54A5">
        <w:rPr>
          <w:rFonts w:asciiTheme="majorHAnsi" w:hAnsiTheme="majorHAnsi" w:cstheme="majorHAnsi"/>
          <w:sz w:val="18"/>
          <w:szCs w:val="18"/>
          <w:u w:val="single"/>
        </w:rPr>
        <w:t>Technical Documentation (TD)</w:t>
      </w:r>
      <w:r w:rsidRPr="00AA54A5">
        <w:rPr>
          <w:rFonts w:asciiTheme="majorHAnsi" w:hAnsiTheme="majorHAnsi" w:cstheme="majorHAnsi"/>
          <w:sz w:val="18"/>
          <w:szCs w:val="18"/>
        </w:rPr>
        <w:t>: the name given to the EU regulatory documentation / file for all medical devices.</w:t>
      </w:r>
      <w:r w:rsidR="00522786">
        <w:rPr>
          <w:rFonts w:asciiTheme="majorHAnsi" w:hAnsiTheme="majorHAnsi" w:cstheme="majorHAnsi"/>
          <w:sz w:val="18"/>
          <w:szCs w:val="18"/>
        </w:rPr>
        <w:br/>
      </w:r>
    </w:p>
    <w:p w14:paraId="39679D77" w14:textId="75CC12B7" w:rsidR="008D1AC7" w:rsidRPr="00AA54A5" w:rsidRDefault="008D1AC7" w:rsidP="00522786">
      <w:pPr>
        <w:ind w:left="274" w:right="-360"/>
        <w:rPr>
          <w:rFonts w:asciiTheme="majorHAnsi" w:hAnsiTheme="majorHAnsi" w:cstheme="majorHAnsi"/>
          <w:b/>
          <w:bCs/>
          <w:sz w:val="18"/>
          <w:szCs w:val="18"/>
        </w:rPr>
      </w:pPr>
      <w:r w:rsidRPr="00AA54A5">
        <w:rPr>
          <w:rFonts w:asciiTheme="majorHAnsi" w:hAnsiTheme="majorHAnsi" w:cstheme="majorHAnsi"/>
          <w:b/>
          <w:bCs/>
          <w:sz w:val="18"/>
          <w:szCs w:val="18"/>
          <w:u w:val="single"/>
        </w:rPr>
        <w:lastRenderedPageBreak/>
        <w:t>Recall</w:t>
      </w:r>
      <w:r w:rsidRPr="00AA54A5">
        <w:rPr>
          <w:rFonts w:asciiTheme="majorHAnsi" w:hAnsiTheme="majorHAnsi" w:cstheme="majorHAnsi"/>
          <w:b/>
          <w:bCs/>
          <w:sz w:val="18"/>
          <w:szCs w:val="18"/>
        </w:rPr>
        <w:t xml:space="preserve"> – See below.</w:t>
      </w:r>
    </w:p>
    <w:p w14:paraId="30F6E1DB" w14:textId="77777777" w:rsidR="00E01E46" w:rsidRPr="00AA54A5" w:rsidRDefault="00E01E46" w:rsidP="00522786">
      <w:pPr>
        <w:ind w:left="274" w:right="-360"/>
        <w:rPr>
          <w:rFonts w:asciiTheme="majorHAnsi" w:hAnsiTheme="majorHAnsi" w:cstheme="majorHAnsi"/>
          <w:b/>
          <w:bCs/>
          <w:sz w:val="18"/>
          <w:szCs w:val="18"/>
        </w:rPr>
      </w:pPr>
    </w:p>
    <w:p w14:paraId="272C9E92" w14:textId="77777777" w:rsidR="00E01E46" w:rsidRPr="00AA54A5" w:rsidRDefault="008D1AC7" w:rsidP="00522786">
      <w:pPr>
        <w:ind w:left="274"/>
        <w:rPr>
          <w:rFonts w:asciiTheme="majorHAnsi" w:hAnsiTheme="majorHAnsi" w:cstheme="majorHAnsi"/>
          <w:sz w:val="18"/>
          <w:szCs w:val="18"/>
        </w:rPr>
      </w:pPr>
      <w:r w:rsidRPr="00AA54A5">
        <w:rPr>
          <w:rFonts w:asciiTheme="majorHAnsi" w:hAnsiTheme="majorHAnsi" w:cstheme="majorHAnsi"/>
          <w:sz w:val="18"/>
          <w:szCs w:val="18"/>
          <w:u w:val="single"/>
        </w:rPr>
        <w:t>US</w:t>
      </w:r>
      <w:r w:rsidRPr="00AA54A5">
        <w:rPr>
          <w:rFonts w:asciiTheme="majorHAnsi" w:hAnsiTheme="majorHAnsi" w:cstheme="majorHAnsi"/>
          <w:sz w:val="18"/>
          <w:szCs w:val="18"/>
        </w:rPr>
        <w:t>: a firm’s removal or correction of a marketed product that the FDA considers to be in violation of the laws it administers and against which the agency would initiate legal action, e.g. seizure. Recall does not include a market withdrawal or a stock recovery.</w:t>
      </w:r>
      <w:r w:rsidR="006C0D64" w:rsidRPr="00AA54A5">
        <w:rPr>
          <w:rFonts w:asciiTheme="majorHAnsi" w:hAnsiTheme="majorHAnsi" w:cstheme="majorHAnsi"/>
          <w:sz w:val="18"/>
          <w:szCs w:val="18"/>
        </w:rPr>
        <w:t xml:space="preserve">  See QSP 9.1-2 Recalls – US FDA</w:t>
      </w:r>
      <w:r w:rsidR="00E01E46" w:rsidRPr="00AA54A5">
        <w:rPr>
          <w:rFonts w:asciiTheme="majorHAnsi" w:hAnsiTheme="majorHAnsi" w:cstheme="majorHAnsi"/>
          <w:sz w:val="18"/>
          <w:szCs w:val="18"/>
        </w:rPr>
        <w:t xml:space="preserve">. </w:t>
      </w:r>
      <w:hyperlink r:id="rId27" w:history="1">
        <w:r w:rsidR="00E01E46" w:rsidRPr="00AA54A5">
          <w:rPr>
            <w:rStyle w:val="Hyperlink"/>
            <w:rFonts w:asciiTheme="majorHAnsi" w:hAnsiTheme="majorHAnsi" w:cstheme="majorHAnsi"/>
            <w:sz w:val="18"/>
            <w:szCs w:val="18"/>
          </w:rPr>
          <w:t>https://www.fda.gov/medical-devices/postmarket-requirements-devices/recalls-corrections-and-removals-devices</w:t>
        </w:r>
      </w:hyperlink>
    </w:p>
    <w:p w14:paraId="2318A241" w14:textId="6CA1BA7E" w:rsidR="006C0D64" w:rsidRPr="00AA54A5" w:rsidRDefault="006C0D64" w:rsidP="00522786">
      <w:pPr>
        <w:ind w:left="446" w:right="-360"/>
        <w:jc w:val="both"/>
        <w:rPr>
          <w:rFonts w:asciiTheme="majorHAnsi" w:hAnsiTheme="majorHAnsi" w:cstheme="majorHAnsi"/>
          <w:sz w:val="18"/>
          <w:szCs w:val="18"/>
        </w:rPr>
      </w:pPr>
    </w:p>
    <w:p w14:paraId="67F4207C" w14:textId="5F59B12A" w:rsidR="00E01E46" w:rsidRPr="00AA54A5" w:rsidRDefault="008D1AC7" w:rsidP="00522786">
      <w:pPr>
        <w:ind w:left="274"/>
        <w:rPr>
          <w:rFonts w:asciiTheme="majorHAnsi" w:hAnsiTheme="majorHAnsi" w:cstheme="majorHAnsi"/>
          <w:sz w:val="18"/>
          <w:szCs w:val="18"/>
        </w:rPr>
      </w:pPr>
      <w:r w:rsidRPr="00AA54A5">
        <w:rPr>
          <w:rFonts w:asciiTheme="majorHAnsi" w:hAnsiTheme="majorHAnsi" w:cstheme="majorHAnsi"/>
          <w:sz w:val="18"/>
          <w:szCs w:val="18"/>
          <w:u w:val="single"/>
        </w:rPr>
        <w:t>Canada</w:t>
      </w:r>
      <w:r w:rsidRPr="00AA54A5">
        <w:rPr>
          <w:rFonts w:asciiTheme="majorHAnsi" w:hAnsiTheme="majorHAnsi" w:cstheme="majorHAnsi"/>
          <w:sz w:val="18"/>
          <w:szCs w:val="18"/>
        </w:rPr>
        <w:t xml:space="preserve">: in respect of a medical device that has been sold, means any action taken by the manufacturer, importer or distributor of the device to recall or correct the device, or to notify its owners and users of its defectiveness or potential defectiveness, after becoming aware that the device </w:t>
      </w:r>
      <w:r w:rsidR="00E01E46" w:rsidRPr="00AA54A5">
        <w:rPr>
          <w:rFonts w:asciiTheme="majorHAnsi" w:hAnsiTheme="majorHAnsi" w:cstheme="majorHAnsi"/>
          <w:sz w:val="18"/>
          <w:szCs w:val="18"/>
        </w:rPr>
        <w:t xml:space="preserve">Health Canada’s Medical Device Regulations (CDMR) </w:t>
      </w:r>
      <w:hyperlink r:id="rId28" w:history="1">
        <w:r w:rsidR="00E01E46" w:rsidRPr="00AA54A5">
          <w:rPr>
            <w:rStyle w:val="Hyperlink"/>
            <w:rFonts w:asciiTheme="majorHAnsi" w:hAnsiTheme="majorHAnsi" w:cstheme="majorHAnsi"/>
            <w:sz w:val="18"/>
            <w:szCs w:val="18"/>
          </w:rPr>
          <w:t>https://www.canada.ca/en/health-canada/services/drugs-health-products/medical-devices/legislation-guidelines.html</w:t>
        </w:r>
      </w:hyperlink>
    </w:p>
    <w:p w14:paraId="68DACC92" w14:textId="26AFD29B" w:rsidR="008D1AC7" w:rsidRPr="00AA54A5" w:rsidRDefault="008D1AC7" w:rsidP="00522786">
      <w:pPr>
        <w:ind w:left="446" w:right="-360"/>
        <w:jc w:val="both"/>
        <w:rPr>
          <w:rFonts w:asciiTheme="majorHAnsi" w:hAnsiTheme="majorHAnsi" w:cstheme="majorHAnsi"/>
          <w:sz w:val="18"/>
          <w:szCs w:val="18"/>
        </w:rPr>
      </w:pPr>
    </w:p>
    <w:p w14:paraId="3317679F" w14:textId="1D1E3D43" w:rsidR="00E01E46" w:rsidRPr="00AA54A5" w:rsidRDefault="002E2A89" w:rsidP="00522786">
      <w:pPr>
        <w:ind w:left="274"/>
        <w:rPr>
          <w:rFonts w:asciiTheme="majorHAnsi" w:hAnsiTheme="majorHAnsi" w:cstheme="majorHAnsi"/>
          <w:sz w:val="18"/>
          <w:szCs w:val="18"/>
        </w:rPr>
      </w:pPr>
      <w:r w:rsidRPr="00AA54A5">
        <w:rPr>
          <w:rFonts w:asciiTheme="majorHAnsi" w:hAnsiTheme="majorHAnsi" w:cstheme="majorHAnsi"/>
          <w:sz w:val="18"/>
          <w:szCs w:val="18"/>
          <w:u w:val="single"/>
        </w:rPr>
        <w:t>Europe</w:t>
      </w:r>
      <w:r w:rsidRPr="00AA54A5">
        <w:rPr>
          <w:rFonts w:asciiTheme="majorHAnsi" w:hAnsiTheme="majorHAnsi" w:cstheme="majorHAnsi"/>
          <w:sz w:val="18"/>
          <w:szCs w:val="18"/>
        </w:rPr>
        <w:t>: see definition of Field Safety Corrective Action (FSCA)-EU</w:t>
      </w:r>
      <w:r w:rsidR="00C40434" w:rsidRPr="00AA54A5">
        <w:rPr>
          <w:rFonts w:asciiTheme="majorHAnsi" w:hAnsiTheme="majorHAnsi" w:cstheme="majorHAnsi"/>
          <w:sz w:val="18"/>
          <w:szCs w:val="18"/>
        </w:rPr>
        <w:t xml:space="preserve"> – Section 8.6 </w:t>
      </w:r>
      <w:r w:rsidR="00192104" w:rsidRPr="00AA54A5">
        <w:rPr>
          <w:rFonts w:asciiTheme="majorHAnsi" w:hAnsiTheme="majorHAnsi" w:cstheme="majorHAnsi"/>
          <w:sz w:val="18"/>
          <w:szCs w:val="18"/>
        </w:rPr>
        <w:t xml:space="preserve"> </w:t>
      </w:r>
      <w:r w:rsidR="00192104" w:rsidRPr="00AA54A5">
        <w:rPr>
          <w:rFonts w:asciiTheme="majorHAnsi" w:hAnsiTheme="majorHAnsi" w:cstheme="majorHAnsi"/>
          <w:sz w:val="18"/>
          <w:szCs w:val="18"/>
          <w:u w:val="single"/>
        </w:rPr>
        <w:t>(</w:t>
      </w:r>
      <w:r w:rsidR="00192104" w:rsidRPr="00AA54A5">
        <w:rPr>
          <w:rFonts w:asciiTheme="majorHAnsi" w:hAnsiTheme="majorHAnsi" w:cstheme="majorHAnsi"/>
          <w:color w:val="000000"/>
          <w:sz w:val="18"/>
          <w:szCs w:val="18"/>
          <w:u w:val="single"/>
        </w:rPr>
        <w:t>MDR Article 2(68))</w:t>
      </w:r>
      <w:r w:rsidR="00E01E46" w:rsidRPr="00AA54A5">
        <w:rPr>
          <w:rFonts w:asciiTheme="majorHAnsi" w:hAnsiTheme="majorHAnsi" w:cstheme="majorHAnsi"/>
          <w:sz w:val="18"/>
          <w:szCs w:val="18"/>
        </w:rPr>
        <w:t xml:space="preserve"> </w:t>
      </w:r>
      <w:hyperlink r:id="rId29" w:history="1">
        <w:r w:rsidR="00E01E46" w:rsidRPr="00AA54A5">
          <w:rPr>
            <w:rStyle w:val="Hyperlink"/>
            <w:rFonts w:asciiTheme="majorHAnsi" w:hAnsiTheme="majorHAnsi" w:cstheme="majorHAnsi"/>
            <w:sz w:val="18"/>
            <w:szCs w:val="18"/>
          </w:rPr>
          <w:t>https://eur-lex.europa.eu/legal-content/EN/TXT/?uri=OJ:L:2017:117:TOC</w:t>
        </w:r>
      </w:hyperlink>
    </w:p>
    <w:p w14:paraId="096370AF" w14:textId="37E56445" w:rsidR="002E2A89" w:rsidRPr="00AA54A5" w:rsidRDefault="002E2A89" w:rsidP="00522786">
      <w:pPr>
        <w:ind w:left="446" w:right="-360"/>
        <w:jc w:val="both"/>
        <w:rPr>
          <w:rFonts w:asciiTheme="majorHAnsi" w:hAnsiTheme="majorHAnsi" w:cstheme="majorHAnsi"/>
          <w:sz w:val="18"/>
          <w:szCs w:val="18"/>
        </w:rPr>
      </w:pPr>
    </w:p>
    <w:p w14:paraId="7C3CE720" w14:textId="2D559356" w:rsidR="00812E55" w:rsidRPr="00AA54A5" w:rsidRDefault="00812E55" w:rsidP="00522786">
      <w:pPr>
        <w:ind w:left="274"/>
        <w:rPr>
          <w:rFonts w:asciiTheme="majorHAnsi" w:hAnsiTheme="majorHAnsi" w:cstheme="majorHAnsi"/>
          <w:sz w:val="18"/>
          <w:szCs w:val="18"/>
        </w:rPr>
      </w:pPr>
      <w:r w:rsidRPr="00AA54A5">
        <w:rPr>
          <w:rFonts w:asciiTheme="majorHAnsi" w:hAnsiTheme="majorHAnsi" w:cstheme="majorHAnsi"/>
          <w:sz w:val="18"/>
          <w:szCs w:val="18"/>
          <w:u w:val="single"/>
        </w:rPr>
        <w:t>Japan</w:t>
      </w:r>
      <w:r w:rsidRPr="00AA54A5">
        <w:rPr>
          <w:rFonts w:asciiTheme="majorHAnsi" w:hAnsiTheme="majorHAnsi" w:cstheme="majorHAnsi"/>
          <w:sz w:val="18"/>
          <w:szCs w:val="18"/>
        </w:rPr>
        <w:t xml:space="preserve">: JAPANs PMDA see </w:t>
      </w:r>
      <w:hyperlink r:id="rId30" w:history="1">
        <w:r w:rsidRPr="00AA54A5">
          <w:rPr>
            <w:rStyle w:val="Hyperlink"/>
            <w:rFonts w:asciiTheme="majorHAnsi" w:hAnsiTheme="majorHAnsi" w:cstheme="majorHAnsi"/>
            <w:sz w:val="18"/>
            <w:szCs w:val="18"/>
          </w:rPr>
          <w:t>https://www.pmda.go.jp/english/about-pmda/0004.html</w:t>
        </w:r>
      </w:hyperlink>
    </w:p>
    <w:p w14:paraId="764471B9" w14:textId="2867089D" w:rsidR="00812E55" w:rsidRPr="00AA54A5" w:rsidRDefault="00812E55" w:rsidP="00522786">
      <w:pPr>
        <w:ind w:left="446" w:right="-360"/>
        <w:jc w:val="both"/>
        <w:rPr>
          <w:rFonts w:asciiTheme="majorHAnsi" w:hAnsiTheme="majorHAnsi" w:cstheme="majorHAnsi"/>
          <w:sz w:val="18"/>
          <w:szCs w:val="18"/>
        </w:rPr>
      </w:pPr>
    </w:p>
    <w:p w14:paraId="62682210" w14:textId="3D04470C" w:rsidR="00E01E46" w:rsidRPr="00AA54A5" w:rsidRDefault="00E01E46" w:rsidP="00522786">
      <w:pPr>
        <w:ind w:left="274"/>
        <w:rPr>
          <w:rStyle w:val="Hyperlink"/>
          <w:rFonts w:asciiTheme="majorHAnsi" w:hAnsiTheme="majorHAnsi" w:cstheme="majorHAnsi"/>
          <w:sz w:val="18"/>
          <w:szCs w:val="18"/>
        </w:rPr>
      </w:pPr>
      <w:r w:rsidRPr="00AA54A5">
        <w:rPr>
          <w:rFonts w:asciiTheme="majorHAnsi" w:hAnsiTheme="majorHAnsi" w:cstheme="majorHAnsi"/>
          <w:sz w:val="18"/>
          <w:szCs w:val="18"/>
          <w:u w:val="single"/>
        </w:rPr>
        <w:t>Brazil</w:t>
      </w:r>
      <w:r w:rsidRPr="00AA54A5">
        <w:rPr>
          <w:rFonts w:asciiTheme="majorHAnsi" w:hAnsiTheme="majorHAnsi" w:cstheme="majorHAnsi"/>
          <w:sz w:val="18"/>
          <w:szCs w:val="18"/>
        </w:rPr>
        <w:t xml:space="preserve">: see </w:t>
      </w:r>
      <w:hyperlink r:id="rId31" w:history="1">
        <w:r w:rsidRPr="00AA54A5">
          <w:rPr>
            <w:rStyle w:val="Hyperlink"/>
            <w:rFonts w:asciiTheme="majorHAnsi" w:hAnsiTheme="majorHAnsi" w:cstheme="majorHAnsi"/>
            <w:sz w:val="18"/>
            <w:szCs w:val="18"/>
          </w:rPr>
          <w:t>https://www.fda.gov/media/93179/download</w:t>
        </w:r>
      </w:hyperlink>
    </w:p>
    <w:p w14:paraId="40AE1DD8" w14:textId="3A6649FC" w:rsidR="00E01E46" w:rsidRPr="00AA54A5" w:rsidRDefault="00E01E46" w:rsidP="00522786">
      <w:pPr>
        <w:ind w:left="446"/>
        <w:rPr>
          <w:rFonts w:asciiTheme="majorHAnsi" w:hAnsiTheme="majorHAnsi" w:cstheme="majorHAnsi"/>
          <w:sz w:val="18"/>
          <w:szCs w:val="18"/>
        </w:rPr>
      </w:pPr>
    </w:p>
    <w:p w14:paraId="42E32F9A" w14:textId="4869AD73" w:rsidR="00E01E46" w:rsidRPr="00AA54A5" w:rsidRDefault="00E01E46" w:rsidP="00522786">
      <w:pPr>
        <w:ind w:left="270"/>
        <w:rPr>
          <w:rFonts w:asciiTheme="majorHAnsi" w:hAnsiTheme="majorHAnsi" w:cstheme="majorHAnsi"/>
          <w:sz w:val="18"/>
          <w:szCs w:val="18"/>
        </w:rPr>
      </w:pPr>
      <w:r w:rsidRPr="00AA54A5">
        <w:rPr>
          <w:rFonts w:asciiTheme="majorHAnsi" w:hAnsiTheme="majorHAnsi" w:cstheme="majorHAnsi"/>
          <w:sz w:val="18"/>
          <w:szCs w:val="18"/>
          <w:u w:val="single"/>
        </w:rPr>
        <w:t>Australia</w:t>
      </w:r>
      <w:r w:rsidRPr="00AA54A5">
        <w:rPr>
          <w:rFonts w:asciiTheme="majorHAnsi" w:hAnsiTheme="majorHAnsi" w:cstheme="majorHAnsi"/>
          <w:sz w:val="18"/>
          <w:szCs w:val="18"/>
        </w:rPr>
        <w:t xml:space="preserve">:  see TGA’s Adverse Events </w:t>
      </w:r>
      <w:hyperlink r:id="rId32" w:history="1">
        <w:r w:rsidRPr="00AA54A5">
          <w:rPr>
            <w:rStyle w:val="Hyperlink"/>
            <w:rFonts w:asciiTheme="majorHAnsi" w:hAnsiTheme="majorHAnsi" w:cstheme="majorHAnsi"/>
            <w:sz w:val="18"/>
            <w:szCs w:val="18"/>
          </w:rPr>
          <w:t>https://www.tga.gov.au/reporting-adverse-events</w:t>
        </w:r>
      </w:hyperlink>
    </w:p>
    <w:p w14:paraId="4A6E9202" w14:textId="1869E5E8" w:rsidR="002E2A89" w:rsidRPr="00AA54A5" w:rsidRDefault="002E2A89" w:rsidP="00AA54A5">
      <w:pPr>
        <w:spacing w:after="120"/>
        <w:ind w:right="-360"/>
        <w:jc w:val="both"/>
        <w:rPr>
          <w:rFonts w:asciiTheme="majorHAnsi" w:hAnsiTheme="majorHAnsi" w:cstheme="majorHAnsi"/>
          <w:sz w:val="18"/>
          <w:szCs w:val="18"/>
        </w:rPr>
      </w:pPr>
    </w:p>
    <w:p w14:paraId="7CC21B56" w14:textId="6E783B97" w:rsidR="003A46F0" w:rsidRPr="00AA54A5" w:rsidRDefault="003A46F0" w:rsidP="00FE47F6">
      <w:pPr>
        <w:pStyle w:val="ListParagraph"/>
        <w:numPr>
          <w:ilvl w:val="0"/>
          <w:numId w:val="1"/>
        </w:numPr>
        <w:spacing w:after="120"/>
        <w:ind w:left="274"/>
        <w:jc w:val="both"/>
        <w:rPr>
          <w:rFonts w:asciiTheme="majorHAnsi" w:hAnsiTheme="majorHAnsi" w:cstheme="majorHAnsi"/>
          <w:b/>
        </w:rPr>
      </w:pPr>
      <w:r w:rsidRPr="00AA54A5">
        <w:rPr>
          <w:rFonts w:asciiTheme="majorHAnsi" w:hAnsiTheme="majorHAnsi" w:cstheme="majorHAnsi"/>
          <w:b/>
        </w:rPr>
        <w:t>ABBREVIATIONS</w:t>
      </w:r>
    </w:p>
    <w:tbl>
      <w:tblPr>
        <w:tblStyle w:val="TableGrid"/>
        <w:tblW w:w="0" w:type="auto"/>
        <w:tblInd w:w="2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6"/>
      </w:tblGrid>
      <w:tr w:rsidR="00A76E5A" w:rsidRPr="00AA54A5" w14:paraId="7656B4A1" w14:textId="77777777" w:rsidTr="00A76E5A">
        <w:tc>
          <w:tcPr>
            <w:tcW w:w="9350" w:type="dxa"/>
          </w:tcPr>
          <w:p w14:paraId="79456593" w14:textId="56D98463" w:rsidR="00A76E5A" w:rsidRPr="00AA54A5" w:rsidRDefault="00A76E5A" w:rsidP="00A76E5A">
            <w:p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AR – Authorized Representative</w:t>
            </w:r>
          </w:p>
        </w:tc>
      </w:tr>
      <w:tr w:rsidR="00A76E5A" w:rsidRPr="00AA54A5" w14:paraId="344CC12F" w14:textId="77777777" w:rsidTr="00A76E5A">
        <w:tc>
          <w:tcPr>
            <w:tcW w:w="9350" w:type="dxa"/>
          </w:tcPr>
          <w:p w14:paraId="775C8AFB" w14:textId="4A780B63" w:rsidR="00A76E5A" w:rsidRPr="00AA54A5" w:rsidRDefault="00A76E5A" w:rsidP="00A76E5A">
            <w:p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CA – Competent Authority</w:t>
            </w:r>
          </w:p>
        </w:tc>
      </w:tr>
      <w:tr w:rsidR="00A76E5A" w:rsidRPr="00AA54A5" w14:paraId="3809FF1E" w14:textId="77777777" w:rsidTr="00A76E5A">
        <w:tc>
          <w:tcPr>
            <w:tcW w:w="9350" w:type="dxa"/>
          </w:tcPr>
          <w:p w14:paraId="1545F663" w14:textId="5E827BC6"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EEA – European Economic Area</w:t>
            </w:r>
          </w:p>
        </w:tc>
      </w:tr>
      <w:tr w:rsidR="00A76E5A" w:rsidRPr="00AA54A5" w14:paraId="4B8508F5" w14:textId="77777777" w:rsidTr="00A76E5A">
        <w:tc>
          <w:tcPr>
            <w:tcW w:w="9350" w:type="dxa"/>
          </w:tcPr>
          <w:p w14:paraId="26B3670C" w14:textId="0CE7DE84"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EFTA – European Free Trade Association</w:t>
            </w:r>
          </w:p>
        </w:tc>
      </w:tr>
      <w:tr w:rsidR="00A76E5A" w:rsidRPr="00AA54A5" w14:paraId="6B74F34A" w14:textId="77777777" w:rsidTr="00A76E5A">
        <w:tc>
          <w:tcPr>
            <w:tcW w:w="9350" w:type="dxa"/>
          </w:tcPr>
          <w:p w14:paraId="50CD34F1" w14:textId="76ADCCA3"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EU – European Union</w:t>
            </w:r>
          </w:p>
        </w:tc>
      </w:tr>
      <w:tr w:rsidR="00A76E5A" w:rsidRPr="00AA54A5" w14:paraId="5A62751B" w14:textId="77777777" w:rsidTr="00A76E5A">
        <w:tc>
          <w:tcPr>
            <w:tcW w:w="9350" w:type="dxa"/>
          </w:tcPr>
          <w:p w14:paraId="07E79597" w14:textId="77C4712C"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FSCA</w:t>
            </w:r>
            <w:r w:rsidRPr="00AA54A5">
              <w:rPr>
                <w:rFonts w:asciiTheme="majorHAnsi" w:hAnsiTheme="majorHAnsi" w:cstheme="majorHAnsi"/>
                <w:sz w:val="18"/>
                <w:szCs w:val="18"/>
                <w:lang w:val="it-IT"/>
              </w:rPr>
              <w:t xml:space="preserve"> – Field </w:t>
            </w:r>
            <w:proofErr w:type="spellStart"/>
            <w:r w:rsidRPr="00AA54A5">
              <w:rPr>
                <w:rFonts w:asciiTheme="majorHAnsi" w:hAnsiTheme="majorHAnsi" w:cstheme="majorHAnsi"/>
                <w:sz w:val="18"/>
                <w:szCs w:val="18"/>
                <w:lang w:val="it-IT"/>
              </w:rPr>
              <w:t>Safety</w:t>
            </w:r>
            <w:proofErr w:type="spellEnd"/>
            <w:r w:rsidRPr="00AA54A5">
              <w:rPr>
                <w:rFonts w:asciiTheme="majorHAnsi" w:hAnsiTheme="majorHAnsi" w:cstheme="majorHAnsi"/>
                <w:sz w:val="18"/>
                <w:szCs w:val="18"/>
              </w:rPr>
              <w:t xml:space="preserve"> Corrective</w:t>
            </w:r>
            <w:r w:rsidRPr="00AA54A5">
              <w:rPr>
                <w:rFonts w:asciiTheme="majorHAnsi" w:hAnsiTheme="majorHAnsi" w:cstheme="majorHAnsi"/>
                <w:sz w:val="18"/>
                <w:szCs w:val="18"/>
                <w:lang w:val="it-IT"/>
              </w:rPr>
              <w:t xml:space="preserve"> Action</w:t>
            </w:r>
          </w:p>
        </w:tc>
      </w:tr>
      <w:tr w:rsidR="00A76E5A" w:rsidRPr="00AA54A5" w14:paraId="1287FC7D" w14:textId="77777777" w:rsidTr="00A76E5A">
        <w:tc>
          <w:tcPr>
            <w:tcW w:w="9350" w:type="dxa"/>
          </w:tcPr>
          <w:p w14:paraId="7F8AFFE5" w14:textId="4B3BB219"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MDR – Medical Devices Regulation</w:t>
            </w:r>
          </w:p>
        </w:tc>
      </w:tr>
      <w:tr w:rsidR="00A76E5A" w:rsidRPr="00AA54A5" w14:paraId="677B295C" w14:textId="77777777" w:rsidTr="00A76E5A">
        <w:tc>
          <w:tcPr>
            <w:tcW w:w="9350" w:type="dxa"/>
          </w:tcPr>
          <w:p w14:paraId="18148D3D" w14:textId="4794DBB2"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MIR – Manufacturer Incident Report</w:t>
            </w:r>
          </w:p>
        </w:tc>
      </w:tr>
      <w:tr w:rsidR="00A76E5A" w:rsidRPr="00AA54A5" w14:paraId="1B4C49C6" w14:textId="77777777" w:rsidTr="00A76E5A">
        <w:tc>
          <w:tcPr>
            <w:tcW w:w="9350" w:type="dxa"/>
          </w:tcPr>
          <w:p w14:paraId="301E73C6" w14:textId="32923770"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NCR – Nonconformance Report</w:t>
            </w:r>
          </w:p>
        </w:tc>
      </w:tr>
      <w:tr w:rsidR="00A76E5A" w:rsidRPr="00AA54A5" w14:paraId="79171B55" w14:textId="77777777" w:rsidTr="00A76E5A">
        <w:tc>
          <w:tcPr>
            <w:tcW w:w="9350" w:type="dxa"/>
          </w:tcPr>
          <w:p w14:paraId="7E64B8EB" w14:textId="32045BBC"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PRRC – Person Responsible for Regulatory Compliance</w:t>
            </w:r>
          </w:p>
        </w:tc>
      </w:tr>
      <w:tr w:rsidR="00A76E5A" w:rsidRPr="00AA54A5" w14:paraId="72C86375" w14:textId="77777777" w:rsidTr="00A76E5A">
        <w:tc>
          <w:tcPr>
            <w:tcW w:w="9350" w:type="dxa"/>
          </w:tcPr>
          <w:p w14:paraId="0DF107E4" w14:textId="00E7A7BF"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TD – Technical Documentation</w:t>
            </w:r>
          </w:p>
        </w:tc>
      </w:tr>
      <w:tr w:rsidR="00A76E5A" w:rsidRPr="00AA54A5" w14:paraId="4C27EBCE" w14:textId="77777777" w:rsidTr="00A76E5A">
        <w:tc>
          <w:tcPr>
            <w:tcW w:w="9350" w:type="dxa"/>
          </w:tcPr>
          <w:p w14:paraId="68136C20" w14:textId="28BC9C8F"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MR – Management Representative</w:t>
            </w:r>
          </w:p>
        </w:tc>
      </w:tr>
      <w:tr w:rsidR="00A76E5A" w:rsidRPr="00AA54A5" w14:paraId="2B51D6E8" w14:textId="77777777" w:rsidTr="00A76E5A">
        <w:tc>
          <w:tcPr>
            <w:tcW w:w="9350" w:type="dxa"/>
          </w:tcPr>
          <w:p w14:paraId="0F578339" w14:textId="37112455" w:rsidR="00A76E5A" w:rsidRPr="00AA54A5" w:rsidRDefault="00A76E5A" w:rsidP="000D4609">
            <w:pPr>
              <w:spacing w:after="120"/>
              <w:jc w:val="both"/>
              <w:rPr>
                <w:rFonts w:asciiTheme="majorHAnsi" w:hAnsiTheme="majorHAnsi" w:cstheme="majorHAnsi"/>
                <w:sz w:val="18"/>
                <w:szCs w:val="18"/>
              </w:rPr>
            </w:pPr>
            <w:r w:rsidRPr="00AA54A5">
              <w:rPr>
                <w:rFonts w:asciiTheme="majorHAnsi" w:hAnsiTheme="majorHAnsi" w:cstheme="majorHAnsi"/>
                <w:sz w:val="18"/>
                <w:szCs w:val="18"/>
              </w:rPr>
              <w:t>QA – Quality Affairs</w:t>
            </w:r>
          </w:p>
        </w:tc>
      </w:tr>
    </w:tbl>
    <w:p w14:paraId="68D8A6DD" w14:textId="77777777" w:rsidR="00E00428" w:rsidRDefault="00E00428" w:rsidP="00181168">
      <w:pPr>
        <w:spacing w:after="120"/>
        <w:ind w:left="274"/>
        <w:jc w:val="both"/>
        <w:rPr>
          <w:rFonts w:asciiTheme="majorHAnsi" w:hAnsiTheme="majorHAnsi" w:cstheme="majorHAnsi"/>
          <w:sz w:val="18"/>
          <w:szCs w:val="18"/>
        </w:rPr>
      </w:pPr>
    </w:p>
    <w:p w14:paraId="30A97C35" w14:textId="77777777" w:rsidR="00522786" w:rsidRDefault="00522786" w:rsidP="00181168">
      <w:pPr>
        <w:spacing w:after="120"/>
        <w:ind w:left="274"/>
        <w:jc w:val="both"/>
        <w:rPr>
          <w:rFonts w:asciiTheme="majorHAnsi" w:hAnsiTheme="majorHAnsi" w:cstheme="majorHAnsi"/>
          <w:sz w:val="18"/>
          <w:szCs w:val="18"/>
        </w:rPr>
      </w:pPr>
    </w:p>
    <w:p w14:paraId="5DD50E20" w14:textId="77777777" w:rsidR="00522786" w:rsidRDefault="00522786" w:rsidP="00181168">
      <w:pPr>
        <w:spacing w:after="120"/>
        <w:ind w:left="274"/>
        <w:jc w:val="both"/>
        <w:rPr>
          <w:rFonts w:asciiTheme="majorHAnsi" w:hAnsiTheme="majorHAnsi" w:cstheme="majorHAnsi"/>
          <w:sz w:val="18"/>
          <w:szCs w:val="18"/>
        </w:rPr>
      </w:pPr>
    </w:p>
    <w:p w14:paraId="7D665F11" w14:textId="77777777" w:rsidR="00522786" w:rsidRDefault="00522786" w:rsidP="00181168">
      <w:pPr>
        <w:spacing w:after="120"/>
        <w:ind w:left="274"/>
        <w:jc w:val="both"/>
        <w:rPr>
          <w:rFonts w:asciiTheme="majorHAnsi" w:hAnsiTheme="majorHAnsi" w:cstheme="majorHAnsi"/>
          <w:sz w:val="18"/>
          <w:szCs w:val="18"/>
        </w:rPr>
      </w:pPr>
    </w:p>
    <w:p w14:paraId="25D6B2F9" w14:textId="77777777" w:rsidR="00522786" w:rsidRDefault="00522786" w:rsidP="00181168">
      <w:pPr>
        <w:spacing w:after="120"/>
        <w:ind w:left="274"/>
        <w:jc w:val="both"/>
        <w:rPr>
          <w:rFonts w:asciiTheme="majorHAnsi" w:hAnsiTheme="majorHAnsi" w:cstheme="majorHAnsi"/>
          <w:sz w:val="18"/>
          <w:szCs w:val="18"/>
        </w:rPr>
      </w:pPr>
    </w:p>
    <w:p w14:paraId="72EB2064" w14:textId="77777777" w:rsidR="00522786" w:rsidRPr="00AA54A5" w:rsidRDefault="00522786" w:rsidP="00181168">
      <w:pPr>
        <w:spacing w:after="120"/>
        <w:ind w:left="274"/>
        <w:jc w:val="both"/>
        <w:rPr>
          <w:rFonts w:asciiTheme="majorHAnsi" w:hAnsiTheme="majorHAnsi" w:cstheme="majorHAnsi"/>
          <w:sz w:val="18"/>
          <w:szCs w:val="18"/>
        </w:rPr>
      </w:pPr>
    </w:p>
    <w:p w14:paraId="0568609B" w14:textId="77777777" w:rsidR="003A46F0" w:rsidRPr="00AA54A5" w:rsidRDefault="003A46F0" w:rsidP="00FE47F6">
      <w:pPr>
        <w:pStyle w:val="ListParagraph"/>
        <w:numPr>
          <w:ilvl w:val="0"/>
          <w:numId w:val="1"/>
        </w:numPr>
        <w:spacing w:after="120"/>
        <w:ind w:left="274"/>
        <w:jc w:val="both"/>
        <w:rPr>
          <w:rFonts w:asciiTheme="majorHAnsi" w:hAnsiTheme="majorHAnsi" w:cstheme="majorHAnsi"/>
          <w:b/>
        </w:rPr>
      </w:pPr>
      <w:r w:rsidRPr="00AA54A5">
        <w:rPr>
          <w:rFonts w:asciiTheme="majorHAnsi" w:hAnsiTheme="majorHAnsi" w:cstheme="majorHAnsi"/>
          <w:b/>
        </w:rPr>
        <w:lastRenderedPageBreak/>
        <w:t>RESPONSIBILITIES</w:t>
      </w:r>
    </w:p>
    <w:p w14:paraId="72F6F485" w14:textId="21E9427B" w:rsidR="009F40A2" w:rsidRPr="00AA54A5" w:rsidRDefault="009F40A2" w:rsidP="009F40A2">
      <w:pPr>
        <w:pStyle w:val="ListParagraph"/>
        <w:numPr>
          <w:ilvl w:val="0"/>
          <w:numId w:val="24"/>
        </w:numPr>
        <w:adjustRightInd w:val="0"/>
        <w:snapToGrid w:val="0"/>
        <w:spacing w:after="120"/>
        <w:contextualSpacing w:val="0"/>
        <w:rPr>
          <w:rFonts w:asciiTheme="majorHAnsi" w:hAnsiTheme="majorHAnsi" w:cstheme="majorHAnsi"/>
          <w:sz w:val="18"/>
          <w:szCs w:val="18"/>
        </w:rPr>
      </w:pPr>
      <w:r w:rsidRPr="00AA54A5">
        <w:rPr>
          <w:rFonts w:asciiTheme="majorHAnsi" w:hAnsiTheme="majorHAnsi" w:cstheme="majorHAnsi"/>
          <w:sz w:val="18"/>
          <w:szCs w:val="18"/>
        </w:rPr>
        <w:t xml:space="preserve">The PRRC </w:t>
      </w:r>
      <w:r w:rsidR="0055356B" w:rsidRPr="00AA54A5">
        <w:rPr>
          <w:rFonts w:asciiTheme="majorHAnsi" w:hAnsiTheme="majorHAnsi" w:cstheme="majorHAnsi"/>
          <w:sz w:val="18"/>
          <w:szCs w:val="18"/>
        </w:rPr>
        <w:t xml:space="preserve">or MR </w:t>
      </w:r>
      <w:r w:rsidRPr="00AA54A5">
        <w:rPr>
          <w:rFonts w:asciiTheme="majorHAnsi" w:hAnsiTheme="majorHAnsi" w:cstheme="majorHAnsi"/>
          <w:sz w:val="18"/>
          <w:szCs w:val="18"/>
        </w:rPr>
        <w:t xml:space="preserve">is responsible for ensuring compliance </w:t>
      </w:r>
      <w:r w:rsidR="00522786">
        <w:rPr>
          <w:rFonts w:asciiTheme="majorHAnsi" w:hAnsiTheme="majorHAnsi" w:cstheme="majorHAnsi"/>
          <w:sz w:val="18"/>
          <w:szCs w:val="18"/>
        </w:rPr>
        <w:t>with</w:t>
      </w:r>
      <w:r w:rsidRPr="00AA54A5">
        <w:rPr>
          <w:rFonts w:asciiTheme="majorHAnsi" w:hAnsiTheme="majorHAnsi" w:cstheme="majorHAnsi"/>
          <w:sz w:val="18"/>
          <w:szCs w:val="18"/>
        </w:rPr>
        <w:t xml:space="preserve"> this procedure and assuring the effectiveness for any serious incidents, Manufacturer Incident Reports (MIR), and FSCAs, and for reporting to our EU AR and applicable CAs.</w:t>
      </w:r>
    </w:p>
    <w:p w14:paraId="070F75C0" w14:textId="2026D9A4" w:rsidR="009F40A2" w:rsidRPr="00AA54A5" w:rsidRDefault="009F40A2" w:rsidP="009F40A2">
      <w:pPr>
        <w:numPr>
          <w:ilvl w:val="0"/>
          <w:numId w:val="24"/>
        </w:numPr>
        <w:adjustRightInd w:val="0"/>
        <w:snapToGrid w:val="0"/>
        <w:spacing w:after="120"/>
        <w:jc w:val="both"/>
        <w:rPr>
          <w:rFonts w:asciiTheme="majorHAnsi" w:hAnsiTheme="majorHAnsi" w:cstheme="majorHAnsi"/>
          <w:b/>
          <w:sz w:val="18"/>
          <w:szCs w:val="18"/>
        </w:rPr>
      </w:pPr>
      <w:r w:rsidRPr="00AA54A5">
        <w:rPr>
          <w:rFonts w:asciiTheme="majorHAnsi" w:hAnsiTheme="majorHAnsi" w:cstheme="majorHAnsi"/>
          <w:sz w:val="18"/>
          <w:szCs w:val="18"/>
        </w:rPr>
        <w:t xml:space="preserve">The PRRC will also perform a review, as necessary, to determine whether an MIR </w:t>
      </w:r>
      <w:r w:rsidR="00522786">
        <w:rPr>
          <w:rFonts w:asciiTheme="majorHAnsi" w:hAnsiTheme="majorHAnsi" w:cstheme="majorHAnsi"/>
          <w:sz w:val="18"/>
          <w:szCs w:val="18"/>
        </w:rPr>
        <w:t>and/or</w:t>
      </w:r>
      <w:r w:rsidRPr="00AA54A5">
        <w:rPr>
          <w:rFonts w:asciiTheme="majorHAnsi" w:hAnsiTheme="majorHAnsi" w:cstheme="majorHAnsi"/>
          <w:sz w:val="18"/>
          <w:szCs w:val="18"/>
        </w:rPr>
        <w:t xml:space="preserve"> FSCA should be initiated and will provide appropriate corrective action as necessary.</w:t>
      </w:r>
    </w:p>
    <w:p w14:paraId="7724FBB9" w14:textId="77777777" w:rsidR="009F40A2" w:rsidRPr="00AA54A5" w:rsidRDefault="009F40A2" w:rsidP="009F40A2">
      <w:pPr>
        <w:numPr>
          <w:ilvl w:val="0"/>
          <w:numId w:val="24"/>
        </w:numPr>
        <w:adjustRightInd w:val="0"/>
        <w:snapToGrid w:val="0"/>
        <w:spacing w:after="120"/>
        <w:jc w:val="both"/>
        <w:rPr>
          <w:rFonts w:asciiTheme="majorHAnsi" w:hAnsiTheme="majorHAnsi" w:cstheme="majorHAnsi"/>
          <w:b/>
          <w:sz w:val="18"/>
          <w:szCs w:val="18"/>
        </w:rPr>
      </w:pPr>
      <w:r w:rsidRPr="00AA54A5">
        <w:rPr>
          <w:rFonts w:asciiTheme="majorHAnsi" w:hAnsiTheme="majorHAnsi" w:cstheme="majorHAnsi"/>
          <w:sz w:val="18"/>
          <w:szCs w:val="18"/>
        </w:rPr>
        <w:t>In this review, the PRRC will ascertain all available facts and review with the appropriate personnel to determine whether vigilance report should be initiated and assure that a strategy and procedures are carried out in an orderly fashion.</w:t>
      </w:r>
    </w:p>
    <w:p w14:paraId="35FAFE65" w14:textId="22D2FC4F" w:rsidR="00AA54A5" w:rsidRPr="00522786" w:rsidRDefault="009F40A2" w:rsidP="00522786">
      <w:pPr>
        <w:pStyle w:val="ListParagraph"/>
        <w:numPr>
          <w:ilvl w:val="0"/>
          <w:numId w:val="24"/>
        </w:numPr>
        <w:spacing w:after="120"/>
        <w:ind w:right="-360"/>
        <w:rPr>
          <w:rFonts w:asciiTheme="majorHAnsi" w:hAnsiTheme="majorHAnsi" w:cstheme="majorHAnsi"/>
          <w:sz w:val="18"/>
          <w:szCs w:val="18"/>
        </w:rPr>
      </w:pPr>
      <w:r w:rsidRPr="00AA54A5">
        <w:rPr>
          <w:rFonts w:asciiTheme="majorHAnsi" w:hAnsiTheme="majorHAnsi" w:cstheme="majorHAnsi"/>
          <w:sz w:val="18"/>
          <w:szCs w:val="18"/>
        </w:rPr>
        <w:t>The PRRC will perform a review as necessary to determine whether a MIR shall be filed, based on the determination of Reportable Event Determination checklist.  Serious incidents will be reviewed with the Executive Management Team and other applicable personnel.</w:t>
      </w:r>
      <w:r w:rsidR="00522786">
        <w:rPr>
          <w:rFonts w:asciiTheme="majorHAnsi" w:hAnsiTheme="majorHAnsi" w:cstheme="majorHAnsi"/>
          <w:sz w:val="18"/>
          <w:szCs w:val="18"/>
        </w:rPr>
        <w:br/>
      </w:r>
    </w:p>
    <w:p w14:paraId="1592F8FC" w14:textId="7831232C" w:rsidR="003A46F0" w:rsidRPr="00AA54A5" w:rsidRDefault="001E77F2" w:rsidP="00FE47F6">
      <w:pPr>
        <w:pStyle w:val="ListParagraph"/>
        <w:numPr>
          <w:ilvl w:val="0"/>
          <w:numId w:val="1"/>
        </w:numPr>
        <w:spacing w:after="120"/>
        <w:ind w:left="274"/>
        <w:jc w:val="both"/>
        <w:rPr>
          <w:rFonts w:asciiTheme="majorHAnsi" w:hAnsiTheme="majorHAnsi" w:cstheme="majorHAnsi"/>
          <w:b/>
        </w:rPr>
      </w:pPr>
      <w:r w:rsidRPr="00AA54A5">
        <w:rPr>
          <w:rFonts w:asciiTheme="majorHAnsi" w:hAnsiTheme="majorHAnsi" w:cstheme="majorHAnsi"/>
          <w:b/>
        </w:rPr>
        <w:t xml:space="preserve">GUIDANCE </w:t>
      </w:r>
    </w:p>
    <w:p w14:paraId="19CC9732" w14:textId="75421357" w:rsidR="001E77F2" w:rsidRPr="00AA54A5" w:rsidRDefault="001E77F2" w:rsidP="00522786">
      <w:pPr>
        <w:rPr>
          <w:rFonts w:asciiTheme="majorHAnsi" w:hAnsiTheme="majorHAnsi" w:cstheme="majorHAnsi"/>
          <w:sz w:val="18"/>
          <w:szCs w:val="18"/>
        </w:rPr>
      </w:pPr>
      <w:r w:rsidRPr="00AA54A5">
        <w:rPr>
          <w:rFonts w:asciiTheme="majorHAnsi" w:hAnsiTheme="majorHAnsi" w:cstheme="majorHAnsi"/>
          <w:sz w:val="18"/>
          <w:szCs w:val="18"/>
        </w:rPr>
        <w:t xml:space="preserve">What is an Adverse Event?  An adverse event refers to any unfavorable occurrence involving the device(s).  However, the event must be reported to the FDA if the device has: </w:t>
      </w:r>
    </w:p>
    <w:p w14:paraId="58D11E79" w14:textId="77777777" w:rsidR="001E77F2" w:rsidRPr="00AA54A5" w:rsidRDefault="001E77F2" w:rsidP="00522786">
      <w:pPr>
        <w:pStyle w:val="ListParagraph"/>
        <w:numPr>
          <w:ilvl w:val="0"/>
          <w:numId w:val="17"/>
        </w:numPr>
        <w:rPr>
          <w:rFonts w:asciiTheme="majorHAnsi" w:hAnsiTheme="majorHAnsi" w:cstheme="majorHAnsi"/>
          <w:sz w:val="18"/>
          <w:szCs w:val="18"/>
        </w:rPr>
      </w:pPr>
      <w:r w:rsidRPr="00AA54A5">
        <w:rPr>
          <w:rFonts w:asciiTheme="majorHAnsi" w:hAnsiTheme="majorHAnsi" w:cstheme="majorHAnsi"/>
          <w:sz w:val="18"/>
          <w:szCs w:val="18"/>
        </w:rPr>
        <w:t xml:space="preserve">Caused or contributed to a death or serious injury. </w:t>
      </w:r>
    </w:p>
    <w:p w14:paraId="698AE278" w14:textId="77777777" w:rsidR="001E77F2" w:rsidRPr="00AA54A5" w:rsidRDefault="001E77F2" w:rsidP="00522786">
      <w:pPr>
        <w:pStyle w:val="ListParagraph"/>
        <w:numPr>
          <w:ilvl w:val="0"/>
          <w:numId w:val="17"/>
        </w:numPr>
        <w:rPr>
          <w:rFonts w:asciiTheme="majorHAnsi" w:hAnsiTheme="majorHAnsi" w:cstheme="majorHAnsi"/>
          <w:sz w:val="18"/>
          <w:szCs w:val="18"/>
        </w:rPr>
      </w:pPr>
      <w:r w:rsidRPr="00AA54A5">
        <w:rPr>
          <w:rFonts w:asciiTheme="majorHAnsi" w:hAnsiTheme="majorHAnsi" w:cstheme="majorHAnsi"/>
          <w:sz w:val="18"/>
          <w:szCs w:val="18"/>
        </w:rPr>
        <w:t xml:space="preserve">Malfunctioned and could potentially cause or contribute to a death or serious injury if the malfunction were to occur. </w:t>
      </w:r>
    </w:p>
    <w:p w14:paraId="101EFF9F" w14:textId="77777777" w:rsidR="001E77F2" w:rsidRPr="00AA54A5" w:rsidRDefault="001E77F2" w:rsidP="00522786">
      <w:pPr>
        <w:rPr>
          <w:rFonts w:asciiTheme="majorHAnsi" w:hAnsiTheme="majorHAnsi" w:cstheme="majorHAnsi"/>
          <w:sz w:val="18"/>
          <w:szCs w:val="18"/>
        </w:rPr>
      </w:pPr>
    </w:p>
    <w:p w14:paraId="2F1DD669" w14:textId="558EB627" w:rsidR="001E77F2" w:rsidRPr="00AA54A5" w:rsidRDefault="001E77F2" w:rsidP="00522786">
      <w:pPr>
        <w:rPr>
          <w:rFonts w:asciiTheme="majorHAnsi" w:hAnsiTheme="majorHAnsi" w:cstheme="majorHAnsi"/>
          <w:sz w:val="18"/>
          <w:szCs w:val="18"/>
        </w:rPr>
      </w:pPr>
      <w:r w:rsidRPr="00AA54A5">
        <w:rPr>
          <w:rFonts w:asciiTheme="majorHAnsi" w:hAnsiTheme="majorHAnsi" w:cstheme="majorHAnsi"/>
          <w:sz w:val="18"/>
          <w:szCs w:val="18"/>
        </w:rPr>
        <w:t xml:space="preserve">What is a device recall?  Tulip can elect to recall any device when there is a risk of death or serious deterioration to the state of </w:t>
      </w:r>
      <w:r w:rsidR="00AA54A5" w:rsidRPr="00AA54A5">
        <w:rPr>
          <w:rFonts w:asciiTheme="majorHAnsi" w:hAnsiTheme="majorHAnsi" w:cstheme="majorHAnsi"/>
          <w:sz w:val="18"/>
          <w:szCs w:val="18"/>
        </w:rPr>
        <w:t xml:space="preserve">health </w:t>
      </w:r>
      <w:r w:rsidR="00AA54A5">
        <w:rPr>
          <w:rFonts w:asciiTheme="majorHAnsi" w:hAnsiTheme="majorHAnsi" w:cstheme="majorHAnsi"/>
          <w:sz w:val="18"/>
          <w:szCs w:val="18"/>
        </w:rPr>
        <w:t>caused</w:t>
      </w:r>
      <w:r w:rsidRPr="00AA54A5">
        <w:rPr>
          <w:rFonts w:asciiTheme="majorHAnsi" w:hAnsiTheme="majorHAnsi" w:cstheme="majorHAnsi"/>
          <w:sz w:val="18"/>
          <w:szCs w:val="18"/>
        </w:rPr>
        <w:t xml:space="preserve"> by a device.  A recall is the removal or correction of a marketed product that the FDA considers to be in violation of the laws it administers.  </w:t>
      </w:r>
      <w:r w:rsidR="00522786">
        <w:rPr>
          <w:rFonts w:asciiTheme="majorHAnsi" w:hAnsiTheme="majorHAnsi" w:cstheme="majorHAnsi"/>
          <w:sz w:val="18"/>
          <w:szCs w:val="18"/>
        </w:rPr>
        <w:br/>
      </w:r>
    </w:p>
    <w:p w14:paraId="26B74C91" w14:textId="774B16EF" w:rsidR="001E77F2" w:rsidRPr="00AA54A5" w:rsidRDefault="001E77F2" w:rsidP="00522786">
      <w:pPr>
        <w:rPr>
          <w:rFonts w:asciiTheme="majorHAnsi" w:hAnsiTheme="majorHAnsi" w:cstheme="majorHAnsi"/>
          <w:sz w:val="18"/>
          <w:szCs w:val="18"/>
        </w:rPr>
      </w:pPr>
      <w:r w:rsidRPr="00AA54A5">
        <w:rPr>
          <w:rFonts w:asciiTheme="majorHAnsi" w:hAnsiTheme="majorHAnsi" w:cstheme="majorHAnsi"/>
          <w:sz w:val="18"/>
          <w:szCs w:val="18"/>
        </w:rPr>
        <w:t xml:space="preserve">QSP 9.1-2 Conducting Recalls – </w:t>
      </w:r>
      <w:r w:rsidR="00AA54A5">
        <w:rPr>
          <w:rFonts w:asciiTheme="majorHAnsi" w:hAnsiTheme="majorHAnsi" w:cstheme="majorHAnsi"/>
          <w:sz w:val="18"/>
          <w:szCs w:val="18"/>
        </w:rPr>
        <w:t xml:space="preserve">The </w:t>
      </w:r>
      <w:r w:rsidRPr="00AA54A5">
        <w:rPr>
          <w:rFonts w:asciiTheme="majorHAnsi" w:hAnsiTheme="majorHAnsi" w:cstheme="majorHAnsi"/>
          <w:sz w:val="18"/>
          <w:szCs w:val="18"/>
        </w:rPr>
        <w:t xml:space="preserve">US FDA defines and describes how to conduct product recalls in accordance with the US regulations. </w:t>
      </w:r>
    </w:p>
    <w:p w14:paraId="61012905" w14:textId="77777777" w:rsidR="001E77F2" w:rsidRPr="00AA54A5" w:rsidRDefault="001E77F2" w:rsidP="00522786">
      <w:pPr>
        <w:rPr>
          <w:rFonts w:asciiTheme="majorHAnsi" w:hAnsiTheme="majorHAnsi" w:cstheme="majorHAnsi"/>
          <w:sz w:val="18"/>
          <w:szCs w:val="18"/>
        </w:rPr>
      </w:pPr>
    </w:p>
    <w:p w14:paraId="048F9690" w14:textId="5EEECCF0" w:rsidR="001E77F2" w:rsidRPr="00AA54A5" w:rsidRDefault="001E77F2" w:rsidP="00522786">
      <w:pPr>
        <w:rPr>
          <w:rFonts w:asciiTheme="majorHAnsi" w:hAnsiTheme="majorHAnsi" w:cstheme="majorHAnsi"/>
          <w:sz w:val="18"/>
          <w:szCs w:val="18"/>
        </w:rPr>
      </w:pPr>
      <w:r w:rsidRPr="00AA54A5">
        <w:rPr>
          <w:rFonts w:asciiTheme="majorHAnsi" w:hAnsiTheme="majorHAnsi" w:cstheme="majorHAnsi"/>
          <w:sz w:val="18"/>
          <w:szCs w:val="18"/>
        </w:rPr>
        <w:t xml:space="preserve">FDA 21 CFR Part 803 specifies the types of reports and data that must be included in each eMDR submission.  </w:t>
      </w:r>
      <w:r w:rsidR="00522786">
        <w:rPr>
          <w:rFonts w:asciiTheme="majorHAnsi" w:hAnsiTheme="majorHAnsi" w:cstheme="majorHAnsi"/>
          <w:sz w:val="18"/>
          <w:szCs w:val="18"/>
        </w:rPr>
        <w:br/>
      </w:r>
    </w:p>
    <w:p w14:paraId="138FBB74" w14:textId="161F8451" w:rsidR="001E77F2" w:rsidRPr="00AA54A5" w:rsidRDefault="003A076C" w:rsidP="003A076C">
      <w:pPr>
        <w:jc w:val="center"/>
        <w:rPr>
          <w:rFonts w:asciiTheme="majorHAnsi" w:hAnsiTheme="majorHAnsi" w:cstheme="majorHAnsi"/>
          <w:b/>
          <w:bCs/>
          <w:sz w:val="18"/>
          <w:szCs w:val="18"/>
        </w:rPr>
      </w:pPr>
      <w:r w:rsidRPr="00AA54A5">
        <w:rPr>
          <w:rFonts w:asciiTheme="majorHAnsi" w:hAnsiTheme="majorHAnsi" w:cstheme="majorHAnsi"/>
          <w:b/>
          <w:bCs/>
          <w:sz w:val="18"/>
          <w:szCs w:val="18"/>
        </w:rPr>
        <w:t>Table 1</w:t>
      </w:r>
    </w:p>
    <w:tbl>
      <w:tblPr>
        <w:tblStyle w:val="TableGrid"/>
        <w:tblW w:w="0" w:type="auto"/>
        <w:tblLook w:val="04A0" w:firstRow="1" w:lastRow="0" w:firstColumn="1" w:lastColumn="0" w:noHBand="0" w:noVBand="1"/>
      </w:tblPr>
      <w:tblGrid>
        <w:gridCol w:w="2337"/>
        <w:gridCol w:w="2337"/>
        <w:gridCol w:w="2338"/>
        <w:gridCol w:w="2338"/>
      </w:tblGrid>
      <w:tr w:rsidR="001E77F2" w:rsidRPr="00AA54A5" w14:paraId="40E257ED" w14:textId="77777777" w:rsidTr="00192948">
        <w:tc>
          <w:tcPr>
            <w:tcW w:w="2337" w:type="dxa"/>
            <w:shd w:val="clear" w:color="auto" w:fill="F2F2F2" w:themeFill="background1" w:themeFillShade="F2"/>
          </w:tcPr>
          <w:p w14:paraId="0C16F9E8"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 xml:space="preserve">Regulation </w:t>
            </w:r>
          </w:p>
        </w:tc>
        <w:tc>
          <w:tcPr>
            <w:tcW w:w="2337" w:type="dxa"/>
            <w:shd w:val="clear" w:color="auto" w:fill="F2F2F2" w:themeFill="background1" w:themeFillShade="F2"/>
          </w:tcPr>
          <w:p w14:paraId="687DE590"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 xml:space="preserve">Requirement </w:t>
            </w:r>
          </w:p>
        </w:tc>
        <w:tc>
          <w:tcPr>
            <w:tcW w:w="2338" w:type="dxa"/>
            <w:shd w:val="clear" w:color="auto" w:fill="F2F2F2" w:themeFill="background1" w:themeFillShade="F2"/>
          </w:tcPr>
          <w:p w14:paraId="40DCAC90"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 xml:space="preserve">Report Time </w:t>
            </w:r>
          </w:p>
        </w:tc>
        <w:tc>
          <w:tcPr>
            <w:tcW w:w="2338" w:type="dxa"/>
            <w:shd w:val="clear" w:color="auto" w:fill="F2F2F2" w:themeFill="background1" w:themeFillShade="F2"/>
          </w:tcPr>
          <w:p w14:paraId="6CD4F5B0"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Reporting to</w:t>
            </w:r>
          </w:p>
        </w:tc>
      </w:tr>
      <w:tr w:rsidR="001E77F2" w:rsidRPr="00AA54A5" w14:paraId="0F9C2DD8" w14:textId="77777777" w:rsidTr="00192948">
        <w:tc>
          <w:tcPr>
            <w:tcW w:w="2337" w:type="dxa"/>
          </w:tcPr>
          <w:p w14:paraId="4653E3A8"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FDA 21 CFR Part 803</w:t>
            </w:r>
          </w:p>
        </w:tc>
        <w:tc>
          <w:tcPr>
            <w:tcW w:w="2337" w:type="dxa"/>
          </w:tcPr>
          <w:p w14:paraId="1B51859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Manufacturers are required to report to the FDA when they learn that any of their devices may have caused or contributed to a death or serious injury </w:t>
            </w:r>
          </w:p>
        </w:tc>
        <w:tc>
          <w:tcPr>
            <w:tcW w:w="2338" w:type="dxa"/>
          </w:tcPr>
          <w:p w14:paraId="217EB85D"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Within 30 calendar days of becoming aware of an event. </w:t>
            </w:r>
          </w:p>
        </w:tc>
        <w:tc>
          <w:tcPr>
            <w:tcW w:w="2338" w:type="dxa"/>
          </w:tcPr>
          <w:p w14:paraId="15739EB4"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FDA.  Required Form FDA 3500A; </w:t>
            </w:r>
          </w:p>
        </w:tc>
      </w:tr>
      <w:tr w:rsidR="001E77F2" w:rsidRPr="00AA54A5" w14:paraId="5DACF4BC" w14:textId="77777777" w:rsidTr="00192948">
        <w:tc>
          <w:tcPr>
            <w:tcW w:w="2337" w:type="dxa"/>
            <w:shd w:val="clear" w:color="auto" w:fill="F2F2F2" w:themeFill="background1" w:themeFillShade="F2"/>
          </w:tcPr>
          <w:p w14:paraId="759771C3"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FDA 21 CFR Part 803</w:t>
            </w:r>
          </w:p>
        </w:tc>
        <w:tc>
          <w:tcPr>
            <w:tcW w:w="2337" w:type="dxa"/>
            <w:shd w:val="clear" w:color="auto" w:fill="F2F2F2" w:themeFill="background1" w:themeFillShade="F2"/>
          </w:tcPr>
          <w:p w14:paraId="4DF42BD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5-Day reports for an event designated by the FDA or an event that requires remedial action to prevent an unreasonable risk of substantial harm to the public health </w:t>
            </w:r>
          </w:p>
        </w:tc>
        <w:tc>
          <w:tcPr>
            <w:tcW w:w="2338" w:type="dxa"/>
            <w:shd w:val="clear" w:color="auto" w:fill="F2F2F2" w:themeFill="background1" w:themeFillShade="F2"/>
          </w:tcPr>
          <w:p w14:paraId="2B41D302"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Within 5 calendar days of becoming aware of an event</w:t>
            </w:r>
          </w:p>
        </w:tc>
        <w:tc>
          <w:tcPr>
            <w:tcW w:w="2338" w:type="dxa"/>
            <w:shd w:val="clear" w:color="auto" w:fill="F2F2F2" w:themeFill="background1" w:themeFillShade="F2"/>
          </w:tcPr>
          <w:p w14:paraId="1748C4A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FDA Required Form FDA 3500A;</w:t>
            </w:r>
          </w:p>
        </w:tc>
      </w:tr>
      <w:tr w:rsidR="001E77F2" w:rsidRPr="00AA54A5" w14:paraId="3AA4991A" w14:textId="77777777" w:rsidTr="00192948">
        <w:tc>
          <w:tcPr>
            <w:tcW w:w="2337" w:type="dxa"/>
          </w:tcPr>
          <w:p w14:paraId="4F35C7BB"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FDA 21 CFR Part 803</w:t>
            </w:r>
          </w:p>
        </w:tc>
        <w:tc>
          <w:tcPr>
            <w:tcW w:w="2337" w:type="dxa"/>
          </w:tcPr>
          <w:p w14:paraId="5D3C3F4D"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User Facilities must report all device-related deaths or serious injury </w:t>
            </w:r>
          </w:p>
        </w:tc>
        <w:tc>
          <w:tcPr>
            <w:tcW w:w="2338" w:type="dxa"/>
          </w:tcPr>
          <w:p w14:paraId="6B555C2A"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Within 10 workdays of becoming aware. </w:t>
            </w:r>
          </w:p>
        </w:tc>
        <w:tc>
          <w:tcPr>
            <w:tcW w:w="2338" w:type="dxa"/>
          </w:tcPr>
          <w:p w14:paraId="44BDA66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FDA &amp; Manufacturer</w:t>
            </w:r>
          </w:p>
        </w:tc>
      </w:tr>
    </w:tbl>
    <w:p w14:paraId="57924752" w14:textId="77777777" w:rsidR="001E77F2" w:rsidRPr="00AA54A5" w:rsidRDefault="001E77F2" w:rsidP="001E77F2">
      <w:pPr>
        <w:rPr>
          <w:rFonts w:asciiTheme="majorHAnsi" w:hAnsiTheme="majorHAnsi" w:cstheme="majorHAnsi"/>
          <w:sz w:val="18"/>
          <w:szCs w:val="18"/>
        </w:rPr>
      </w:pPr>
    </w:p>
    <w:p w14:paraId="21C6FC91" w14:textId="06762F47" w:rsidR="001E77F2" w:rsidRDefault="00D85A53" w:rsidP="001E77F2">
      <w:pPr>
        <w:rPr>
          <w:rFonts w:asciiTheme="majorHAnsi" w:hAnsiTheme="majorHAnsi" w:cstheme="majorHAnsi"/>
          <w:sz w:val="18"/>
          <w:szCs w:val="18"/>
        </w:rPr>
      </w:pPr>
      <w:r w:rsidRPr="00AA54A5">
        <w:rPr>
          <w:rFonts w:asciiTheme="majorHAnsi" w:hAnsiTheme="majorHAnsi" w:cstheme="majorHAnsi"/>
          <w:sz w:val="18"/>
          <w:szCs w:val="18"/>
        </w:rPr>
        <w:t>For the EU, a</w:t>
      </w:r>
      <w:r w:rsidR="001E77F2" w:rsidRPr="00AA54A5">
        <w:rPr>
          <w:rFonts w:asciiTheme="majorHAnsi" w:hAnsiTheme="majorHAnsi" w:cstheme="majorHAnsi"/>
          <w:sz w:val="18"/>
          <w:szCs w:val="18"/>
        </w:rPr>
        <w:t>n incident report must be filed if a device malfunction, deterioration in performance, inadequate instructions, or inadequate labeling resulted in death or serious injury or may lead to death or serious deterioration in state of health if it were to reoccur.</w:t>
      </w:r>
    </w:p>
    <w:p w14:paraId="4490DB39" w14:textId="77777777" w:rsidR="00522786" w:rsidRPr="00AA54A5" w:rsidRDefault="00522786" w:rsidP="001E77F2">
      <w:pPr>
        <w:rPr>
          <w:rFonts w:asciiTheme="majorHAnsi" w:hAnsiTheme="majorHAnsi" w:cstheme="majorHAnsi"/>
          <w:sz w:val="18"/>
          <w:szCs w:val="18"/>
        </w:rPr>
      </w:pPr>
    </w:p>
    <w:p w14:paraId="66D802D2" w14:textId="77777777" w:rsidR="003A076C" w:rsidRPr="00AA54A5" w:rsidRDefault="003A076C" w:rsidP="001E77F2">
      <w:pPr>
        <w:rPr>
          <w:rFonts w:asciiTheme="majorHAnsi" w:hAnsiTheme="majorHAnsi" w:cstheme="majorHAnsi"/>
          <w:sz w:val="18"/>
          <w:szCs w:val="18"/>
        </w:rPr>
      </w:pPr>
    </w:p>
    <w:p w14:paraId="69D4101A" w14:textId="372A1839" w:rsidR="001E77F2" w:rsidRPr="00AA54A5" w:rsidRDefault="003A076C" w:rsidP="003A076C">
      <w:pPr>
        <w:jc w:val="center"/>
        <w:rPr>
          <w:rFonts w:asciiTheme="majorHAnsi" w:hAnsiTheme="majorHAnsi" w:cstheme="majorHAnsi"/>
          <w:b/>
          <w:bCs/>
          <w:sz w:val="18"/>
          <w:szCs w:val="18"/>
        </w:rPr>
      </w:pPr>
      <w:r w:rsidRPr="00AA54A5">
        <w:rPr>
          <w:rFonts w:asciiTheme="majorHAnsi" w:hAnsiTheme="majorHAnsi" w:cstheme="majorHAnsi"/>
          <w:b/>
          <w:bCs/>
          <w:sz w:val="18"/>
          <w:szCs w:val="18"/>
        </w:rPr>
        <w:lastRenderedPageBreak/>
        <w:t>Table 2</w:t>
      </w:r>
    </w:p>
    <w:tbl>
      <w:tblPr>
        <w:tblStyle w:val="TableGrid"/>
        <w:tblW w:w="0" w:type="auto"/>
        <w:tblLook w:val="04A0" w:firstRow="1" w:lastRow="0" w:firstColumn="1" w:lastColumn="0" w:noHBand="0" w:noVBand="1"/>
      </w:tblPr>
      <w:tblGrid>
        <w:gridCol w:w="2337"/>
        <w:gridCol w:w="2337"/>
        <w:gridCol w:w="2338"/>
        <w:gridCol w:w="2338"/>
      </w:tblGrid>
      <w:tr w:rsidR="001E77F2" w:rsidRPr="00AA54A5" w14:paraId="4CDBC2B2" w14:textId="77777777" w:rsidTr="00192948">
        <w:tc>
          <w:tcPr>
            <w:tcW w:w="2337" w:type="dxa"/>
            <w:shd w:val="clear" w:color="auto" w:fill="F2F2F2" w:themeFill="background1" w:themeFillShade="F2"/>
          </w:tcPr>
          <w:p w14:paraId="077AB5F3"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 xml:space="preserve">Regulation </w:t>
            </w:r>
          </w:p>
        </w:tc>
        <w:tc>
          <w:tcPr>
            <w:tcW w:w="2337" w:type="dxa"/>
            <w:shd w:val="clear" w:color="auto" w:fill="F2F2F2" w:themeFill="background1" w:themeFillShade="F2"/>
          </w:tcPr>
          <w:p w14:paraId="09A2F276"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 xml:space="preserve">Requirement </w:t>
            </w:r>
          </w:p>
        </w:tc>
        <w:tc>
          <w:tcPr>
            <w:tcW w:w="2338" w:type="dxa"/>
            <w:shd w:val="clear" w:color="auto" w:fill="F2F2F2" w:themeFill="background1" w:themeFillShade="F2"/>
          </w:tcPr>
          <w:p w14:paraId="4B3C61C6"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Report Time</w:t>
            </w:r>
          </w:p>
        </w:tc>
        <w:tc>
          <w:tcPr>
            <w:tcW w:w="2338" w:type="dxa"/>
            <w:shd w:val="clear" w:color="auto" w:fill="F2F2F2" w:themeFill="background1" w:themeFillShade="F2"/>
          </w:tcPr>
          <w:p w14:paraId="667FB8A7" w14:textId="77777777" w:rsidR="001E77F2" w:rsidRPr="00AA54A5" w:rsidRDefault="001E77F2" w:rsidP="00192948">
            <w:pPr>
              <w:rPr>
                <w:rFonts w:asciiTheme="majorHAnsi" w:hAnsiTheme="majorHAnsi" w:cstheme="majorHAnsi"/>
                <w:b/>
                <w:bCs/>
                <w:sz w:val="18"/>
                <w:szCs w:val="18"/>
              </w:rPr>
            </w:pPr>
            <w:r w:rsidRPr="00AA54A5">
              <w:rPr>
                <w:rFonts w:asciiTheme="majorHAnsi" w:hAnsiTheme="majorHAnsi" w:cstheme="majorHAnsi"/>
                <w:b/>
                <w:bCs/>
                <w:sz w:val="18"/>
                <w:szCs w:val="18"/>
              </w:rPr>
              <w:t xml:space="preserve">Report to </w:t>
            </w:r>
          </w:p>
        </w:tc>
      </w:tr>
      <w:tr w:rsidR="001E77F2" w:rsidRPr="00AA54A5" w14:paraId="40F4C8A2" w14:textId="77777777" w:rsidTr="00192948">
        <w:tc>
          <w:tcPr>
            <w:tcW w:w="2337" w:type="dxa"/>
          </w:tcPr>
          <w:p w14:paraId="25C9135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MEDDEV 2.21/1</w:t>
            </w:r>
          </w:p>
        </w:tc>
        <w:tc>
          <w:tcPr>
            <w:tcW w:w="2337" w:type="dxa"/>
          </w:tcPr>
          <w:p w14:paraId="2DF6A613" w14:textId="65299CF9"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Serious public </w:t>
            </w:r>
            <w:r w:rsidR="00522786" w:rsidRPr="00AA54A5">
              <w:rPr>
                <w:rFonts w:asciiTheme="majorHAnsi" w:hAnsiTheme="majorHAnsi" w:cstheme="majorHAnsi"/>
                <w:sz w:val="18"/>
                <w:szCs w:val="18"/>
              </w:rPr>
              <w:t>health</w:t>
            </w:r>
            <w:r w:rsidRPr="00AA54A5">
              <w:rPr>
                <w:rFonts w:asciiTheme="majorHAnsi" w:hAnsiTheme="majorHAnsi" w:cstheme="majorHAnsi"/>
                <w:sz w:val="18"/>
                <w:szCs w:val="18"/>
              </w:rPr>
              <w:t xml:space="preserve"> threat </w:t>
            </w:r>
          </w:p>
        </w:tc>
        <w:tc>
          <w:tcPr>
            <w:tcW w:w="2338" w:type="dxa"/>
          </w:tcPr>
          <w:p w14:paraId="6A4E01B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2 days</w:t>
            </w:r>
          </w:p>
        </w:tc>
        <w:tc>
          <w:tcPr>
            <w:tcW w:w="2338" w:type="dxa"/>
          </w:tcPr>
          <w:p w14:paraId="4DA4A903"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FSCA Reports to Competent Authority or the member state where the incident(s) occurred.</w:t>
            </w:r>
          </w:p>
        </w:tc>
      </w:tr>
      <w:tr w:rsidR="001E77F2" w:rsidRPr="00AA54A5" w14:paraId="415CA724" w14:textId="77777777" w:rsidTr="00192948">
        <w:tc>
          <w:tcPr>
            <w:tcW w:w="2337" w:type="dxa"/>
            <w:shd w:val="clear" w:color="auto" w:fill="F2F2F2" w:themeFill="background1" w:themeFillShade="F2"/>
          </w:tcPr>
          <w:p w14:paraId="09C1C1F3"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MEDDEV 2.21/1</w:t>
            </w:r>
          </w:p>
        </w:tc>
        <w:tc>
          <w:tcPr>
            <w:tcW w:w="2337" w:type="dxa"/>
            <w:shd w:val="clear" w:color="auto" w:fill="F2F2F2" w:themeFill="background1" w:themeFillShade="F2"/>
          </w:tcPr>
          <w:p w14:paraId="693A4B9C"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Death or serious deterioration of health </w:t>
            </w:r>
          </w:p>
        </w:tc>
        <w:tc>
          <w:tcPr>
            <w:tcW w:w="2338" w:type="dxa"/>
            <w:shd w:val="clear" w:color="auto" w:fill="F2F2F2" w:themeFill="background1" w:themeFillShade="F2"/>
          </w:tcPr>
          <w:p w14:paraId="7C7392AF"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10 days</w:t>
            </w:r>
          </w:p>
        </w:tc>
        <w:tc>
          <w:tcPr>
            <w:tcW w:w="2338" w:type="dxa"/>
            <w:shd w:val="clear" w:color="auto" w:fill="F2F2F2" w:themeFill="background1" w:themeFillShade="F2"/>
          </w:tcPr>
          <w:p w14:paraId="78CF3CCE"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FSCA Reports Competent Authority or the member state where the incident(s) occurred.</w:t>
            </w:r>
          </w:p>
        </w:tc>
      </w:tr>
      <w:tr w:rsidR="001E77F2" w:rsidRPr="00AA54A5" w14:paraId="0A6BC55F" w14:textId="77777777" w:rsidTr="00192948">
        <w:tc>
          <w:tcPr>
            <w:tcW w:w="2337" w:type="dxa"/>
          </w:tcPr>
          <w:p w14:paraId="1A84F71B"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MEDDEV 2.21/1</w:t>
            </w:r>
          </w:p>
        </w:tc>
        <w:tc>
          <w:tcPr>
            <w:tcW w:w="2337" w:type="dxa"/>
          </w:tcPr>
          <w:p w14:paraId="7A08974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Serious incidents </w:t>
            </w:r>
          </w:p>
        </w:tc>
        <w:tc>
          <w:tcPr>
            <w:tcW w:w="2338" w:type="dxa"/>
          </w:tcPr>
          <w:p w14:paraId="36A08225"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15 days</w:t>
            </w:r>
          </w:p>
        </w:tc>
        <w:tc>
          <w:tcPr>
            <w:tcW w:w="2338" w:type="dxa"/>
          </w:tcPr>
          <w:p w14:paraId="46AD88F4"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FSCA Reports Competent Authority or the member state where the incident(s) occurred.</w:t>
            </w:r>
          </w:p>
        </w:tc>
      </w:tr>
    </w:tbl>
    <w:p w14:paraId="637F80FC" w14:textId="77777777" w:rsidR="001E77F2" w:rsidRPr="00AA54A5" w:rsidRDefault="001E77F2" w:rsidP="001E77F2">
      <w:pPr>
        <w:rPr>
          <w:rFonts w:asciiTheme="majorHAnsi" w:hAnsiTheme="majorHAnsi" w:cstheme="majorHAnsi"/>
          <w:sz w:val="18"/>
          <w:szCs w:val="18"/>
        </w:rPr>
      </w:pPr>
    </w:p>
    <w:p w14:paraId="0E3D2451" w14:textId="0A57035D" w:rsidR="001E77F2" w:rsidRPr="00AA54A5" w:rsidRDefault="001E77F2" w:rsidP="00D072A6">
      <w:pPr>
        <w:pStyle w:val="ListParagraph"/>
        <w:numPr>
          <w:ilvl w:val="0"/>
          <w:numId w:val="1"/>
        </w:numPr>
        <w:spacing w:after="120"/>
        <w:jc w:val="both"/>
        <w:rPr>
          <w:rFonts w:asciiTheme="majorHAnsi" w:hAnsiTheme="majorHAnsi" w:cstheme="majorHAnsi"/>
          <w:b/>
        </w:rPr>
      </w:pPr>
      <w:r w:rsidRPr="00AA54A5">
        <w:rPr>
          <w:rFonts w:asciiTheme="majorHAnsi" w:hAnsiTheme="majorHAnsi" w:cstheme="majorHAnsi"/>
          <w:b/>
        </w:rPr>
        <w:t xml:space="preserve">PROCEDURE </w:t>
      </w:r>
    </w:p>
    <w:p w14:paraId="50027BDF" w14:textId="5DE64563" w:rsidR="001E77F2" w:rsidRPr="00AA54A5" w:rsidRDefault="001E77F2" w:rsidP="00AA54A5">
      <w:pPr>
        <w:spacing w:after="120"/>
        <w:rPr>
          <w:rFonts w:asciiTheme="majorHAnsi" w:hAnsiTheme="majorHAnsi" w:cstheme="majorHAnsi"/>
          <w:bCs/>
          <w:sz w:val="18"/>
          <w:szCs w:val="18"/>
        </w:rPr>
      </w:pPr>
      <w:r w:rsidRPr="00AA54A5">
        <w:rPr>
          <w:rFonts w:asciiTheme="majorHAnsi" w:hAnsiTheme="majorHAnsi" w:cstheme="majorHAnsi"/>
          <w:bCs/>
          <w:sz w:val="18"/>
          <w:szCs w:val="18"/>
        </w:rPr>
        <w:t>Different markets around the world have different reporting requirements.</w:t>
      </w:r>
      <w:r w:rsidR="00AA54A5">
        <w:rPr>
          <w:rFonts w:asciiTheme="majorHAnsi" w:hAnsiTheme="majorHAnsi" w:cstheme="majorHAnsi"/>
          <w:bCs/>
          <w:sz w:val="18"/>
          <w:szCs w:val="18"/>
        </w:rPr>
        <w:t xml:space="preserve"> </w:t>
      </w:r>
      <w:r w:rsidRPr="00AA54A5">
        <w:rPr>
          <w:rFonts w:asciiTheme="majorHAnsi" w:hAnsiTheme="majorHAnsi" w:cstheme="majorHAnsi"/>
          <w:bCs/>
          <w:sz w:val="18"/>
          <w:szCs w:val="18"/>
        </w:rPr>
        <w:t xml:space="preserve">Follow the table below for the reporting requirements of </w:t>
      </w:r>
      <w:r w:rsidR="00AA54A5">
        <w:rPr>
          <w:rFonts w:asciiTheme="majorHAnsi" w:hAnsiTheme="majorHAnsi" w:cstheme="majorHAnsi"/>
          <w:bCs/>
          <w:sz w:val="18"/>
          <w:szCs w:val="18"/>
        </w:rPr>
        <w:t xml:space="preserve">the </w:t>
      </w:r>
      <w:r w:rsidRPr="00AA54A5">
        <w:rPr>
          <w:rFonts w:asciiTheme="majorHAnsi" w:hAnsiTheme="majorHAnsi" w:cstheme="majorHAnsi"/>
          <w:bCs/>
          <w:sz w:val="18"/>
          <w:szCs w:val="18"/>
        </w:rPr>
        <w:t xml:space="preserve">US, </w:t>
      </w:r>
      <w:r w:rsidR="00AA54A5">
        <w:rPr>
          <w:rFonts w:asciiTheme="majorHAnsi" w:hAnsiTheme="majorHAnsi" w:cstheme="majorHAnsi"/>
          <w:bCs/>
          <w:sz w:val="18"/>
          <w:szCs w:val="18"/>
        </w:rPr>
        <w:t>Japan,</w:t>
      </w:r>
      <w:r w:rsidRPr="00AA54A5">
        <w:rPr>
          <w:rFonts w:asciiTheme="majorHAnsi" w:hAnsiTheme="majorHAnsi" w:cstheme="majorHAnsi"/>
          <w:bCs/>
          <w:sz w:val="18"/>
          <w:szCs w:val="18"/>
        </w:rPr>
        <w:t xml:space="preserve"> </w:t>
      </w:r>
      <w:r w:rsidR="00AA54A5">
        <w:rPr>
          <w:rFonts w:asciiTheme="majorHAnsi" w:hAnsiTheme="majorHAnsi" w:cstheme="majorHAnsi"/>
          <w:bCs/>
          <w:sz w:val="18"/>
          <w:szCs w:val="18"/>
        </w:rPr>
        <w:t xml:space="preserve">the </w:t>
      </w:r>
      <w:r w:rsidRPr="00AA54A5">
        <w:rPr>
          <w:rFonts w:asciiTheme="majorHAnsi" w:hAnsiTheme="majorHAnsi" w:cstheme="majorHAnsi"/>
          <w:bCs/>
          <w:sz w:val="18"/>
          <w:szCs w:val="18"/>
        </w:rPr>
        <w:t xml:space="preserve">EU, </w:t>
      </w:r>
      <w:r w:rsidR="00AA54A5">
        <w:rPr>
          <w:rFonts w:asciiTheme="majorHAnsi" w:hAnsiTheme="majorHAnsi" w:cstheme="majorHAnsi"/>
          <w:bCs/>
          <w:sz w:val="18"/>
          <w:szCs w:val="18"/>
        </w:rPr>
        <w:t>Canada,</w:t>
      </w:r>
      <w:r w:rsidRPr="00AA54A5">
        <w:rPr>
          <w:rFonts w:asciiTheme="majorHAnsi" w:hAnsiTheme="majorHAnsi" w:cstheme="majorHAnsi"/>
          <w:bCs/>
          <w:sz w:val="18"/>
          <w:szCs w:val="18"/>
        </w:rPr>
        <w:t xml:space="preserve"> B</w:t>
      </w:r>
      <w:r w:rsidR="00AA54A5">
        <w:rPr>
          <w:rFonts w:asciiTheme="majorHAnsi" w:hAnsiTheme="majorHAnsi" w:cstheme="majorHAnsi"/>
          <w:bCs/>
          <w:sz w:val="18"/>
          <w:szCs w:val="18"/>
        </w:rPr>
        <w:t>razil,</w:t>
      </w:r>
      <w:r w:rsidRPr="00AA54A5">
        <w:rPr>
          <w:rFonts w:asciiTheme="majorHAnsi" w:hAnsiTheme="majorHAnsi" w:cstheme="majorHAnsi"/>
          <w:bCs/>
          <w:sz w:val="18"/>
          <w:szCs w:val="18"/>
        </w:rPr>
        <w:t xml:space="preserve"> and </w:t>
      </w:r>
      <w:r w:rsidR="00AA54A5">
        <w:rPr>
          <w:rFonts w:asciiTheme="majorHAnsi" w:hAnsiTheme="majorHAnsi" w:cstheme="majorHAnsi"/>
          <w:bCs/>
          <w:sz w:val="18"/>
          <w:szCs w:val="18"/>
        </w:rPr>
        <w:t>Australia.</w:t>
      </w:r>
    </w:p>
    <w:p w14:paraId="667BD960" w14:textId="1123AE6E" w:rsidR="003A076C" w:rsidRPr="00522786" w:rsidRDefault="003A076C" w:rsidP="003A076C">
      <w:pPr>
        <w:spacing w:after="120"/>
        <w:jc w:val="center"/>
        <w:rPr>
          <w:rFonts w:asciiTheme="majorHAnsi" w:hAnsiTheme="majorHAnsi" w:cstheme="majorHAnsi"/>
          <w:b/>
          <w:sz w:val="18"/>
          <w:szCs w:val="18"/>
        </w:rPr>
      </w:pPr>
      <w:r w:rsidRPr="00522786">
        <w:rPr>
          <w:rFonts w:asciiTheme="majorHAnsi" w:hAnsiTheme="majorHAnsi" w:cstheme="majorHAnsi"/>
          <w:b/>
          <w:sz w:val="18"/>
          <w:szCs w:val="18"/>
        </w:rPr>
        <w:t>Table 3</w:t>
      </w:r>
    </w:p>
    <w:tbl>
      <w:tblPr>
        <w:tblStyle w:val="TableGrid"/>
        <w:tblW w:w="0" w:type="auto"/>
        <w:tblLook w:val="04A0" w:firstRow="1" w:lastRow="0" w:firstColumn="1" w:lastColumn="0" w:noHBand="0" w:noVBand="1"/>
      </w:tblPr>
      <w:tblGrid>
        <w:gridCol w:w="1539"/>
        <w:gridCol w:w="2489"/>
        <w:gridCol w:w="1097"/>
        <w:gridCol w:w="1379"/>
        <w:gridCol w:w="1413"/>
        <w:gridCol w:w="1433"/>
      </w:tblGrid>
      <w:tr w:rsidR="001E77F2" w:rsidRPr="00AA54A5" w14:paraId="62A46494" w14:textId="77777777" w:rsidTr="00AA54A5">
        <w:tc>
          <w:tcPr>
            <w:tcW w:w="1539" w:type="dxa"/>
            <w:vAlign w:val="center"/>
          </w:tcPr>
          <w:p w14:paraId="616A1DE1" w14:textId="77777777" w:rsidR="001E77F2" w:rsidRPr="00AA54A5" w:rsidRDefault="001E77F2" w:rsidP="00192948">
            <w:pPr>
              <w:jc w:val="center"/>
              <w:rPr>
                <w:rFonts w:asciiTheme="majorHAnsi" w:hAnsiTheme="majorHAnsi" w:cstheme="majorHAnsi"/>
                <w:b/>
                <w:bCs/>
                <w:sz w:val="18"/>
                <w:szCs w:val="18"/>
              </w:rPr>
            </w:pPr>
            <w:r w:rsidRPr="00AA54A5">
              <w:rPr>
                <w:rFonts w:asciiTheme="majorHAnsi" w:hAnsiTheme="majorHAnsi" w:cstheme="majorHAnsi"/>
                <w:b/>
                <w:bCs/>
                <w:sz w:val="18"/>
                <w:szCs w:val="18"/>
              </w:rPr>
              <w:t>Market</w:t>
            </w:r>
          </w:p>
        </w:tc>
        <w:tc>
          <w:tcPr>
            <w:tcW w:w="2489" w:type="dxa"/>
            <w:vAlign w:val="center"/>
          </w:tcPr>
          <w:p w14:paraId="3F093E2B" w14:textId="77777777" w:rsidR="001E77F2" w:rsidRPr="00AA54A5" w:rsidRDefault="001E77F2" w:rsidP="00192948">
            <w:pPr>
              <w:jc w:val="center"/>
              <w:rPr>
                <w:rFonts w:asciiTheme="majorHAnsi" w:hAnsiTheme="majorHAnsi" w:cstheme="majorHAnsi"/>
                <w:b/>
                <w:bCs/>
                <w:sz w:val="18"/>
                <w:szCs w:val="18"/>
              </w:rPr>
            </w:pPr>
            <w:r w:rsidRPr="00AA54A5">
              <w:rPr>
                <w:rFonts w:asciiTheme="majorHAnsi" w:hAnsiTheme="majorHAnsi" w:cstheme="majorHAnsi"/>
                <w:b/>
                <w:bCs/>
                <w:sz w:val="18"/>
                <w:szCs w:val="18"/>
              </w:rPr>
              <w:t>Severity</w:t>
            </w:r>
          </w:p>
        </w:tc>
        <w:tc>
          <w:tcPr>
            <w:tcW w:w="1097" w:type="dxa"/>
            <w:vAlign w:val="center"/>
          </w:tcPr>
          <w:p w14:paraId="60A2D402" w14:textId="77777777" w:rsidR="001E77F2" w:rsidRPr="00AA54A5" w:rsidRDefault="001E77F2" w:rsidP="00192948">
            <w:pPr>
              <w:jc w:val="center"/>
              <w:rPr>
                <w:rFonts w:asciiTheme="majorHAnsi" w:hAnsiTheme="majorHAnsi" w:cstheme="majorHAnsi"/>
                <w:b/>
                <w:bCs/>
                <w:sz w:val="18"/>
                <w:szCs w:val="18"/>
              </w:rPr>
            </w:pPr>
            <w:r w:rsidRPr="00AA54A5">
              <w:rPr>
                <w:rFonts w:asciiTheme="majorHAnsi" w:hAnsiTheme="majorHAnsi" w:cstheme="majorHAnsi"/>
                <w:b/>
                <w:bCs/>
                <w:sz w:val="18"/>
                <w:szCs w:val="18"/>
              </w:rPr>
              <w:t>Report within</w:t>
            </w:r>
          </w:p>
        </w:tc>
        <w:tc>
          <w:tcPr>
            <w:tcW w:w="1379" w:type="dxa"/>
            <w:vAlign w:val="center"/>
          </w:tcPr>
          <w:p w14:paraId="61AC2924" w14:textId="77777777" w:rsidR="001E77F2" w:rsidRPr="00AA54A5" w:rsidRDefault="001E77F2" w:rsidP="00192948">
            <w:pPr>
              <w:jc w:val="center"/>
              <w:rPr>
                <w:rFonts w:asciiTheme="majorHAnsi" w:hAnsiTheme="majorHAnsi" w:cstheme="majorHAnsi"/>
                <w:b/>
                <w:bCs/>
                <w:sz w:val="18"/>
                <w:szCs w:val="18"/>
              </w:rPr>
            </w:pPr>
            <w:r w:rsidRPr="00AA54A5">
              <w:rPr>
                <w:rFonts w:asciiTheme="majorHAnsi" w:hAnsiTheme="majorHAnsi" w:cstheme="majorHAnsi"/>
                <w:b/>
                <w:bCs/>
                <w:sz w:val="18"/>
                <w:szCs w:val="18"/>
              </w:rPr>
              <w:t>Who Reports</w:t>
            </w:r>
          </w:p>
        </w:tc>
        <w:tc>
          <w:tcPr>
            <w:tcW w:w="1413" w:type="dxa"/>
            <w:vAlign w:val="center"/>
          </w:tcPr>
          <w:p w14:paraId="24B330CF" w14:textId="77777777" w:rsidR="001E77F2" w:rsidRPr="00AA54A5" w:rsidRDefault="001E77F2" w:rsidP="00192948">
            <w:pPr>
              <w:jc w:val="center"/>
              <w:rPr>
                <w:rFonts w:asciiTheme="majorHAnsi" w:hAnsiTheme="majorHAnsi" w:cstheme="majorHAnsi"/>
                <w:b/>
                <w:bCs/>
                <w:sz w:val="18"/>
                <w:szCs w:val="18"/>
              </w:rPr>
            </w:pPr>
            <w:r w:rsidRPr="00AA54A5">
              <w:rPr>
                <w:rFonts w:asciiTheme="majorHAnsi" w:hAnsiTheme="majorHAnsi" w:cstheme="majorHAnsi"/>
                <w:b/>
                <w:bCs/>
                <w:sz w:val="18"/>
                <w:szCs w:val="18"/>
              </w:rPr>
              <w:t>Annual Report Required</w:t>
            </w:r>
          </w:p>
        </w:tc>
        <w:tc>
          <w:tcPr>
            <w:tcW w:w="1433" w:type="dxa"/>
            <w:vAlign w:val="center"/>
          </w:tcPr>
          <w:p w14:paraId="096429CD" w14:textId="77777777" w:rsidR="001E77F2" w:rsidRPr="00AA54A5" w:rsidRDefault="001E77F2" w:rsidP="00192948">
            <w:pPr>
              <w:jc w:val="center"/>
              <w:rPr>
                <w:rFonts w:asciiTheme="majorHAnsi" w:hAnsiTheme="majorHAnsi" w:cstheme="majorHAnsi"/>
                <w:b/>
                <w:bCs/>
                <w:sz w:val="18"/>
                <w:szCs w:val="18"/>
              </w:rPr>
            </w:pPr>
            <w:r w:rsidRPr="00AA54A5">
              <w:rPr>
                <w:rFonts w:asciiTheme="majorHAnsi" w:hAnsiTheme="majorHAnsi" w:cstheme="majorHAnsi"/>
                <w:b/>
                <w:bCs/>
                <w:sz w:val="18"/>
                <w:szCs w:val="18"/>
              </w:rPr>
              <w:t>Reporting individual incidents occurring in other countries?</w:t>
            </w:r>
          </w:p>
        </w:tc>
      </w:tr>
      <w:tr w:rsidR="001E77F2" w:rsidRPr="00AA54A5" w14:paraId="1C3CE46F" w14:textId="77777777" w:rsidTr="00AA54A5">
        <w:tc>
          <w:tcPr>
            <w:tcW w:w="1539" w:type="dxa"/>
            <w:vMerge w:val="restart"/>
            <w:shd w:val="clear" w:color="auto" w:fill="F2F2F2" w:themeFill="background1" w:themeFillShade="F2"/>
          </w:tcPr>
          <w:p w14:paraId="57B36A11"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US</w:t>
            </w:r>
          </w:p>
        </w:tc>
        <w:tc>
          <w:tcPr>
            <w:tcW w:w="2489" w:type="dxa"/>
            <w:shd w:val="clear" w:color="auto" w:fill="F2F2F2" w:themeFill="background1" w:themeFillShade="F2"/>
          </w:tcPr>
          <w:p w14:paraId="18F8E206"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Death, Serious Injuries, or Malfunctions</w:t>
            </w:r>
          </w:p>
        </w:tc>
        <w:tc>
          <w:tcPr>
            <w:tcW w:w="1097" w:type="dxa"/>
            <w:shd w:val="clear" w:color="auto" w:fill="F2F2F2" w:themeFill="background1" w:themeFillShade="F2"/>
          </w:tcPr>
          <w:p w14:paraId="1F03BD79"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30 days</w:t>
            </w:r>
          </w:p>
        </w:tc>
        <w:tc>
          <w:tcPr>
            <w:tcW w:w="1379" w:type="dxa"/>
            <w:shd w:val="clear" w:color="auto" w:fill="F2F2F2" w:themeFill="background1" w:themeFillShade="F2"/>
          </w:tcPr>
          <w:p w14:paraId="6D8894C2"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Manufacturer, User</w:t>
            </w:r>
          </w:p>
        </w:tc>
        <w:tc>
          <w:tcPr>
            <w:tcW w:w="1413" w:type="dxa"/>
            <w:shd w:val="clear" w:color="auto" w:fill="F2F2F2" w:themeFill="background1" w:themeFillShade="F2"/>
          </w:tcPr>
          <w:p w14:paraId="2BBFD375"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Yes</w:t>
            </w:r>
          </w:p>
        </w:tc>
        <w:tc>
          <w:tcPr>
            <w:tcW w:w="1433" w:type="dxa"/>
            <w:shd w:val="clear" w:color="auto" w:fill="F2F2F2" w:themeFill="background1" w:themeFillShade="F2"/>
          </w:tcPr>
          <w:p w14:paraId="7920087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Yes </w:t>
            </w:r>
          </w:p>
          <w:p w14:paraId="5CF0C83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within 30 days</w:t>
            </w:r>
          </w:p>
        </w:tc>
      </w:tr>
      <w:tr w:rsidR="001E77F2" w:rsidRPr="00AA54A5" w14:paraId="423A2753" w14:textId="77777777" w:rsidTr="00AA54A5">
        <w:tc>
          <w:tcPr>
            <w:tcW w:w="1539" w:type="dxa"/>
            <w:vMerge/>
            <w:shd w:val="clear" w:color="auto" w:fill="F2F2F2" w:themeFill="background1" w:themeFillShade="F2"/>
          </w:tcPr>
          <w:p w14:paraId="671427A0" w14:textId="77777777" w:rsidR="001E77F2" w:rsidRPr="00AA54A5" w:rsidRDefault="001E77F2" w:rsidP="00192948">
            <w:pPr>
              <w:jc w:val="center"/>
              <w:rPr>
                <w:rFonts w:asciiTheme="majorHAnsi" w:hAnsiTheme="majorHAnsi" w:cstheme="majorHAnsi"/>
                <w:sz w:val="18"/>
                <w:szCs w:val="18"/>
              </w:rPr>
            </w:pPr>
          </w:p>
        </w:tc>
        <w:tc>
          <w:tcPr>
            <w:tcW w:w="2489" w:type="dxa"/>
            <w:shd w:val="clear" w:color="auto" w:fill="F2F2F2" w:themeFill="background1" w:themeFillShade="F2"/>
          </w:tcPr>
          <w:p w14:paraId="0B4112E6"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Remedial Action Needed to Prevent Risk of Substantial Harm</w:t>
            </w:r>
          </w:p>
        </w:tc>
        <w:tc>
          <w:tcPr>
            <w:tcW w:w="1097" w:type="dxa"/>
            <w:shd w:val="clear" w:color="auto" w:fill="F2F2F2" w:themeFill="background1" w:themeFillShade="F2"/>
          </w:tcPr>
          <w:p w14:paraId="5A7EB900"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5 days</w:t>
            </w:r>
          </w:p>
        </w:tc>
        <w:tc>
          <w:tcPr>
            <w:tcW w:w="1379" w:type="dxa"/>
            <w:shd w:val="clear" w:color="auto" w:fill="F2F2F2" w:themeFill="background1" w:themeFillShade="F2"/>
          </w:tcPr>
          <w:p w14:paraId="4A8C1EB9"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Manufacturer, User</w:t>
            </w:r>
          </w:p>
        </w:tc>
        <w:tc>
          <w:tcPr>
            <w:tcW w:w="1413" w:type="dxa"/>
            <w:shd w:val="clear" w:color="auto" w:fill="F2F2F2" w:themeFill="background1" w:themeFillShade="F2"/>
          </w:tcPr>
          <w:p w14:paraId="7C83845B"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Yes</w:t>
            </w:r>
          </w:p>
        </w:tc>
        <w:tc>
          <w:tcPr>
            <w:tcW w:w="1433" w:type="dxa"/>
            <w:shd w:val="clear" w:color="auto" w:fill="F2F2F2" w:themeFill="background1" w:themeFillShade="F2"/>
          </w:tcPr>
          <w:p w14:paraId="5C799F8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Yes*** </w:t>
            </w:r>
          </w:p>
          <w:p w14:paraId="40E8E8DC"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within 30 days</w:t>
            </w:r>
          </w:p>
        </w:tc>
      </w:tr>
      <w:tr w:rsidR="001E77F2" w:rsidRPr="00AA54A5" w14:paraId="653CBA7B" w14:textId="77777777" w:rsidTr="00AA54A5">
        <w:tc>
          <w:tcPr>
            <w:tcW w:w="1539" w:type="dxa"/>
            <w:vMerge w:val="restart"/>
          </w:tcPr>
          <w:p w14:paraId="4C03681A"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JAPAN</w:t>
            </w:r>
          </w:p>
        </w:tc>
        <w:tc>
          <w:tcPr>
            <w:tcW w:w="2489" w:type="dxa"/>
          </w:tcPr>
          <w:p w14:paraId="39BD9C3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Death plus malfunctions, faults or breakage**</w:t>
            </w:r>
          </w:p>
        </w:tc>
        <w:tc>
          <w:tcPr>
            <w:tcW w:w="1097" w:type="dxa"/>
          </w:tcPr>
          <w:p w14:paraId="3A1DC91C"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15 days</w:t>
            </w:r>
          </w:p>
        </w:tc>
        <w:tc>
          <w:tcPr>
            <w:tcW w:w="1379" w:type="dxa"/>
            <w:vMerge w:val="restart"/>
          </w:tcPr>
          <w:p w14:paraId="23B911B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Market authorization holder</w:t>
            </w:r>
          </w:p>
        </w:tc>
        <w:tc>
          <w:tcPr>
            <w:tcW w:w="1413" w:type="dxa"/>
            <w:vMerge w:val="restart"/>
          </w:tcPr>
          <w:p w14:paraId="0DE8509A"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tc>
        <w:tc>
          <w:tcPr>
            <w:tcW w:w="1433" w:type="dxa"/>
            <w:vMerge w:val="restart"/>
          </w:tcPr>
          <w:p w14:paraId="2468D83F"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tc>
      </w:tr>
      <w:tr w:rsidR="001E77F2" w:rsidRPr="00AA54A5" w14:paraId="1E4D6DCB" w14:textId="77777777" w:rsidTr="00AA54A5">
        <w:tc>
          <w:tcPr>
            <w:tcW w:w="1539" w:type="dxa"/>
            <w:vMerge/>
          </w:tcPr>
          <w:p w14:paraId="65CAF977" w14:textId="77777777" w:rsidR="001E77F2" w:rsidRPr="00AA54A5" w:rsidRDefault="001E77F2" w:rsidP="00192948">
            <w:pPr>
              <w:jc w:val="center"/>
              <w:rPr>
                <w:rFonts w:asciiTheme="majorHAnsi" w:hAnsiTheme="majorHAnsi" w:cstheme="majorHAnsi"/>
                <w:sz w:val="18"/>
                <w:szCs w:val="18"/>
              </w:rPr>
            </w:pPr>
          </w:p>
        </w:tc>
        <w:tc>
          <w:tcPr>
            <w:tcW w:w="2489" w:type="dxa"/>
          </w:tcPr>
          <w:p w14:paraId="36D142F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Serious events</w:t>
            </w:r>
          </w:p>
          <w:p w14:paraId="1501E2EE" w14:textId="77777777" w:rsidR="001E77F2" w:rsidRPr="00AA54A5" w:rsidRDefault="001E77F2" w:rsidP="00192948">
            <w:pPr>
              <w:rPr>
                <w:rFonts w:asciiTheme="majorHAnsi" w:hAnsiTheme="majorHAnsi" w:cstheme="majorHAnsi"/>
                <w:sz w:val="18"/>
                <w:szCs w:val="18"/>
              </w:rPr>
            </w:pPr>
          </w:p>
        </w:tc>
        <w:tc>
          <w:tcPr>
            <w:tcW w:w="1097" w:type="dxa"/>
          </w:tcPr>
          <w:p w14:paraId="046B93F7"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30 days</w:t>
            </w:r>
          </w:p>
        </w:tc>
        <w:tc>
          <w:tcPr>
            <w:tcW w:w="1379" w:type="dxa"/>
            <w:vMerge/>
          </w:tcPr>
          <w:p w14:paraId="2E18137E" w14:textId="77777777" w:rsidR="001E77F2" w:rsidRPr="00AA54A5" w:rsidRDefault="001E77F2" w:rsidP="00192948">
            <w:pPr>
              <w:rPr>
                <w:rFonts w:asciiTheme="majorHAnsi" w:hAnsiTheme="majorHAnsi" w:cstheme="majorHAnsi"/>
                <w:sz w:val="18"/>
                <w:szCs w:val="18"/>
              </w:rPr>
            </w:pPr>
          </w:p>
        </w:tc>
        <w:tc>
          <w:tcPr>
            <w:tcW w:w="1413" w:type="dxa"/>
            <w:vMerge/>
          </w:tcPr>
          <w:p w14:paraId="6CB09B6B" w14:textId="77777777" w:rsidR="001E77F2" w:rsidRPr="00AA54A5" w:rsidRDefault="001E77F2" w:rsidP="00192948">
            <w:pPr>
              <w:rPr>
                <w:rFonts w:asciiTheme="majorHAnsi" w:hAnsiTheme="majorHAnsi" w:cstheme="majorHAnsi"/>
                <w:sz w:val="18"/>
                <w:szCs w:val="18"/>
              </w:rPr>
            </w:pPr>
          </w:p>
        </w:tc>
        <w:tc>
          <w:tcPr>
            <w:tcW w:w="1433" w:type="dxa"/>
            <w:vMerge/>
          </w:tcPr>
          <w:p w14:paraId="4E473F1F" w14:textId="77777777" w:rsidR="001E77F2" w:rsidRPr="00AA54A5" w:rsidRDefault="001E77F2" w:rsidP="00192948">
            <w:pPr>
              <w:rPr>
                <w:rFonts w:asciiTheme="majorHAnsi" w:hAnsiTheme="majorHAnsi" w:cstheme="majorHAnsi"/>
                <w:sz w:val="18"/>
                <w:szCs w:val="18"/>
              </w:rPr>
            </w:pPr>
          </w:p>
        </w:tc>
      </w:tr>
      <w:tr w:rsidR="001E77F2" w:rsidRPr="00AA54A5" w14:paraId="61561CE7" w14:textId="77777777" w:rsidTr="00AA54A5">
        <w:tc>
          <w:tcPr>
            <w:tcW w:w="1539" w:type="dxa"/>
            <w:vMerge w:val="restart"/>
            <w:shd w:val="clear" w:color="auto" w:fill="F2F2F2" w:themeFill="background1" w:themeFillShade="F2"/>
          </w:tcPr>
          <w:p w14:paraId="1B79BCF2"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EU *</w:t>
            </w:r>
          </w:p>
        </w:tc>
        <w:tc>
          <w:tcPr>
            <w:tcW w:w="2489" w:type="dxa"/>
            <w:shd w:val="clear" w:color="auto" w:fill="F2F2F2" w:themeFill="background1" w:themeFillShade="F2"/>
          </w:tcPr>
          <w:p w14:paraId="28524C3C"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Serious public health threat</w:t>
            </w:r>
          </w:p>
          <w:p w14:paraId="784355BD" w14:textId="77777777" w:rsidR="001E77F2" w:rsidRPr="00AA54A5" w:rsidRDefault="001E77F2" w:rsidP="00192948">
            <w:pPr>
              <w:rPr>
                <w:rFonts w:asciiTheme="majorHAnsi" w:hAnsiTheme="majorHAnsi" w:cstheme="majorHAnsi"/>
                <w:sz w:val="18"/>
                <w:szCs w:val="18"/>
              </w:rPr>
            </w:pPr>
          </w:p>
        </w:tc>
        <w:tc>
          <w:tcPr>
            <w:tcW w:w="1097" w:type="dxa"/>
            <w:shd w:val="clear" w:color="auto" w:fill="F2F2F2" w:themeFill="background1" w:themeFillShade="F2"/>
          </w:tcPr>
          <w:p w14:paraId="4A3D197D"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2 days</w:t>
            </w:r>
          </w:p>
        </w:tc>
        <w:tc>
          <w:tcPr>
            <w:tcW w:w="1379" w:type="dxa"/>
            <w:vMerge w:val="restart"/>
            <w:shd w:val="clear" w:color="auto" w:fill="F2F2F2" w:themeFill="background1" w:themeFillShade="F2"/>
          </w:tcPr>
          <w:p w14:paraId="2507A48E"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Manufacturer</w:t>
            </w:r>
          </w:p>
        </w:tc>
        <w:tc>
          <w:tcPr>
            <w:tcW w:w="1413" w:type="dxa"/>
            <w:vMerge w:val="restart"/>
            <w:shd w:val="clear" w:color="auto" w:fill="F2F2F2" w:themeFill="background1" w:themeFillShade="F2"/>
          </w:tcPr>
          <w:p w14:paraId="3140B4C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tc>
        <w:tc>
          <w:tcPr>
            <w:tcW w:w="1433" w:type="dxa"/>
            <w:vMerge w:val="restart"/>
            <w:shd w:val="clear" w:color="auto" w:fill="F2F2F2" w:themeFill="background1" w:themeFillShade="F2"/>
          </w:tcPr>
          <w:p w14:paraId="1A63097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p w14:paraId="646DBF7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only applies to FSCA</w:t>
            </w:r>
          </w:p>
        </w:tc>
      </w:tr>
      <w:tr w:rsidR="001E77F2" w:rsidRPr="00AA54A5" w14:paraId="3F4E0A90" w14:textId="77777777" w:rsidTr="00AA54A5">
        <w:tc>
          <w:tcPr>
            <w:tcW w:w="1539" w:type="dxa"/>
            <w:vMerge/>
          </w:tcPr>
          <w:p w14:paraId="3F9FB55E" w14:textId="77777777" w:rsidR="001E77F2" w:rsidRPr="00AA54A5" w:rsidRDefault="001E77F2" w:rsidP="00192948">
            <w:pPr>
              <w:jc w:val="center"/>
              <w:rPr>
                <w:rFonts w:asciiTheme="majorHAnsi" w:hAnsiTheme="majorHAnsi" w:cstheme="majorHAnsi"/>
                <w:sz w:val="18"/>
                <w:szCs w:val="18"/>
              </w:rPr>
            </w:pPr>
          </w:p>
        </w:tc>
        <w:tc>
          <w:tcPr>
            <w:tcW w:w="2489" w:type="dxa"/>
            <w:shd w:val="clear" w:color="auto" w:fill="F2F2F2" w:themeFill="background1" w:themeFillShade="F2"/>
          </w:tcPr>
          <w:p w14:paraId="6CFD9CC1"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Death or serious deterioration of health </w:t>
            </w:r>
          </w:p>
        </w:tc>
        <w:tc>
          <w:tcPr>
            <w:tcW w:w="1097" w:type="dxa"/>
            <w:shd w:val="clear" w:color="auto" w:fill="F2F2F2" w:themeFill="background1" w:themeFillShade="F2"/>
          </w:tcPr>
          <w:p w14:paraId="58738E80"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10 days</w:t>
            </w:r>
          </w:p>
        </w:tc>
        <w:tc>
          <w:tcPr>
            <w:tcW w:w="1379" w:type="dxa"/>
            <w:vMerge/>
          </w:tcPr>
          <w:p w14:paraId="642E9E0A" w14:textId="77777777" w:rsidR="001E77F2" w:rsidRPr="00AA54A5" w:rsidRDefault="001E77F2" w:rsidP="00192948">
            <w:pPr>
              <w:rPr>
                <w:rFonts w:asciiTheme="majorHAnsi" w:hAnsiTheme="majorHAnsi" w:cstheme="majorHAnsi"/>
                <w:sz w:val="18"/>
                <w:szCs w:val="18"/>
              </w:rPr>
            </w:pPr>
          </w:p>
        </w:tc>
        <w:tc>
          <w:tcPr>
            <w:tcW w:w="1413" w:type="dxa"/>
            <w:vMerge/>
          </w:tcPr>
          <w:p w14:paraId="6B71C1CB" w14:textId="77777777" w:rsidR="001E77F2" w:rsidRPr="00AA54A5" w:rsidRDefault="001E77F2" w:rsidP="00192948">
            <w:pPr>
              <w:rPr>
                <w:rFonts w:asciiTheme="majorHAnsi" w:hAnsiTheme="majorHAnsi" w:cstheme="majorHAnsi"/>
                <w:sz w:val="18"/>
                <w:szCs w:val="18"/>
              </w:rPr>
            </w:pPr>
          </w:p>
        </w:tc>
        <w:tc>
          <w:tcPr>
            <w:tcW w:w="1433" w:type="dxa"/>
            <w:vMerge/>
          </w:tcPr>
          <w:p w14:paraId="062472A0" w14:textId="77777777" w:rsidR="001E77F2" w:rsidRPr="00AA54A5" w:rsidRDefault="001E77F2" w:rsidP="00192948">
            <w:pPr>
              <w:rPr>
                <w:rFonts w:asciiTheme="majorHAnsi" w:hAnsiTheme="majorHAnsi" w:cstheme="majorHAnsi"/>
                <w:sz w:val="18"/>
                <w:szCs w:val="18"/>
              </w:rPr>
            </w:pPr>
          </w:p>
        </w:tc>
      </w:tr>
      <w:tr w:rsidR="001E77F2" w:rsidRPr="00AA54A5" w14:paraId="2BE857E4" w14:textId="77777777" w:rsidTr="00AA54A5">
        <w:tc>
          <w:tcPr>
            <w:tcW w:w="1539" w:type="dxa"/>
            <w:vMerge/>
          </w:tcPr>
          <w:p w14:paraId="2FF8171F" w14:textId="77777777" w:rsidR="001E77F2" w:rsidRPr="00AA54A5" w:rsidRDefault="001E77F2" w:rsidP="00192948">
            <w:pPr>
              <w:jc w:val="center"/>
              <w:rPr>
                <w:rFonts w:asciiTheme="majorHAnsi" w:hAnsiTheme="majorHAnsi" w:cstheme="majorHAnsi"/>
                <w:sz w:val="18"/>
                <w:szCs w:val="18"/>
              </w:rPr>
            </w:pPr>
          </w:p>
        </w:tc>
        <w:tc>
          <w:tcPr>
            <w:tcW w:w="2489" w:type="dxa"/>
            <w:shd w:val="clear" w:color="auto" w:fill="F2F2F2" w:themeFill="background1" w:themeFillShade="F2"/>
          </w:tcPr>
          <w:p w14:paraId="5B9BCDD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Serious incidents </w:t>
            </w:r>
          </w:p>
          <w:p w14:paraId="03337E55" w14:textId="77777777" w:rsidR="001E77F2" w:rsidRPr="00AA54A5" w:rsidRDefault="001E77F2" w:rsidP="00192948">
            <w:pPr>
              <w:rPr>
                <w:rFonts w:asciiTheme="majorHAnsi" w:hAnsiTheme="majorHAnsi" w:cstheme="majorHAnsi"/>
                <w:sz w:val="18"/>
                <w:szCs w:val="18"/>
              </w:rPr>
            </w:pPr>
          </w:p>
        </w:tc>
        <w:tc>
          <w:tcPr>
            <w:tcW w:w="1097" w:type="dxa"/>
            <w:shd w:val="clear" w:color="auto" w:fill="F2F2F2" w:themeFill="background1" w:themeFillShade="F2"/>
          </w:tcPr>
          <w:p w14:paraId="69822738"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15 days</w:t>
            </w:r>
          </w:p>
        </w:tc>
        <w:tc>
          <w:tcPr>
            <w:tcW w:w="1379" w:type="dxa"/>
            <w:vMerge/>
          </w:tcPr>
          <w:p w14:paraId="41276CDB" w14:textId="77777777" w:rsidR="001E77F2" w:rsidRPr="00AA54A5" w:rsidRDefault="001E77F2" w:rsidP="00192948">
            <w:pPr>
              <w:rPr>
                <w:rFonts w:asciiTheme="majorHAnsi" w:hAnsiTheme="majorHAnsi" w:cstheme="majorHAnsi"/>
                <w:sz w:val="18"/>
                <w:szCs w:val="18"/>
              </w:rPr>
            </w:pPr>
          </w:p>
        </w:tc>
        <w:tc>
          <w:tcPr>
            <w:tcW w:w="1413" w:type="dxa"/>
            <w:vMerge/>
          </w:tcPr>
          <w:p w14:paraId="2087F26A" w14:textId="77777777" w:rsidR="001E77F2" w:rsidRPr="00AA54A5" w:rsidRDefault="001E77F2" w:rsidP="00192948">
            <w:pPr>
              <w:rPr>
                <w:rFonts w:asciiTheme="majorHAnsi" w:hAnsiTheme="majorHAnsi" w:cstheme="majorHAnsi"/>
                <w:sz w:val="18"/>
                <w:szCs w:val="18"/>
              </w:rPr>
            </w:pPr>
          </w:p>
        </w:tc>
        <w:tc>
          <w:tcPr>
            <w:tcW w:w="1433" w:type="dxa"/>
            <w:vMerge/>
          </w:tcPr>
          <w:p w14:paraId="1A6B92B8" w14:textId="77777777" w:rsidR="001E77F2" w:rsidRPr="00AA54A5" w:rsidRDefault="001E77F2" w:rsidP="00192948">
            <w:pPr>
              <w:rPr>
                <w:rFonts w:asciiTheme="majorHAnsi" w:hAnsiTheme="majorHAnsi" w:cstheme="majorHAnsi"/>
                <w:sz w:val="18"/>
                <w:szCs w:val="18"/>
              </w:rPr>
            </w:pPr>
          </w:p>
        </w:tc>
      </w:tr>
      <w:tr w:rsidR="001E77F2" w:rsidRPr="00AA54A5" w14:paraId="0CFA2B3D" w14:textId="77777777" w:rsidTr="00AA54A5">
        <w:tc>
          <w:tcPr>
            <w:tcW w:w="1539" w:type="dxa"/>
            <w:vMerge w:val="restart"/>
          </w:tcPr>
          <w:p w14:paraId="0B807E67"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CANADA</w:t>
            </w:r>
          </w:p>
        </w:tc>
        <w:tc>
          <w:tcPr>
            <w:tcW w:w="2489" w:type="dxa"/>
          </w:tcPr>
          <w:p w14:paraId="5B7DEE36"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Death or serious deterioration of health </w:t>
            </w:r>
          </w:p>
        </w:tc>
        <w:tc>
          <w:tcPr>
            <w:tcW w:w="1097" w:type="dxa"/>
          </w:tcPr>
          <w:p w14:paraId="092881AF"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10 days</w:t>
            </w:r>
          </w:p>
        </w:tc>
        <w:tc>
          <w:tcPr>
            <w:tcW w:w="1379" w:type="dxa"/>
            <w:vMerge w:val="restart"/>
          </w:tcPr>
          <w:p w14:paraId="7203D7E9"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Manufacturer &amp; Importer </w:t>
            </w:r>
          </w:p>
        </w:tc>
        <w:tc>
          <w:tcPr>
            <w:tcW w:w="1413" w:type="dxa"/>
            <w:vMerge w:val="restart"/>
          </w:tcPr>
          <w:p w14:paraId="187EEE79"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tc>
        <w:tc>
          <w:tcPr>
            <w:tcW w:w="1433" w:type="dxa"/>
            <w:vMerge w:val="restart"/>
          </w:tcPr>
          <w:p w14:paraId="588F4FED"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tc>
      </w:tr>
      <w:tr w:rsidR="001E77F2" w:rsidRPr="00AA54A5" w14:paraId="682BD01A" w14:textId="77777777" w:rsidTr="00AA54A5">
        <w:tc>
          <w:tcPr>
            <w:tcW w:w="1539" w:type="dxa"/>
            <w:vMerge/>
          </w:tcPr>
          <w:p w14:paraId="74598B77" w14:textId="77777777" w:rsidR="001E77F2" w:rsidRPr="00AA54A5" w:rsidRDefault="001E77F2" w:rsidP="00192948">
            <w:pPr>
              <w:jc w:val="center"/>
              <w:rPr>
                <w:rFonts w:asciiTheme="majorHAnsi" w:hAnsiTheme="majorHAnsi" w:cstheme="majorHAnsi"/>
                <w:sz w:val="18"/>
                <w:szCs w:val="18"/>
              </w:rPr>
            </w:pPr>
          </w:p>
        </w:tc>
        <w:tc>
          <w:tcPr>
            <w:tcW w:w="2489" w:type="dxa"/>
          </w:tcPr>
          <w:p w14:paraId="2A4838F0"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Recurrence could lead to death or serious health deterioration </w:t>
            </w:r>
          </w:p>
        </w:tc>
        <w:tc>
          <w:tcPr>
            <w:tcW w:w="1097" w:type="dxa"/>
          </w:tcPr>
          <w:p w14:paraId="2FBD0776"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30 days</w:t>
            </w:r>
          </w:p>
        </w:tc>
        <w:tc>
          <w:tcPr>
            <w:tcW w:w="1379" w:type="dxa"/>
            <w:vMerge/>
          </w:tcPr>
          <w:p w14:paraId="01D3FD28" w14:textId="77777777" w:rsidR="001E77F2" w:rsidRPr="00AA54A5" w:rsidRDefault="001E77F2" w:rsidP="00192948">
            <w:pPr>
              <w:rPr>
                <w:rFonts w:asciiTheme="majorHAnsi" w:hAnsiTheme="majorHAnsi" w:cstheme="majorHAnsi"/>
                <w:sz w:val="18"/>
                <w:szCs w:val="18"/>
              </w:rPr>
            </w:pPr>
          </w:p>
        </w:tc>
        <w:tc>
          <w:tcPr>
            <w:tcW w:w="1413" w:type="dxa"/>
            <w:vMerge/>
          </w:tcPr>
          <w:p w14:paraId="3CA39F5A" w14:textId="77777777" w:rsidR="001E77F2" w:rsidRPr="00AA54A5" w:rsidRDefault="001E77F2" w:rsidP="00192948">
            <w:pPr>
              <w:rPr>
                <w:rFonts w:asciiTheme="majorHAnsi" w:hAnsiTheme="majorHAnsi" w:cstheme="majorHAnsi"/>
                <w:sz w:val="18"/>
                <w:szCs w:val="18"/>
              </w:rPr>
            </w:pPr>
          </w:p>
        </w:tc>
        <w:tc>
          <w:tcPr>
            <w:tcW w:w="1433" w:type="dxa"/>
            <w:vMerge/>
          </w:tcPr>
          <w:p w14:paraId="6C2525E6" w14:textId="77777777" w:rsidR="001E77F2" w:rsidRPr="00AA54A5" w:rsidRDefault="001E77F2" w:rsidP="00192948">
            <w:pPr>
              <w:rPr>
                <w:rFonts w:asciiTheme="majorHAnsi" w:hAnsiTheme="majorHAnsi" w:cstheme="majorHAnsi"/>
                <w:sz w:val="18"/>
                <w:szCs w:val="18"/>
              </w:rPr>
            </w:pPr>
          </w:p>
        </w:tc>
      </w:tr>
      <w:tr w:rsidR="001E77F2" w:rsidRPr="00AA54A5" w14:paraId="4278DB0D" w14:textId="77777777" w:rsidTr="00AA54A5">
        <w:tc>
          <w:tcPr>
            <w:tcW w:w="1539" w:type="dxa"/>
            <w:vMerge w:val="restart"/>
            <w:shd w:val="clear" w:color="auto" w:fill="F2F2F2" w:themeFill="background1" w:themeFillShade="F2"/>
          </w:tcPr>
          <w:p w14:paraId="73DB76D8"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BRAZIL</w:t>
            </w:r>
          </w:p>
        </w:tc>
        <w:tc>
          <w:tcPr>
            <w:tcW w:w="2489" w:type="dxa"/>
            <w:shd w:val="clear" w:color="auto" w:fill="F2F2F2" w:themeFill="background1" w:themeFillShade="F2"/>
          </w:tcPr>
          <w:p w14:paraId="456B30E8"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Death or serious deterioration of health </w:t>
            </w:r>
          </w:p>
        </w:tc>
        <w:tc>
          <w:tcPr>
            <w:tcW w:w="1097" w:type="dxa"/>
            <w:shd w:val="clear" w:color="auto" w:fill="F2F2F2" w:themeFill="background1" w:themeFillShade="F2"/>
          </w:tcPr>
          <w:p w14:paraId="3C40189C"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72 hours</w:t>
            </w:r>
          </w:p>
        </w:tc>
        <w:tc>
          <w:tcPr>
            <w:tcW w:w="1379" w:type="dxa"/>
            <w:vMerge w:val="restart"/>
            <w:shd w:val="clear" w:color="auto" w:fill="F2F2F2" w:themeFill="background1" w:themeFillShade="F2"/>
          </w:tcPr>
          <w:p w14:paraId="01FCFAD5"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Manufacturer &amp; Registration Holder </w:t>
            </w:r>
          </w:p>
        </w:tc>
        <w:tc>
          <w:tcPr>
            <w:tcW w:w="1413" w:type="dxa"/>
            <w:vMerge w:val="restart"/>
            <w:shd w:val="clear" w:color="auto" w:fill="F2F2F2" w:themeFill="background1" w:themeFillShade="F2"/>
          </w:tcPr>
          <w:p w14:paraId="612F6EE8"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tc>
        <w:tc>
          <w:tcPr>
            <w:tcW w:w="1433" w:type="dxa"/>
            <w:vMerge w:val="restart"/>
            <w:shd w:val="clear" w:color="auto" w:fill="F2F2F2" w:themeFill="background1" w:themeFillShade="F2"/>
          </w:tcPr>
          <w:p w14:paraId="73BE9698"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Yes*** </w:t>
            </w:r>
          </w:p>
          <w:p w14:paraId="71A42DAB"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within 10 days</w:t>
            </w:r>
          </w:p>
        </w:tc>
      </w:tr>
      <w:tr w:rsidR="001E77F2" w:rsidRPr="00AA54A5" w14:paraId="20F169A4" w14:textId="77777777" w:rsidTr="00AA54A5">
        <w:tc>
          <w:tcPr>
            <w:tcW w:w="1539" w:type="dxa"/>
            <w:vMerge/>
            <w:shd w:val="clear" w:color="auto" w:fill="F2F2F2" w:themeFill="background1" w:themeFillShade="F2"/>
          </w:tcPr>
          <w:p w14:paraId="31786B26" w14:textId="77777777" w:rsidR="001E77F2" w:rsidRPr="00AA54A5" w:rsidRDefault="001E77F2" w:rsidP="00192948">
            <w:pPr>
              <w:jc w:val="center"/>
              <w:rPr>
                <w:rFonts w:asciiTheme="majorHAnsi" w:hAnsiTheme="majorHAnsi" w:cstheme="majorHAnsi"/>
                <w:sz w:val="18"/>
                <w:szCs w:val="18"/>
              </w:rPr>
            </w:pPr>
          </w:p>
        </w:tc>
        <w:tc>
          <w:tcPr>
            <w:tcW w:w="2489" w:type="dxa"/>
            <w:shd w:val="clear" w:color="auto" w:fill="F2F2F2" w:themeFill="background1" w:themeFillShade="F2"/>
          </w:tcPr>
          <w:p w14:paraId="73B35A15"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Serious adverse event but no deaths</w:t>
            </w:r>
          </w:p>
        </w:tc>
        <w:tc>
          <w:tcPr>
            <w:tcW w:w="1097" w:type="dxa"/>
            <w:shd w:val="clear" w:color="auto" w:fill="F2F2F2" w:themeFill="background1" w:themeFillShade="F2"/>
          </w:tcPr>
          <w:p w14:paraId="4293CA32"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10 days</w:t>
            </w:r>
          </w:p>
        </w:tc>
        <w:tc>
          <w:tcPr>
            <w:tcW w:w="1379" w:type="dxa"/>
            <w:vMerge/>
            <w:shd w:val="clear" w:color="auto" w:fill="F2F2F2" w:themeFill="background1" w:themeFillShade="F2"/>
          </w:tcPr>
          <w:p w14:paraId="3AC0AFAA" w14:textId="77777777" w:rsidR="001E77F2" w:rsidRPr="00AA54A5" w:rsidRDefault="001E77F2" w:rsidP="00192948">
            <w:pPr>
              <w:rPr>
                <w:rFonts w:asciiTheme="majorHAnsi" w:hAnsiTheme="majorHAnsi" w:cstheme="majorHAnsi"/>
                <w:sz w:val="18"/>
                <w:szCs w:val="18"/>
              </w:rPr>
            </w:pPr>
          </w:p>
        </w:tc>
        <w:tc>
          <w:tcPr>
            <w:tcW w:w="1413" w:type="dxa"/>
            <w:vMerge/>
            <w:shd w:val="clear" w:color="auto" w:fill="F2F2F2" w:themeFill="background1" w:themeFillShade="F2"/>
          </w:tcPr>
          <w:p w14:paraId="0D1FDBE3" w14:textId="77777777" w:rsidR="001E77F2" w:rsidRPr="00AA54A5" w:rsidRDefault="001E77F2" w:rsidP="00192948">
            <w:pPr>
              <w:rPr>
                <w:rFonts w:asciiTheme="majorHAnsi" w:hAnsiTheme="majorHAnsi" w:cstheme="majorHAnsi"/>
                <w:sz w:val="18"/>
                <w:szCs w:val="18"/>
              </w:rPr>
            </w:pPr>
          </w:p>
        </w:tc>
        <w:tc>
          <w:tcPr>
            <w:tcW w:w="1433" w:type="dxa"/>
            <w:vMerge/>
            <w:shd w:val="clear" w:color="auto" w:fill="F2F2F2" w:themeFill="background1" w:themeFillShade="F2"/>
          </w:tcPr>
          <w:p w14:paraId="1A433FC0" w14:textId="77777777" w:rsidR="001E77F2" w:rsidRPr="00AA54A5" w:rsidRDefault="001E77F2" w:rsidP="00192948">
            <w:pPr>
              <w:rPr>
                <w:rFonts w:asciiTheme="majorHAnsi" w:hAnsiTheme="majorHAnsi" w:cstheme="majorHAnsi"/>
                <w:sz w:val="18"/>
                <w:szCs w:val="18"/>
              </w:rPr>
            </w:pPr>
          </w:p>
        </w:tc>
      </w:tr>
      <w:tr w:rsidR="001E77F2" w:rsidRPr="00AA54A5" w14:paraId="6F74DD99" w14:textId="77777777" w:rsidTr="00AA54A5">
        <w:tc>
          <w:tcPr>
            <w:tcW w:w="1539" w:type="dxa"/>
            <w:vMerge/>
            <w:shd w:val="clear" w:color="auto" w:fill="F2F2F2" w:themeFill="background1" w:themeFillShade="F2"/>
          </w:tcPr>
          <w:p w14:paraId="686E7797" w14:textId="77777777" w:rsidR="001E77F2" w:rsidRPr="00AA54A5" w:rsidRDefault="001E77F2" w:rsidP="00192948">
            <w:pPr>
              <w:jc w:val="center"/>
              <w:rPr>
                <w:rFonts w:asciiTheme="majorHAnsi" w:hAnsiTheme="majorHAnsi" w:cstheme="majorHAnsi"/>
                <w:sz w:val="18"/>
                <w:szCs w:val="18"/>
              </w:rPr>
            </w:pPr>
          </w:p>
        </w:tc>
        <w:tc>
          <w:tcPr>
            <w:tcW w:w="2489" w:type="dxa"/>
            <w:shd w:val="clear" w:color="auto" w:fill="F2F2F2" w:themeFill="background1" w:themeFillShade="F2"/>
          </w:tcPr>
          <w:p w14:paraId="70EED2D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Reoccurrence could lead to death or serious health deterioration </w:t>
            </w:r>
          </w:p>
        </w:tc>
        <w:tc>
          <w:tcPr>
            <w:tcW w:w="1097" w:type="dxa"/>
            <w:shd w:val="clear" w:color="auto" w:fill="F2F2F2" w:themeFill="background1" w:themeFillShade="F2"/>
          </w:tcPr>
          <w:p w14:paraId="151B6D08"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30 days</w:t>
            </w:r>
          </w:p>
        </w:tc>
        <w:tc>
          <w:tcPr>
            <w:tcW w:w="1379" w:type="dxa"/>
            <w:vMerge/>
            <w:shd w:val="clear" w:color="auto" w:fill="F2F2F2" w:themeFill="background1" w:themeFillShade="F2"/>
          </w:tcPr>
          <w:p w14:paraId="5832872C" w14:textId="77777777" w:rsidR="001E77F2" w:rsidRPr="00AA54A5" w:rsidRDefault="001E77F2" w:rsidP="00192948">
            <w:pPr>
              <w:rPr>
                <w:rFonts w:asciiTheme="majorHAnsi" w:hAnsiTheme="majorHAnsi" w:cstheme="majorHAnsi"/>
                <w:sz w:val="18"/>
                <w:szCs w:val="18"/>
              </w:rPr>
            </w:pPr>
          </w:p>
        </w:tc>
        <w:tc>
          <w:tcPr>
            <w:tcW w:w="1413" w:type="dxa"/>
            <w:vMerge/>
            <w:shd w:val="clear" w:color="auto" w:fill="F2F2F2" w:themeFill="background1" w:themeFillShade="F2"/>
          </w:tcPr>
          <w:p w14:paraId="257896D3" w14:textId="77777777" w:rsidR="001E77F2" w:rsidRPr="00AA54A5" w:rsidRDefault="001E77F2" w:rsidP="00192948">
            <w:pPr>
              <w:rPr>
                <w:rFonts w:asciiTheme="majorHAnsi" w:hAnsiTheme="majorHAnsi" w:cstheme="majorHAnsi"/>
                <w:sz w:val="18"/>
                <w:szCs w:val="18"/>
              </w:rPr>
            </w:pPr>
          </w:p>
        </w:tc>
        <w:tc>
          <w:tcPr>
            <w:tcW w:w="1433" w:type="dxa"/>
            <w:vMerge/>
            <w:shd w:val="clear" w:color="auto" w:fill="F2F2F2" w:themeFill="background1" w:themeFillShade="F2"/>
          </w:tcPr>
          <w:p w14:paraId="1E3EEF73" w14:textId="77777777" w:rsidR="001E77F2" w:rsidRPr="00AA54A5" w:rsidRDefault="001E77F2" w:rsidP="00192948">
            <w:pPr>
              <w:rPr>
                <w:rFonts w:asciiTheme="majorHAnsi" w:hAnsiTheme="majorHAnsi" w:cstheme="majorHAnsi"/>
                <w:sz w:val="18"/>
                <w:szCs w:val="18"/>
              </w:rPr>
            </w:pPr>
          </w:p>
        </w:tc>
      </w:tr>
      <w:tr w:rsidR="001E77F2" w:rsidRPr="00AA54A5" w14:paraId="5517F997" w14:textId="77777777" w:rsidTr="00AA54A5">
        <w:tc>
          <w:tcPr>
            <w:tcW w:w="1539" w:type="dxa"/>
            <w:vMerge w:val="restart"/>
          </w:tcPr>
          <w:p w14:paraId="71663A14"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AUSTRALIA</w:t>
            </w:r>
          </w:p>
        </w:tc>
        <w:tc>
          <w:tcPr>
            <w:tcW w:w="2489" w:type="dxa"/>
          </w:tcPr>
          <w:p w14:paraId="79CF0913"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Serious public health threat </w:t>
            </w:r>
          </w:p>
          <w:p w14:paraId="169C08D4" w14:textId="77777777" w:rsidR="001E77F2" w:rsidRPr="00AA54A5" w:rsidRDefault="001E77F2" w:rsidP="00192948">
            <w:pPr>
              <w:rPr>
                <w:rFonts w:asciiTheme="majorHAnsi" w:hAnsiTheme="majorHAnsi" w:cstheme="majorHAnsi"/>
                <w:sz w:val="18"/>
                <w:szCs w:val="18"/>
              </w:rPr>
            </w:pPr>
          </w:p>
        </w:tc>
        <w:tc>
          <w:tcPr>
            <w:tcW w:w="1097" w:type="dxa"/>
          </w:tcPr>
          <w:p w14:paraId="7B0B6848"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48 hours</w:t>
            </w:r>
          </w:p>
        </w:tc>
        <w:tc>
          <w:tcPr>
            <w:tcW w:w="1379" w:type="dxa"/>
            <w:vMerge w:val="restart"/>
          </w:tcPr>
          <w:p w14:paraId="7FAC85FE"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Manufacturer &amp; Sponsor</w:t>
            </w:r>
          </w:p>
        </w:tc>
        <w:tc>
          <w:tcPr>
            <w:tcW w:w="1413" w:type="dxa"/>
            <w:vMerge w:val="restart"/>
          </w:tcPr>
          <w:p w14:paraId="189D5A96"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Yes</w:t>
            </w:r>
          </w:p>
        </w:tc>
        <w:tc>
          <w:tcPr>
            <w:tcW w:w="1433" w:type="dxa"/>
            <w:vMerge w:val="restart"/>
          </w:tcPr>
          <w:p w14:paraId="67A8E2F7"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No</w:t>
            </w:r>
          </w:p>
        </w:tc>
      </w:tr>
      <w:tr w:rsidR="001E77F2" w:rsidRPr="00AA54A5" w14:paraId="2C819B17" w14:textId="77777777" w:rsidTr="00AA54A5">
        <w:tc>
          <w:tcPr>
            <w:tcW w:w="1539" w:type="dxa"/>
            <w:vMerge/>
          </w:tcPr>
          <w:p w14:paraId="13CF0A39" w14:textId="77777777" w:rsidR="001E77F2" w:rsidRPr="00AA54A5" w:rsidRDefault="001E77F2" w:rsidP="00192948">
            <w:pPr>
              <w:rPr>
                <w:rFonts w:asciiTheme="majorHAnsi" w:hAnsiTheme="majorHAnsi" w:cstheme="majorHAnsi"/>
                <w:sz w:val="18"/>
                <w:szCs w:val="18"/>
              </w:rPr>
            </w:pPr>
          </w:p>
        </w:tc>
        <w:tc>
          <w:tcPr>
            <w:tcW w:w="2489" w:type="dxa"/>
          </w:tcPr>
          <w:p w14:paraId="08C7E38F"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 xml:space="preserve">Death or serious deterioration of health </w:t>
            </w:r>
          </w:p>
        </w:tc>
        <w:tc>
          <w:tcPr>
            <w:tcW w:w="1097" w:type="dxa"/>
          </w:tcPr>
          <w:p w14:paraId="777196EC"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10 days</w:t>
            </w:r>
          </w:p>
        </w:tc>
        <w:tc>
          <w:tcPr>
            <w:tcW w:w="1379" w:type="dxa"/>
            <w:vMerge/>
          </w:tcPr>
          <w:p w14:paraId="5BB7E1DB" w14:textId="77777777" w:rsidR="001E77F2" w:rsidRPr="00AA54A5" w:rsidRDefault="001E77F2" w:rsidP="00192948">
            <w:pPr>
              <w:rPr>
                <w:rFonts w:asciiTheme="majorHAnsi" w:hAnsiTheme="majorHAnsi" w:cstheme="majorHAnsi"/>
                <w:sz w:val="18"/>
                <w:szCs w:val="18"/>
              </w:rPr>
            </w:pPr>
          </w:p>
        </w:tc>
        <w:tc>
          <w:tcPr>
            <w:tcW w:w="1413" w:type="dxa"/>
            <w:vMerge/>
          </w:tcPr>
          <w:p w14:paraId="38606DCB" w14:textId="77777777" w:rsidR="001E77F2" w:rsidRPr="00AA54A5" w:rsidRDefault="001E77F2" w:rsidP="00192948">
            <w:pPr>
              <w:rPr>
                <w:rFonts w:asciiTheme="majorHAnsi" w:hAnsiTheme="majorHAnsi" w:cstheme="majorHAnsi"/>
                <w:sz w:val="18"/>
                <w:szCs w:val="18"/>
              </w:rPr>
            </w:pPr>
          </w:p>
        </w:tc>
        <w:tc>
          <w:tcPr>
            <w:tcW w:w="1433" w:type="dxa"/>
            <w:vMerge/>
          </w:tcPr>
          <w:p w14:paraId="6660D96A" w14:textId="77777777" w:rsidR="001E77F2" w:rsidRPr="00AA54A5" w:rsidRDefault="001E77F2" w:rsidP="00192948">
            <w:pPr>
              <w:rPr>
                <w:rFonts w:asciiTheme="majorHAnsi" w:hAnsiTheme="majorHAnsi" w:cstheme="majorHAnsi"/>
                <w:sz w:val="18"/>
                <w:szCs w:val="18"/>
              </w:rPr>
            </w:pPr>
          </w:p>
        </w:tc>
      </w:tr>
      <w:tr w:rsidR="001E77F2" w:rsidRPr="00AA54A5" w14:paraId="7C658EF5" w14:textId="77777777" w:rsidTr="00AA54A5">
        <w:tc>
          <w:tcPr>
            <w:tcW w:w="1539" w:type="dxa"/>
            <w:vMerge/>
          </w:tcPr>
          <w:p w14:paraId="03278432" w14:textId="77777777" w:rsidR="001E77F2" w:rsidRPr="00AA54A5" w:rsidRDefault="001E77F2" w:rsidP="00192948">
            <w:pPr>
              <w:rPr>
                <w:rFonts w:asciiTheme="majorHAnsi" w:hAnsiTheme="majorHAnsi" w:cstheme="majorHAnsi"/>
                <w:sz w:val="18"/>
                <w:szCs w:val="18"/>
              </w:rPr>
            </w:pPr>
          </w:p>
        </w:tc>
        <w:tc>
          <w:tcPr>
            <w:tcW w:w="2489" w:type="dxa"/>
          </w:tcPr>
          <w:p w14:paraId="1E07268B" w14:textId="77777777" w:rsidR="001E77F2" w:rsidRPr="00AA54A5" w:rsidRDefault="001E77F2" w:rsidP="00192948">
            <w:pPr>
              <w:rPr>
                <w:rFonts w:asciiTheme="majorHAnsi" w:hAnsiTheme="majorHAnsi" w:cstheme="majorHAnsi"/>
                <w:sz w:val="18"/>
                <w:szCs w:val="18"/>
              </w:rPr>
            </w:pPr>
            <w:r w:rsidRPr="00AA54A5">
              <w:rPr>
                <w:rFonts w:asciiTheme="majorHAnsi" w:hAnsiTheme="majorHAnsi" w:cstheme="majorHAnsi"/>
                <w:sz w:val="18"/>
                <w:szCs w:val="18"/>
              </w:rPr>
              <w:t>Reoccurrence could lead to death or serious health deterioration</w:t>
            </w:r>
          </w:p>
        </w:tc>
        <w:tc>
          <w:tcPr>
            <w:tcW w:w="1097" w:type="dxa"/>
          </w:tcPr>
          <w:p w14:paraId="135E54B4" w14:textId="77777777" w:rsidR="001E77F2" w:rsidRPr="00AA54A5" w:rsidRDefault="001E77F2" w:rsidP="00192948">
            <w:pPr>
              <w:jc w:val="center"/>
              <w:rPr>
                <w:rFonts w:asciiTheme="majorHAnsi" w:hAnsiTheme="majorHAnsi" w:cstheme="majorHAnsi"/>
                <w:sz w:val="18"/>
                <w:szCs w:val="18"/>
              </w:rPr>
            </w:pPr>
            <w:r w:rsidRPr="00AA54A5">
              <w:rPr>
                <w:rFonts w:asciiTheme="majorHAnsi" w:hAnsiTheme="majorHAnsi" w:cstheme="majorHAnsi"/>
                <w:sz w:val="18"/>
                <w:szCs w:val="18"/>
              </w:rPr>
              <w:t>30 days</w:t>
            </w:r>
          </w:p>
        </w:tc>
        <w:tc>
          <w:tcPr>
            <w:tcW w:w="1379" w:type="dxa"/>
            <w:vMerge/>
          </w:tcPr>
          <w:p w14:paraId="24E43C55" w14:textId="77777777" w:rsidR="001E77F2" w:rsidRPr="00AA54A5" w:rsidRDefault="001E77F2" w:rsidP="00192948">
            <w:pPr>
              <w:rPr>
                <w:rFonts w:asciiTheme="majorHAnsi" w:hAnsiTheme="majorHAnsi" w:cstheme="majorHAnsi"/>
                <w:sz w:val="18"/>
                <w:szCs w:val="18"/>
              </w:rPr>
            </w:pPr>
          </w:p>
        </w:tc>
        <w:tc>
          <w:tcPr>
            <w:tcW w:w="1413" w:type="dxa"/>
            <w:vMerge/>
          </w:tcPr>
          <w:p w14:paraId="62EB5288" w14:textId="77777777" w:rsidR="001E77F2" w:rsidRPr="00AA54A5" w:rsidRDefault="001E77F2" w:rsidP="00192948">
            <w:pPr>
              <w:rPr>
                <w:rFonts w:asciiTheme="majorHAnsi" w:hAnsiTheme="majorHAnsi" w:cstheme="majorHAnsi"/>
                <w:sz w:val="18"/>
                <w:szCs w:val="18"/>
              </w:rPr>
            </w:pPr>
          </w:p>
        </w:tc>
        <w:tc>
          <w:tcPr>
            <w:tcW w:w="1433" w:type="dxa"/>
            <w:vMerge/>
          </w:tcPr>
          <w:p w14:paraId="78CA1A72" w14:textId="77777777" w:rsidR="001E77F2" w:rsidRPr="00AA54A5" w:rsidRDefault="001E77F2" w:rsidP="00192948">
            <w:pPr>
              <w:rPr>
                <w:rFonts w:asciiTheme="majorHAnsi" w:hAnsiTheme="majorHAnsi" w:cstheme="majorHAnsi"/>
                <w:sz w:val="18"/>
                <w:szCs w:val="18"/>
              </w:rPr>
            </w:pPr>
          </w:p>
        </w:tc>
      </w:tr>
      <w:tr w:rsidR="001E77F2" w:rsidRPr="00AA54A5" w14:paraId="76D64F51" w14:textId="77777777" w:rsidTr="00192948">
        <w:tc>
          <w:tcPr>
            <w:tcW w:w="9350" w:type="dxa"/>
            <w:gridSpan w:val="6"/>
          </w:tcPr>
          <w:p w14:paraId="5F2A3D78" w14:textId="77777777" w:rsidR="001E77F2" w:rsidRPr="00AA54A5" w:rsidRDefault="001E77F2" w:rsidP="00192948">
            <w:pPr>
              <w:rPr>
                <w:rFonts w:asciiTheme="majorHAnsi" w:hAnsiTheme="majorHAnsi" w:cstheme="majorHAnsi"/>
                <w:color w:val="000000" w:themeColor="text1"/>
                <w:sz w:val="18"/>
                <w:szCs w:val="18"/>
              </w:rPr>
            </w:pPr>
            <w:r w:rsidRPr="00AA54A5">
              <w:rPr>
                <w:rStyle w:val="Emphasis"/>
                <w:rFonts w:asciiTheme="majorHAnsi" w:hAnsiTheme="majorHAnsi" w:cstheme="majorHAnsi"/>
                <w:color w:val="000000" w:themeColor="text1"/>
                <w:sz w:val="18"/>
                <w:szCs w:val="18"/>
                <w:bdr w:val="none" w:sz="0" w:space="0" w:color="auto" w:frame="1"/>
                <w:shd w:val="clear" w:color="auto" w:fill="FFFFFF"/>
              </w:rPr>
              <w:t>*      European requirements are for the Medical Device Regulation (2017/745).</w:t>
            </w:r>
            <w:r w:rsidRPr="00AA54A5">
              <w:rPr>
                <w:rFonts w:asciiTheme="majorHAnsi" w:hAnsiTheme="majorHAnsi" w:cstheme="majorHAnsi"/>
                <w:color w:val="000000" w:themeColor="text1"/>
                <w:sz w:val="18"/>
                <w:szCs w:val="18"/>
              </w:rPr>
              <w:br/>
            </w:r>
            <w:r w:rsidRPr="00AA54A5">
              <w:rPr>
                <w:rStyle w:val="Emphasis"/>
                <w:rFonts w:asciiTheme="majorHAnsi" w:hAnsiTheme="majorHAnsi" w:cstheme="majorHAnsi"/>
                <w:color w:val="000000" w:themeColor="text1"/>
                <w:sz w:val="18"/>
                <w:szCs w:val="18"/>
                <w:bdr w:val="none" w:sz="0" w:space="0" w:color="auto" w:frame="1"/>
                <w:shd w:val="clear" w:color="auto" w:fill="FFFFFF"/>
              </w:rPr>
              <w:t>**    Japan has specific reporting timelines for incidents involving device malfunctions, breakages, and fault that could lead to serious events.</w:t>
            </w:r>
            <w:r w:rsidRPr="00AA54A5">
              <w:rPr>
                <w:rFonts w:asciiTheme="majorHAnsi" w:hAnsiTheme="majorHAnsi" w:cstheme="majorHAnsi"/>
                <w:color w:val="000000" w:themeColor="text1"/>
                <w:sz w:val="18"/>
                <w:szCs w:val="18"/>
              </w:rPr>
              <w:br/>
            </w:r>
            <w:r w:rsidRPr="00AA54A5">
              <w:rPr>
                <w:rStyle w:val="Emphasis"/>
                <w:rFonts w:asciiTheme="majorHAnsi" w:hAnsiTheme="majorHAnsi" w:cstheme="majorHAnsi"/>
                <w:color w:val="000000" w:themeColor="text1"/>
                <w:sz w:val="18"/>
                <w:szCs w:val="18"/>
                <w:bdr w:val="none" w:sz="0" w:space="0" w:color="auto" w:frame="1"/>
                <w:shd w:val="clear" w:color="auto" w:fill="FFFFFF"/>
              </w:rPr>
              <w:t>**</w:t>
            </w:r>
            <w:proofErr w:type="gramStart"/>
            <w:r w:rsidRPr="00AA54A5">
              <w:rPr>
                <w:rStyle w:val="Emphasis"/>
                <w:rFonts w:asciiTheme="majorHAnsi" w:hAnsiTheme="majorHAnsi" w:cstheme="majorHAnsi"/>
                <w:color w:val="000000" w:themeColor="text1"/>
                <w:sz w:val="18"/>
                <w:szCs w:val="18"/>
                <w:bdr w:val="none" w:sz="0" w:space="0" w:color="auto" w:frame="1"/>
                <w:shd w:val="clear" w:color="auto" w:fill="FFFFFF"/>
              </w:rPr>
              <w:t>*  Only</w:t>
            </w:r>
            <w:proofErr w:type="gramEnd"/>
            <w:r w:rsidRPr="00AA54A5">
              <w:rPr>
                <w:rStyle w:val="Emphasis"/>
                <w:rFonts w:asciiTheme="majorHAnsi" w:hAnsiTheme="majorHAnsi" w:cstheme="majorHAnsi"/>
                <w:color w:val="000000" w:themeColor="text1"/>
                <w:sz w:val="18"/>
                <w:szCs w:val="18"/>
                <w:bdr w:val="none" w:sz="0" w:space="0" w:color="auto" w:frame="1"/>
                <w:shd w:val="clear" w:color="auto" w:fill="FFFFFF"/>
              </w:rPr>
              <w:t xml:space="preserve"> required if you also sell the same device in this market. Types of reportable events vary by country. The US FDA requires the reporting of all ex-US events but in Brazil, for example, this only applies to “deaths, serious deterioration of health, and counterfeit devices.”</w:t>
            </w:r>
          </w:p>
          <w:p w14:paraId="72851728" w14:textId="77777777" w:rsidR="001E77F2" w:rsidRPr="00AA54A5" w:rsidRDefault="001E77F2" w:rsidP="00192948">
            <w:pPr>
              <w:rPr>
                <w:rFonts w:asciiTheme="majorHAnsi" w:hAnsiTheme="majorHAnsi" w:cstheme="majorHAnsi"/>
                <w:sz w:val="18"/>
                <w:szCs w:val="18"/>
              </w:rPr>
            </w:pPr>
          </w:p>
        </w:tc>
      </w:tr>
    </w:tbl>
    <w:p w14:paraId="65BE1761" w14:textId="77777777" w:rsidR="00381BE3" w:rsidRPr="00AA54A5" w:rsidRDefault="00381BE3" w:rsidP="00D072A6">
      <w:pPr>
        <w:spacing w:after="120"/>
        <w:jc w:val="both"/>
        <w:rPr>
          <w:rFonts w:asciiTheme="majorHAnsi" w:hAnsiTheme="majorHAnsi" w:cstheme="majorHAnsi"/>
          <w:b/>
          <w:sz w:val="18"/>
          <w:szCs w:val="18"/>
        </w:rPr>
      </w:pPr>
    </w:p>
    <w:p w14:paraId="6A25F1F3" w14:textId="37C25334" w:rsidR="00381BE3" w:rsidRPr="00AA54A5" w:rsidRDefault="00070128" w:rsidP="00070128">
      <w:pPr>
        <w:pStyle w:val="ListParagraph"/>
        <w:spacing w:after="120"/>
        <w:ind w:left="90"/>
        <w:jc w:val="both"/>
        <w:rPr>
          <w:rFonts w:asciiTheme="majorHAnsi" w:hAnsiTheme="majorHAnsi" w:cstheme="majorHAnsi"/>
          <w:b/>
          <w:sz w:val="18"/>
          <w:szCs w:val="18"/>
        </w:rPr>
      </w:pPr>
      <w:r w:rsidRPr="00AA54A5">
        <w:rPr>
          <w:rFonts w:asciiTheme="majorHAnsi" w:hAnsiTheme="majorHAnsi" w:cstheme="majorHAnsi"/>
          <w:b/>
          <w:sz w:val="18"/>
          <w:szCs w:val="18"/>
        </w:rPr>
        <w:t xml:space="preserve">Note: </w:t>
      </w:r>
      <w:r w:rsidR="00381BE3" w:rsidRPr="00AA54A5">
        <w:rPr>
          <w:rFonts w:asciiTheme="majorHAnsi" w:hAnsiTheme="majorHAnsi" w:cstheme="majorHAnsi"/>
          <w:b/>
          <w:sz w:val="18"/>
          <w:szCs w:val="18"/>
        </w:rPr>
        <w:t>For adverse events resulting from Customer Feedback or Complaints see QSP 8.2-2 Customer Feedback and Complaints</w:t>
      </w:r>
    </w:p>
    <w:p w14:paraId="34FEB088" w14:textId="77777777" w:rsidR="00070128" w:rsidRPr="00AA54A5" w:rsidRDefault="00070128" w:rsidP="00070128">
      <w:pPr>
        <w:pStyle w:val="ListParagraph"/>
        <w:spacing w:after="120"/>
        <w:ind w:left="630"/>
        <w:jc w:val="both"/>
        <w:rPr>
          <w:rFonts w:asciiTheme="majorHAnsi" w:hAnsiTheme="majorHAnsi" w:cstheme="majorHAnsi"/>
          <w:b/>
          <w:sz w:val="18"/>
          <w:szCs w:val="18"/>
        </w:rPr>
      </w:pPr>
    </w:p>
    <w:p w14:paraId="34424F60" w14:textId="77777777" w:rsidR="003D35F2" w:rsidRPr="00AA54A5" w:rsidRDefault="00070128" w:rsidP="003D35F2">
      <w:pPr>
        <w:pStyle w:val="ListParagraph"/>
        <w:numPr>
          <w:ilvl w:val="1"/>
          <w:numId w:val="26"/>
        </w:numPr>
        <w:rPr>
          <w:rFonts w:asciiTheme="majorHAnsi" w:hAnsiTheme="majorHAnsi" w:cstheme="majorHAnsi"/>
          <w:b/>
          <w:sz w:val="18"/>
          <w:szCs w:val="18"/>
        </w:rPr>
      </w:pPr>
      <w:r w:rsidRPr="00AA54A5">
        <w:rPr>
          <w:rFonts w:asciiTheme="majorHAnsi" w:hAnsiTheme="majorHAnsi" w:cstheme="majorHAnsi"/>
          <w:b/>
          <w:sz w:val="18"/>
          <w:szCs w:val="18"/>
        </w:rPr>
        <w:t xml:space="preserve">Advisory Notices, Recall and Vigilance. </w:t>
      </w:r>
    </w:p>
    <w:p w14:paraId="6D410E37" w14:textId="77777777" w:rsidR="001A5949" w:rsidRPr="00AA54A5" w:rsidRDefault="003D35F2" w:rsidP="003D35F2">
      <w:pPr>
        <w:pStyle w:val="ListParagraph"/>
        <w:ind w:left="630"/>
        <w:rPr>
          <w:rFonts w:asciiTheme="majorHAnsi" w:hAnsiTheme="majorHAnsi" w:cstheme="majorHAnsi"/>
          <w:sz w:val="18"/>
          <w:szCs w:val="18"/>
        </w:rPr>
      </w:pPr>
      <w:r w:rsidRPr="00AA54A5">
        <w:rPr>
          <w:rFonts w:asciiTheme="majorHAnsi" w:hAnsiTheme="majorHAnsi" w:cstheme="majorHAnsi"/>
          <w:sz w:val="18"/>
          <w:szCs w:val="18"/>
        </w:rPr>
        <w:t>This section defines the roles and sequence of actions for identifying, evaluating, and reporting serious incidents, adverse events, and field safety corrective actions (FSCAs) under MDR 2017/745 Articles 87–92, as well as other applicable global vigilance requirements.</w:t>
      </w:r>
      <w:r w:rsidRPr="00AA54A5">
        <w:rPr>
          <w:rFonts w:asciiTheme="majorHAnsi" w:hAnsiTheme="majorHAnsi" w:cstheme="majorHAnsi"/>
          <w:sz w:val="18"/>
          <w:szCs w:val="18"/>
        </w:rPr>
        <w:br/>
      </w:r>
      <w:r w:rsidRPr="00AA54A5">
        <w:rPr>
          <w:rFonts w:asciiTheme="majorHAnsi" w:hAnsiTheme="majorHAnsi" w:cstheme="majorHAnsi"/>
          <w:sz w:val="18"/>
          <w:szCs w:val="18"/>
        </w:rPr>
        <w:br/>
        <w:t>Tulip Medical Products uses a complaint-integrated MDR reporting process. All complaints are initially captured using one of the Customer or Distributor Complaint Forms (Forms 8.2-2-0 through 8.2-2-2). The Complaint Investigation Form (8.2-2-3) includes a mandatory MDR Determination, which must be completed within 48 hours of receiving the completed questionnaire.</w:t>
      </w:r>
      <w:r w:rsidRPr="00AA54A5">
        <w:rPr>
          <w:rFonts w:asciiTheme="majorHAnsi" w:hAnsiTheme="majorHAnsi" w:cstheme="majorHAnsi"/>
          <w:sz w:val="18"/>
          <w:szCs w:val="18"/>
        </w:rPr>
        <w:br/>
      </w:r>
      <w:r w:rsidRPr="00AA54A5">
        <w:rPr>
          <w:rFonts w:asciiTheme="majorHAnsi" w:hAnsiTheme="majorHAnsi" w:cstheme="majorHAnsi"/>
          <w:sz w:val="18"/>
          <w:szCs w:val="18"/>
        </w:rPr>
        <w:br/>
        <w:t>Regional MDR Determination Forms include:</w:t>
      </w:r>
      <w:r w:rsidRPr="00AA54A5">
        <w:rPr>
          <w:rFonts w:asciiTheme="majorHAnsi" w:hAnsiTheme="majorHAnsi" w:cstheme="majorHAnsi"/>
          <w:sz w:val="18"/>
          <w:szCs w:val="18"/>
        </w:rPr>
        <w:br/>
        <w:t>- Form 8.2-2-4 – MDR Determination – FDA</w:t>
      </w:r>
      <w:r w:rsidRPr="00AA54A5">
        <w:rPr>
          <w:rFonts w:asciiTheme="majorHAnsi" w:hAnsiTheme="majorHAnsi" w:cstheme="majorHAnsi"/>
          <w:sz w:val="18"/>
          <w:szCs w:val="18"/>
        </w:rPr>
        <w:br/>
        <w:t>- Form 8.2-2-5 – MDR Determination – Canada and Australia</w:t>
      </w:r>
      <w:r w:rsidRPr="00AA54A5">
        <w:rPr>
          <w:rFonts w:asciiTheme="majorHAnsi" w:hAnsiTheme="majorHAnsi" w:cstheme="majorHAnsi"/>
          <w:sz w:val="18"/>
          <w:szCs w:val="18"/>
        </w:rPr>
        <w:br/>
        <w:t>- Form 8.2-2-6 – MDR Determination – Brazil and Japan</w:t>
      </w:r>
      <w:r w:rsidRPr="00AA54A5">
        <w:rPr>
          <w:rFonts w:asciiTheme="majorHAnsi" w:hAnsiTheme="majorHAnsi" w:cstheme="majorHAnsi"/>
          <w:sz w:val="18"/>
          <w:szCs w:val="18"/>
        </w:rPr>
        <w:br/>
        <w:t>- Form 8.2-2-7 – MDR Determination – EU</w:t>
      </w:r>
      <w:r w:rsidRPr="00AA54A5">
        <w:rPr>
          <w:rFonts w:asciiTheme="majorHAnsi" w:hAnsiTheme="majorHAnsi" w:cstheme="majorHAnsi"/>
          <w:sz w:val="18"/>
          <w:szCs w:val="18"/>
        </w:rPr>
        <w:br/>
      </w:r>
      <w:r w:rsidRPr="00AA54A5">
        <w:rPr>
          <w:rFonts w:asciiTheme="majorHAnsi" w:hAnsiTheme="majorHAnsi" w:cstheme="majorHAnsi"/>
          <w:sz w:val="18"/>
          <w:szCs w:val="18"/>
        </w:rPr>
        <w:br/>
        <w:t xml:space="preserve">The determination of whether an incident is reportable and which regulatory authority must be notified is the responsibility of the Person Responsible for Regulatory Compliance (PRRC). The PRRC may consult with RA staff and Quality as </w:t>
      </w:r>
      <w:proofErr w:type="gramStart"/>
      <w:r w:rsidRPr="00AA54A5">
        <w:rPr>
          <w:rFonts w:asciiTheme="majorHAnsi" w:hAnsiTheme="majorHAnsi" w:cstheme="majorHAnsi"/>
          <w:sz w:val="18"/>
          <w:szCs w:val="18"/>
        </w:rPr>
        <w:t>needed, but</w:t>
      </w:r>
      <w:proofErr w:type="gramEnd"/>
      <w:r w:rsidRPr="00AA54A5">
        <w:rPr>
          <w:rFonts w:asciiTheme="majorHAnsi" w:hAnsiTheme="majorHAnsi" w:cstheme="majorHAnsi"/>
          <w:sz w:val="18"/>
          <w:szCs w:val="18"/>
        </w:rPr>
        <w:t xml:space="preserve"> retains final accountability for compliance with reporting obligations.</w:t>
      </w:r>
      <w:r w:rsidRPr="00AA54A5">
        <w:rPr>
          <w:rFonts w:asciiTheme="majorHAnsi" w:hAnsiTheme="majorHAnsi" w:cstheme="majorHAnsi"/>
          <w:sz w:val="18"/>
          <w:szCs w:val="18"/>
        </w:rPr>
        <w:br/>
      </w:r>
      <w:r w:rsidRPr="00AA54A5">
        <w:rPr>
          <w:rFonts w:asciiTheme="majorHAnsi" w:hAnsiTheme="majorHAnsi" w:cstheme="majorHAnsi"/>
          <w:sz w:val="18"/>
          <w:szCs w:val="18"/>
        </w:rPr>
        <w:br/>
        <w:t>Timelines for submission are based on incident type, as defined in QSP 9.1-5 Section 7.7 and Appendix A (EU reporting: 2-day, 10-day, 15-day rule). All timelines begin the day after Tulip becomes aware of the event.</w:t>
      </w:r>
      <w:r w:rsidRPr="00AA54A5">
        <w:rPr>
          <w:rFonts w:asciiTheme="majorHAnsi" w:hAnsiTheme="majorHAnsi" w:cstheme="majorHAnsi"/>
          <w:sz w:val="18"/>
          <w:szCs w:val="18"/>
        </w:rPr>
        <w:br/>
      </w:r>
      <w:r w:rsidRPr="00AA54A5">
        <w:rPr>
          <w:rFonts w:asciiTheme="majorHAnsi" w:hAnsiTheme="majorHAnsi" w:cstheme="majorHAnsi"/>
          <w:sz w:val="18"/>
          <w:szCs w:val="18"/>
        </w:rPr>
        <w:br/>
        <w:t>Completed MDR reports are submitted either directly by Tulip or, in the EU, via the EU Authorized Representative (currently MedEnvoy). All records are filed in accordance with QSP 4.2-1 and cross-referenced with the associated complaint file and any resulting CAPA.</w:t>
      </w:r>
    </w:p>
    <w:p w14:paraId="71889047" w14:textId="77777777" w:rsidR="001A5949" w:rsidRDefault="001A5949" w:rsidP="003D35F2">
      <w:pPr>
        <w:pStyle w:val="ListParagraph"/>
        <w:ind w:left="630"/>
        <w:rPr>
          <w:rFonts w:asciiTheme="majorHAnsi" w:hAnsiTheme="majorHAnsi" w:cstheme="majorHAnsi"/>
          <w:sz w:val="18"/>
          <w:szCs w:val="18"/>
        </w:rPr>
      </w:pPr>
    </w:p>
    <w:p w14:paraId="7A677C21" w14:textId="77777777" w:rsidR="00522786" w:rsidRDefault="00522786" w:rsidP="003D35F2">
      <w:pPr>
        <w:pStyle w:val="ListParagraph"/>
        <w:ind w:left="630"/>
        <w:rPr>
          <w:rFonts w:asciiTheme="majorHAnsi" w:hAnsiTheme="majorHAnsi" w:cstheme="majorHAnsi"/>
          <w:sz w:val="18"/>
          <w:szCs w:val="18"/>
        </w:rPr>
      </w:pPr>
    </w:p>
    <w:p w14:paraId="1EEFDF62" w14:textId="77777777" w:rsidR="00522786" w:rsidRDefault="00522786" w:rsidP="003D35F2">
      <w:pPr>
        <w:pStyle w:val="ListParagraph"/>
        <w:ind w:left="630"/>
        <w:rPr>
          <w:rFonts w:asciiTheme="majorHAnsi" w:hAnsiTheme="majorHAnsi" w:cstheme="majorHAnsi"/>
          <w:sz w:val="18"/>
          <w:szCs w:val="18"/>
        </w:rPr>
      </w:pPr>
    </w:p>
    <w:p w14:paraId="48D8D17D" w14:textId="77777777" w:rsidR="00522786" w:rsidRDefault="00522786" w:rsidP="003D35F2">
      <w:pPr>
        <w:pStyle w:val="ListParagraph"/>
        <w:ind w:left="630"/>
        <w:rPr>
          <w:rFonts w:asciiTheme="majorHAnsi" w:hAnsiTheme="majorHAnsi" w:cstheme="majorHAnsi"/>
          <w:sz w:val="18"/>
          <w:szCs w:val="18"/>
        </w:rPr>
      </w:pPr>
    </w:p>
    <w:p w14:paraId="582E2ED2" w14:textId="77777777" w:rsidR="00522786" w:rsidRDefault="00522786" w:rsidP="003D35F2">
      <w:pPr>
        <w:pStyle w:val="ListParagraph"/>
        <w:ind w:left="630"/>
        <w:rPr>
          <w:rFonts w:asciiTheme="majorHAnsi" w:hAnsiTheme="majorHAnsi" w:cstheme="majorHAnsi"/>
          <w:sz w:val="18"/>
          <w:szCs w:val="18"/>
        </w:rPr>
      </w:pPr>
    </w:p>
    <w:p w14:paraId="33D1F432" w14:textId="77777777" w:rsidR="00522786" w:rsidRPr="00AA54A5" w:rsidRDefault="00522786" w:rsidP="003D35F2">
      <w:pPr>
        <w:pStyle w:val="ListParagraph"/>
        <w:ind w:left="630"/>
        <w:rPr>
          <w:rFonts w:asciiTheme="majorHAnsi" w:hAnsiTheme="majorHAnsi" w:cstheme="majorHAnsi"/>
          <w:sz w:val="18"/>
          <w:szCs w:val="18"/>
        </w:rPr>
      </w:pPr>
    </w:p>
    <w:p w14:paraId="7758A29B" w14:textId="68370D9D" w:rsidR="003D35F2" w:rsidRPr="00AA54A5" w:rsidRDefault="001A5949" w:rsidP="001A5949">
      <w:pPr>
        <w:pStyle w:val="ListParagraph"/>
        <w:ind w:left="0"/>
        <w:jc w:val="center"/>
        <w:rPr>
          <w:rFonts w:asciiTheme="majorHAnsi" w:hAnsiTheme="majorHAnsi" w:cstheme="majorHAnsi"/>
          <w:b/>
          <w:bCs/>
          <w:sz w:val="18"/>
          <w:szCs w:val="18"/>
        </w:rPr>
      </w:pPr>
      <w:r w:rsidRPr="00AA54A5">
        <w:rPr>
          <w:rFonts w:asciiTheme="majorHAnsi" w:hAnsiTheme="majorHAnsi" w:cstheme="majorHAnsi"/>
          <w:b/>
          <w:bCs/>
          <w:sz w:val="18"/>
          <w:szCs w:val="18"/>
        </w:rPr>
        <w:lastRenderedPageBreak/>
        <w:t>Responsibility Flow Matrix</w:t>
      </w:r>
    </w:p>
    <w:tbl>
      <w:tblPr>
        <w:tblStyle w:val="TableGrid"/>
        <w:tblW w:w="9535" w:type="dxa"/>
        <w:tblLook w:val="04A0" w:firstRow="1" w:lastRow="0" w:firstColumn="1" w:lastColumn="0" w:noHBand="0" w:noVBand="1"/>
      </w:tblPr>
      <w:tblGrid>
        <w:gridCol w:w="805"/>
        <w:gridCol w:w="2070"/>
        <w:gridCol w:w="1980"/>
        <w:gridCol w:w="2057"/>
        <w:gridCol w:w="2623"/>
      </w:tblGrid>
      <w:tr w:rsidR="003D35F2" w:rsidRPr="00AA54A5" w14:paraId="4693A159" w14:textId="77777777" w:rsidTr="001A5949">
        <w:trPr>
          <w:tblHeader/>
        </w:trPr>
        <w:tc>
          <w:tcPr>
            <w:tcW w:w="805" w:type="dxa"/>
            <w:shd w:val="clear" w:color="auto" w:fill="DBE5F1" w:themeFill="accent1" w:themeFillTint="33"/>
          </w:tcPr>
          <w:p w14:paraId="1E62FE56"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Step</w:t>
            </w:r>
          </w:p>
        </w:tc>
        <w:tc>
          <w:tcPr>
            <w:tcW w:w="2070" w:type="dxa"/>
            <w:shd w:val="clear" w:color="auto" w:fill="DBE5F1" w:themeFill="accent1" w:themeFillTint="33"/>
          </w:tcPr>
          <w:p w14:paraId="56C3DD9E"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Action/Decision</w:t>
            </w:r>
          </w:p>
        </w:tc>
        <w:tc>
          <w:tcPr>
            <w:tcW w:w="1980" w:type="dxa"/>
            <w:shd w:val="clear" w:color="auto" w:fill="DBE5F1" w:themeFill="accent1" w:themeFillTint="33"/>
          </w:tcPr>
          <w:p w14:paraId="3319CEF7"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Responsible Party</w:t>
            </w:r>
          </w:p>
        </w:tc>
        <w:tc>
          <w:tcPr>
            <w:tcW w:w="2057" w:type="dxa"/>
            <w:shd w:val="clear" w:color="auto" w:fill="DBE5F1" w:themeFill="accent1" w:themeFillTint="33"/>
          </w:tcPr>
          <w:p w14:paraId="0025A809"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Reference Form(s)</w:t>
            </w:r>
          </w:p>
        </w:tc>
        <w:tc>
          <w:tcPr>
            <w:tcW w:w="2623" w:type="dxa"/>
            <w:shd w:val="clear" w:color="auto" w:fill="DBE5F1" w:themeFill="accent1" w:themeFillTint="33"/>
          </w:tcPr>
          <w:p w14:paraId="3FAC0DA1"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Timeline</w:t>
            </w:r>
          </w:p>
        </w:tc>
      </w:tr>
      <w:tr w:rsidR="003D35F2" w:rsidRPr="00AA54A5" w14:paraId="15D8B44A" w14:textId="77777777" w:rsidTr="001A5949">
        <w:tc>
          <w:tcPr>
            <w:tcW w:w="805" w:type="dxa"/>
          </w:tcPr>
          <w:p w14:paraId="28A19C9D"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1</w:t>
            </w:r>
          </w:p>
        </w:tc>
        <w:tc>
          <w:tcPr>
            <w:tcW w:w="2070" w:type="dxa"/>
          </w:tcPr>
          <w:p w14:paraId="5B01FF3C"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Intake of complaint</w:t>
            </w:r>
          </w:p>
        </w:tc>
        <w:tc>
          <w:tcPr>
            <w:tcW w:w="1980" w:type="dxa"/>
          </w:tcPr>
          <w:p w14:paraId="76A99695"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Customer Service / Distributor</w:t>
            </w:r>
          </w:p>
        </w:tc>
        <w:tc>
          <w:tcPr>
            <w:tcW w:w="2057" w:type="dxa"/>
          </w:tcPr>
          <w:p w14:paraId="6302C0A5"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Forms 8.2-2-0 to 8.2-2-2</w:t>
            </w:r>
          </w:p>
        </w:tc>
        <w:tc>
          <w:tcPr>
            <w:tcW w:w="2623" w:type="dxa"/>
          </w:tcPr>
          <w:p w14:paraId="7BA57725"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Within 1 business day of receipt</w:t>
            </w:r>
          </w:p>
        </w:tc>
      </w:tr>
      <w:tr w:rsidR="003D35F2" w:rsidRPr="00AA54A5" w14:paraId="428AE25A" w14:textId="77777777" w:rsidTr="001A5949">
        <w:tc>
          <w:tcPr>
            <w:tcW w:w="805" w:type="dxa"/>
          </w:tcPr>
          <w:p w14:paraId="3589394D"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2</w:t>
            </w:r>
          </w:p>
        </w:tc>
        <w:tc>
          <w:tcPr>
            <w:tcW w:w="2070" w:type="dxa"/>
          </w:tcPr>
          <w:p w14:paraId="6C67FE36"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Entry into complaint system</w:t>
            </w:r>
          </w:p>
        </w:tc>
        <w:tc>
          <w:tcPr>
            <w:tcW w:w="1980" w:type="dxa"/>
          </w:tcPr>
          <w:p w14:paraId="6C904325"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DCA / RA</w:t>
            </w:r>
          </w:p>
        </w:tc>
        <w:tc>
          <w:tcPr>
            <w:tcW w:w="2057" w:type="dxa"/>
          </w:tcPr>
          <w:p w14:paraId="756CC113"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Form 8.2-2-3</w:t>
            </w:r>
          </w:p>
        </w:tc>
        <w:tc>
          <w:tcPr>
            <w:tcW w:w="2623" w:type="dxa"/>
          </w:tcPr>
          <w:p w14:paraId="6837DFA0"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Same day</w:t>
            </w:r>
          </w:p>
        </w:tc>
      </w:tr>
      <w:tr w:rsidR="003D35F2" w:rsidRPr="00AA54A5" w14:paraId="10AFCDD9" w14:textId="77777777" w:rsidTr="001A5949">
        <w:tc>
          <w:tcPr>
            <w:tcW w:w="805" w:type="dxa"/>
          </w:tcPr>
          <w:p w14:paraId="651A7FBE"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3</w:t>
            </w:r>
          </w:p>
        </w:tc>
        <w:tc>
          <w:tcPr>
            <w:tcW w:w="2070" w:type="dxa"/>
          </w:tcPr>
          <w:p w14:paraId="44A38F30"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MDR Determination</w:t>
            </w:r>
          </w:p>
        </w:tc>
        <w:tc>
          <w:tcPr>
            <w:tcW w:w="1980" w:type="dxa"/>
          </w:tcPr>
          <w:p w14:paraId="51B9053E"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PRRC (in consultation with RA)</w:t>
            </w:r>
          </w:p>
        </w:tc>
        <w:tc>
          <w:tcPr>
            <w:tcW w:w="2057" w:type="dxa"/>
          </w:tcPr>
          <w:p w14:paraId="420B0F70"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Forms 8.2-2-4 to 8.2-2-7</w:t>
            </w:r>
          </w:p>
        </w:tc>
        <w:tc>
          <w:tcPr>
            <w:tcW w:w="2623" w:type="dxa"/>
          </w:tcPr>
          <w:p w14:paraId="3D5C1574"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Within 48 hours of completed complaint</w:t>
            </w:r>
          </w:p>
        </w:tc>
      </w:tr>
      <w:tr w:rsidR="003D35F2" w:rsidRPr="00AA54A5" w14:paraId="6492ED8E" w14:textId="77777777" w:rsidTr="001A5949">
        <w:tc>
          <w:tcPr>
            <w:tcW w:w="805" w:type="dxa"/>
          </w:tcPr>
          <w:p w14:paraId="4378B4FB"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4</w:t>
            </w:r>
          </w:p>
        </w:tc>
        <w:tc>
          <w:tcPr>
            <w:tcW w:w="2070" w:type="dxa"/>
          </w:tcPr>
          <w:p w14:paraId="08C3CF0A"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Finalize report content</w:t>
            </w:r>
          </w:p>
        </w:tc>
        <w:tc>
          <w:tcPr>
            <w:tcW w:w="1980" w:type="dxa"/>
          </w:tcPr>
          <w:p w14:paraId="5AEA5B8B"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Regulatory Affairs</w:t>
            </w:r>
          </w:p>
        </w:tc>
        <w:tc>
          <w:tcPr>
            <w:tcW w:w="2057" w:type="dxa"/>
          </w:tcPr>
          <w:p w14:paraId="6BC6C414"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Region-specific MIR or FSCA templates</w:t>
            </w:r>
          </w:p>
        </w:tc>
        <w:tc>
          <w:tcPr>
            <w:tcW w:w="2623" w:type="dxa"/>
          </w:tcPr>
          <w:p w14:paraId="435D1246"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Prior to submission deadline</w:t>
            </w:r>
          </w:p>
        </w:tc>
      </w:tr>
      <w:tr w:rsidR="003D35F2" w:rsidRPr="00AA54A5" w14:paraId="36A38185" w14:textId="77777777" w:rsidTr="001A5949">
        <w:tc>
          <w:tcPr>
            <w:tcW w:w="805" w:type="dxa"/>
          </w:tcPr>
          <w:p w14:paraId="73B05087"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5</w:t>
            </w:r>
          </w:p>
        </w:tc>
        <w:tc>
          <w:tcPr>
            <w:tcW w:w="2070" w:type="dxa"/>
          </w:tcPr>
          <w:p w14:paraId="4E0E331E"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Submit report</w:t>
            </w:r>
          </w:p>
        </w:tc>
        <w:tc>
          <w:tcPr>
            <w:tcW w:w="1980" w:type="dxa"/>
          </w:tcPr>
          <w:p w14:paraId="11CBEB48"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PRRC or EU AR (e.g., MedEnvoy)</w:t>
            </w:r>
          </w:p>
        </w:tc>
        <w:tc>
          <w:tcPr>
            <w:tcW w:w="2057" w:type="dxa"/>
          </w:tcPr>
          <w:p w14:paraId="570DD36A"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Email or EUDAMED (EU)</w:t>
            </w:r>
          </w:p>
        </w:tc>
        <w:tc>
          <w:tcPr>
            <w:tcW w:w="2623" w:type="dxa"/>
          </w:tcPr>
          <w:p w14:paraId="4874746E"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2 / 10 / 15 calendar days depending on severity</w:t>
            </w:r>
          </w:p>
        </w:tc>
      </w:tr>
      <w:tr w:rsidR="003D35F2" w:rsidRPr="00AA54A5" w14:paraId="7D9ACD2C" w14:textId="77777777" w:rsidTr="001A5949">
        <w:tc>
          <w:tcPr>
            <w:tcW w:w="805" w:type="dxa"/>
          </w:tcPr>
          <w:p w14:paraId="39AC91D3"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6</w:t>
            </w:r>
          </w:p>
        </w:tc>
        <w:tc>
          <w:tcPr>
            <w:tcW w:w="2070" w:type="dxa"/>
          </w:tcPr>
          <w:p w14:paraId="2C632292"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File and archive</w:t>
            </w:r>
          </w:p>
        </w:tc>
        <w:tc>
          <w:tcPr>
            <w:tcW w:w="1980" w:type="dxa"/>
          </w:tcPr>
          <w:p w14:paraId="7232097C"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Document Control Administrator</w:t>
            </w:r>
          </w:p>
        </w:tc>
        <w:tc>
          <w:tcPr>
            <w:tcW w:w="2057" w:type="dxa"/>
          </w:tcPr>
          <w:p w14:paraId="04A2E112"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Complaint File + QMS</w:t>
            </w:r>
          </w:p>
        </w:tc>
        <w:tc>
          <w:tcPr>
            <w:tcW w:w="2623" w:type="dxa"/>
          </w:tcPr>
          <w:p w14:paraId="77A12F26"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Upon report submission</w:t>
            </w:r>
          </w:p>
        </w:tc>
      </w:tr>
      <w:tr w:rsidR="003D35F2" w:rsidRPr="00AA54A5" w14:paraId="10828DA7" w14:textId="77777777" w:rsidTr="001A5949">
        <w:tc>
          <w:tcPr>
            <w:tcW w:w="805" w:type="dxa"/>
          </w:tcPr>
          <w:p w14:paraId="36BE014E"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7</w:t>
            </w:r>
          </w:p>
        </w:tc>
        <w:tc>
          <w:tcPr>
            <w:tcW w:w="2070" w:type="dxa"/>
          </w:tcPr>
          <w:p w14:paraId="3244CB9A"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Initiate CAPA if needed</w:t>
            </w:r>
          </w:p>
        </w:tc>
        <w:tc>
          <w:tcPr>
            <w:tcW w:w="1980" w:type="dxa"/>
          </w:tcPr>
          <w:p w14:paraId="1443AA9D"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QA / RA / PRRC</w:t>
            </w:r>
          </w:p>
        </w:tc>
        <w:tc>
          <w:tcPr>
            <w:tcW w:w="2057" w:type="dxa"/>
          </w:tcPr>
          <w:p w14:paraId="02F51072"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CP Forms</w:t>
            </w:r>
          </w:p>
        </w:tc>
        <w:tc>
          <w:tcPr>
            <w:tcW w:w="2623" w:type="dxa"/>
          </w:tcPr>
          <w:p w14:paraId="0E849CDD"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Within 30 days</w:t>
            </w:r>
          </w:p>
        </w:tc>
      </w:tr>
      <w:tr w:rsidR="003D35F2" w:rsidRPr="00AA54A5" w14:paraId="48E01D63" w14:textId="77777777" w:rsidTr="001A5949">
        <w:tc>
          <w:tcPr>
            <w:tcW w:w="805" w:type="dxa"/>
          </w:tcPr>
          <w:p w14:paraId="7B80EF18"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8</w:t>
            </w:r>
          </w:p>
        </w:tc>
        <w:tc>
          <w:tcPr>
            <w:tcW w:w="2070" w:type="dxa"/>
          </w:tcPr>
          <w:p w14:paraId="1C616B19"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Track effectiveness</w:t>
            </w:r>
          </w:p>
        </w:tc>
        <w:tc>
          <w:tcPr>
            <w:tcW w:w="1980" w:type="dxa"/>
          </w:tcPr>
          <w:p w14:paraId="60566FD4"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Management Representative</w:t>
            </w:r>
          </w:p>
        </w:tc>
        <w:tc>
          <w:tcPr>
            <w:tcW w:w="2057" w:type="dxa"/>
          </w:tcPr>
          <w:p w14:paraId="6F0CF85F"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QMS Audit Schedule</w:t>
            </w:r>
          </w:p>
        </w:tc>
        <w:tc>
          <w:tcPr>
            <w:tcW w:w="2623" w:type="dxa"/>
          </w:tcPr>
          <w:p w14:paraId="5FA144FA" w14:textId="77777777" w:rsidR="003D35F2" w:rsidRPr="00AA54A5" w:rsidRDefault="003D35F2" w:rsidP="00683ED9">
            <w:pPr>
              <w:rPr>
                <w:rFonts w:asciiTheme="majorHAnsi" w:hAnsiTheme="majorHAnsi" w:cstheme="majorHAnsi"/>
                <w:sz w:val="18"/>
                <w:szCs w:val="18"/>
              </w:rPr>
            </w:pPr>
            <w:r w:rsidRPr="00AA54A5">
              <w:rPr>
                <w:rFonts w:asciiTheme="majorHAnsi" w:hAnsiTheme="majorHAnsi" w:cstheme="majorHAnsi"/>
                <w:sz w:val="18"/>
                <w:szCs w:val="18"/>
              </w:rPr>
              <w:t>Per internal audit cycle</w:t>
            </w:r>
          </w:p>
        </w:tc>
      </w:tr>
    </w:tbl>
    <w:p w14:paraId="748FA3B0" w14:textId="77777777" w:rsidR="005A3139" w:rsidRPr="00AA54A5" w:rsidRDefault="005A3139" w:rsidP="003D35F2">
      <w:pPr>
        <w:pStyle w:val="ListParagraph"/>
        <w:ind w:left="630"/>
        <w:rPr>
          <w:rFonts w:asciiTheme="majorHAnsi" w:hAnsiTheme="majorHAnsi" w:cstheme="majorHAnsi"/>
          <w:b/>
          <w:sz w:val="18"/>
          <w:szCs w:val="18"/>
        </w:rPr>
      </w:pPr>
    </w:p>
    <w:p w14:paraId="66E4503E" w14:textId="544FB858" w:rsidR="00AC3D42" w:rsidRPr="00AA54A5" w:rsidRDefault="00AC3D42" w:rsidP="005A3139">
      <w:pPr>
        <w:pStyle w:val="ListParagraph"/>
        <w:numPr>
          <w:ilvl w:val="1"/>
          <w:numId w:val="26"/>
        </w:numPr>
        <w:spacing w:after="240"/>
        <w:ind w:right="-360"/>
        <w:jc w:val="both"/>
        <w:rPr>
          <w:rFonts w:asciiTheme="majorHAnsi" w:hAnsiTheme="majorHAnsi" w:cstheme="majorHAnsi"/>
          <w:sz w:val="18"/>
          <w:szCs w:val="18"/>
        </w:rPr>
      </w:pPr>
      <w:r w:rsidRPr="00AA54A5">
        <w:rPr>
          <w:rFonts w:asciiTheme="majorHAnsi" w:hAnsiTheme="majorHAnsi" w:cstheme="majorHAnsi"/>
          <w:sz w:val="18"/>
          <w:szCs w:val="18"/>
        </w:rPr>
        <w:t>For EU</w:t>
      </w:r>
      <w:r w:rsidR="005A3139" w:rsidRPr="00AA54A5">
        <w:rPr>
          <w:rFonts w:asciiTheme="majorHAnsi" w:hAnsiTheme="majorHAnsi" w:cstheme="majorHAnsi"/>
          <w:sz w:val="18"/>
          <w:szCs w:val="18"/>
        </w:rPr>
        <w:t>,</w:t>
      </w:r>
      <w:r w:rsidRPr="00AA54A5">
        <w:rPr>
          <w:rFonts w:asciiTheme="majorHAnsi" w:hAnsiTheme="majorHAnsi" w:cstheme="majorHAnsi"/>
          <w:sz w:val="18"/>
          <w:szCs w:val="18"/>
        </w:rPr>
        <w:t xml:space="preserve"> go to section </w:t>
      </w:r>
      <w:r w:rsidR="0055356B" w:rsidRPr="00AA54A5">
        <w:rPr>
          <w:rFonts w:asciiTheme="majorHAnsi" w:hAnsiTheme="majorHAnsi" w:cstheme="majorHAnsi"/>
          <w:sz w:val="18"/>
          <w:szCs w:val="18"/>
        </w:rPr>
        <w:t>7.7</w:t>
      </w:r>
      <w:r w:rsidR="005A3139" w:rsidRPr="00AA54A5">
        <w:rPr>
          <w:rFonts w:asciiTheme="majorHAnsi" w:hAnsiTheme="majorHAnsi" w:cstheme="majorHAnsi"/>
          <w:sz w:val="18"/>
          <w:szCs w:val="18"/>
        </w:rPr>
        <w:t>;</w:t>
      </w:r>
      <w:r w:rsidRPr="00AA54A5">
        <w:rPr>
          <w:rFonts w:asciiTheme="majorHAnsi" w:hAnsiTheme="majorHAnsi" w:cstheme="majorHAnsi"/>
          <w:sz w:val="18"/>
          <w:szCs w:val="18"/>
        </w:rPr>
        <w:t xml:space="preserve"> all others continue below.</w:t>
      </w:r>
    </w:p>
    <w:p w14:paraId="039F8DBD" w14:textId="553C003B" w:rsidR="00C02786" w:rsidRPr="00AA54A5" w:rsidRDefault="00C02786" w:rsidP="005A3139">
      <w:pPr>
        <w:pStyle w:val="ListParagraph"/>
        <w:numPr>
          <w:ilvl w:val="1"/>
          <w:numId w:val="26"/>
        </w:numPr>
        <w:spacing w:after="240"/>
        <w:ind w:right="-360"/>
        <w:jc w:val="both"/>
        <w:rPr>
          <w:rFonts w:asciiTheme="majorHAnsi" w:hAnsiTheme="majorHAnsi" w:cstheme="majorHAnsi"/>
          <w:sz w:val="18"/>
          <w:szCs w:val="18"/>
        </w:rPr>
      </w:pPr>
      <w:r w:rsidRPr="00AA54A5">
        <w:rPr>
          <w:rFonts w:asciiTheme="majorHAnsi" w:hAnsiTheme="majorHAnsi" w:cstheme="majorHAnsi"/>
          <w:sz w:val="18"/>
          <w:szCs w:val="18"/>
        </w:rPr>
        <w:t xml:space="preserve">For Canada </w:t>
      </w:r>
    </w:p>
    <w:p w14:paraId="7376B765" w14:textId="115FEA34" w:rsidR="00DE0CD7" w:rsidRPr="00AA54A5" w:rsidRDefault="00DE0CD7" w:rsidP="005A3139">
      <w:pPr>
        <w:pStyle w:val="ListParagraph"/>
        <w:numPr>
          <w:ilvl w:val="1"/>
          <w:numId w:val="26"/>
        </w:numPr>
        <w:spacing w:after="240"/>
        <w:ind w:right="-360"/>
        <w:jc w:val="both"/>
        <w:rPr>
          <w:rFonts w:asciiTheme="majorHAnsi" w:hAnsiTheme="majorHAnsi" w:cstheme="majorHAnsi"/>
          <w:sz w:val="18"/>
          <w:szCs w:val="18"/>
        </w:rPr>
      </w:pPr>
      <w:r w:rsidRPr="00AA54A5">
        <w:rPr>
          <w:rFonts w:asciiTheme="majorHAnsi" w:hAnsiTheme="majorHAnsi" w:cstheme="majorHAnsi"/>
          <w:sz w:val="18"/>
          <w:szCs w:val="18"/>
        </w:rPr>
        <w:t>PRRC agrees to follow Advisory Notices, Recalls</w:t>
      </w:r>
      <w:r w:rsidR="005A3139" w:rsidRPr="00AA54A5">
        <w:rPr>
          <w:rFonts w:asciiTheme="majorHAnsi" w:hAnsiTheme="majorHAnsi" w:cstheme="majorHAnsi"/>
          <w:sz w:val="18"/>
          <w:szCs w:val="18"/>
        </w:rPr>
        <w:t>,</w:t>
      </w:r>
      <w:r w:rsidRPr="00AA54A5">
        <w:rPr>
          <w:rFonts w:asciiTheme="majorHAnsi" w:hAnsiTheme="majorHAnsi" w:cstheme="majorHAnsi"/>
          <w:sz w:val="18"/>
          <w:szCs w:val="18"/>
        </w:rPr>
        <w:t xml:space="preserve"> and Vigilance Plan </w:t>
      </w:r>
    </w:p>
    <w:p w14:paraId="49A0F1B3" w14:textId="77777777" w:rsidR="00DD4E8E" w:rsidRPr="00AA54A5" w:rsidRDefault="00DD4E8E" w:rsidP="005A3139">
      <w:pPr>
        <w:pStyle w:val="ListParagraph"/>
        <w:numPr>
          <w:ilvl w:val="1"/>
          <w:numId w:val="26"/>
        </w:numPr>
        <w:spacing w:after="240"/>
        <w:ind w:right="-360"/>
        <w:jc w:val="both"/>
        <w:rPr>
          <w:rFonts w:asciiTheme="majorHAnsi" w:hAnsiTheme="majorHAnsi" w:cstheme="majorHAnsi"/>
          <w:sz w:val="18"/>
          <w:szCs w:val="18"/>
        </w:rPr>
      </w:pPr>
      <w:r w:rsidRPr="00AA54A5">
        <w:rPr>
          <w:rFonts w:asciiTheme="majorHAnsi" w:hAnsiTheme="majorHAnsi" w:cstheme="majorHAnsi"/>
          <w:sz w:val="18"/>
          <w:szCs w:val="18"/>
        </w:rPr>
        <w:t xml:space="preserve">The QA Manager </w:t>
      </w:r>
    </w:p>
    <w:p w14:paraId="515443F8" w14:textId="508F5553" w:rsidR="00DD4E8E" w:rsidRPr="00AA54A5" w:rsidRDefault="00DD4E8E" w:rsidP="005A3139">
      <w:pPr>
        <w:pStyle w:val="ListParagraph"/>
        <w:numPr>
          <w:ilvl w:val="2"/>
          <w:numId w:val="26"/>
        </w:numPr>
        <w:spacing w:after="120"/>
        <w:ind w:left="1170" w:right="-360" w:hanging="540"/>
        <w:rPr>
          <w:rFonts w:asciiTheme="majorHAnsi" w:hAnsiTheme="majorHAnsi" w:cstheme="majorHAnsi"/>
          <w:sz w:val="18"/>
          <w:szCs w:val="18"/>
        </w:rPr>
      </w:pPr>
      <w:r w:rsidRPr="00AA54A5">
        <w:rPr>
          <w:rFonts w:asciiTheme="majorHAnsi" w:hAnsiTheme="majorHAnsi" w:cstheme="majorHAnsi"/>
          <w:sz w:val="18"/>
          <w:szCs w:val="18"/>
        </w:rPr>
        <w:t>Prepares Form</w:t>
      </w:r>
      <w:r w:rsidR="00127EBE" w:rsidRPr="00AA54A5">
        <w:rPr>
          <w:rFonts w:asciiTheme="majorHAnsi" w:hAnsiTheme="majorHAnsi" w:cstheme="majorHAnsi"/>
          <w:sz w:val="18"/>
          <w:szCs w:val="18"/>
        </w:rPr>
        <w:t xml:space="preserve"> 9.1-5-1</w:t>
      </w:r>
      <w:r w:rsidRPr="00AA54A5">
        <w:rPr>
          <w:rFonts w:asciiTheme="majorHAnsi" w:hAnsiTheme="majorHAnsi" w:cstheme="majorHAnsi"/>
          <w:sz w:val="18"/>
          <w:szCs w:val="18"/>
        </w:rPr>
        <w:t xml:space="preserve"> </w:t>
      </w:r>
      <w:r w:rsidR="00127EBE" w:rsidRPr="00AA54A5">
        <w:rPr>
          <w:rFonts w:asciiTheme="majorHAnsi" w:hAnsiTheme="majorHAnsi" w:cstheme="majorHAnsi"/>
          <w:sz w:val="18"/>
          <w:szCs w:val="18"/>
        </w:rPr>
        <w:t>Advisory Notices, Recalls</w:t>
      </w:r>
      <w:r w:rsidR="005A3139" w:rsidRPr="00AA54A5">
        <w:rPr>
          <w:rFonts w:asciiTheme="majorHAnsi" w:hAnsiTheme="majorHAnsi" w:cstheme="majorHAnsi"/>
          <w:sz w:val="18"/>
          <w:szCs w:val="18"/>
        </w:rPr>
        <w:t>,</w:t>
      </w:r>
      <w:r w:rsidR="00127EBE" w:rsidRPr="00AA54A5">
        <w:rPr>
          <w:rFonts w:asciiTheme="majorHAnsi" w:hAnsiTheme="majorHAnsi" w:cstheme="majorHAnsi"/>
          <w:sz w:val="18"/>
          <w:szCs w:val="18"/>
        </w:rPr>
        <w:t xml:space="preserve"> and Vigilance Plan</w:t>
      </w:r>
    </w:p>
    <w:p w14:paraId="300E54D8" w14:textId="694F6CB3" w:rsidR="00DD4E8E" w:rsidRPr="00AA54A5" w:rsidRDefault="00DD4E8E" w:rsidP="005A3139">
      <w:pPr>
        <w:pStyle w:val="ListParagraph"/>
        <w:numPr>
          <w:ilvl w:val="2"/>
          <w:numId w:val="26"/>
        </w:numPr>
        <w:spacing w:after="120"/>
        <w:ind w:left="1170" w:right="-360" w:hanging="540"/>
        <w:rPr>
          <w:rFonts w:asciiTheme="majorHAnsi" w:hAnsiTheme="majorHAnsi" w:cstheme="majorHAnsi"/>
          <w:sz w:val="18"/>
          <w:szCs w:val="18"/>
        </w:rPr>
      </w:pPr>
      <w:r w:rsidRPr="00AA54A5">
        <w:rPr>
          <w:rFonts w:asciiTheme="majorHAnsi" w:hAnsiTheme="majorHAnsi" w:cstheme="majorHAnsi"/>
          <w:sz w:val="18"/>
          <w:szCs w:val="18"/>
        </w:rPr>
        <w:t xml:space="preserve">Ensures completion and review of </w:t>
      </w:r>
      <w:r w:rsidR="00933858" w:rsidRPr="00AA54A5">
        <w:rPr>
          <w:rFonts w:asciiTheme="majorHAnsi" w:hAnsiTheme="majorHAnsi" w:cstheme="majorHAnsi"/>
          <w:sz w:val="18"/>
          <w:szCs w:val="18"/>
        </w:rPr>
        <w:t xml:space="preserve">the </w:t>
      </w:r>
      <w:r w:rsidR="00127EBE" w:rsidRPr="00AA54A5">
        <w:rPr>
          <w:rFonts w:asciiTheme="majorHAnsi" w:hAnsiTheme="majorHAnsi" w:cstheme="majorHAnsi"/>
          <w:sz w:val="18"/>
          <w:szCs w:val="18"/>
        </w:rPr>
        <w:t>Advisory Notices, Recalls</w:t>
      </w:r>
      <w:r w:rsidR="005A3139" w:rsidRPr="00AA54A5">
        <w:rPr>
          <w:rFonts w:asciiTheme="majorHAnsi" w:hAnsiTheme="majorHAnsi" w:cstheme="majorHAnsi"/>
          <w:sz w:val="18"/>
          <w:szCs w:val="18"/>
        </w:rPr>
        <w:t>,</w:t>
      </w:r>
      <w:r w:rsidR="00127EBE" w:rsidRPr="00AA54A5">
        <w:rPr>
          <w:rFonts w:asciiTheme="majorHAnsi" w:hAnsiTheme="majorHAnsi" w:cstheme="majorHAnsi"/>
          <w:sz w:val="18"/>
          <w:szCs w:val="18"/>
        </w:rPr>
        <w:t xml:space="preserve"> and Vigilance Plan</w:t>
      </w:r>
      <w:r w:rsidR="00933858" w:rsidRPr="00AA54A5">
        <w:rPr>
          <w:rFonts w:asciiTheme="majorHAnsi" w:hAnsiTheme="majorHAnsi" w:cstheme="majorHAnsi"/>
          <w:sz w:val="18"/>
          <w:szCs w:val="18"/>
        </w:rPr>
        <w:t>. The QA Manager</w:t>
      </w:r>
      <w:r w:rsidR="00127EBE" w:rsidRPr="00AA54A5" w:rsidDel="00127EBE">
        <w:rPr>
          <w:rFonts w:asciiTheme="majorHAnsi" w:hAnsiTheme="majorHAnsi" w:cstheme="majorHAnsi"/>
          <w:sz w:val="18"/>
          <w:szCs w:val="18"/>
        </w:rPr>
        <w:t xml:space="preserve"> </w:t>
      </w:r>
      <w:r w:rsidR="005A3139" w:rsidRPr="00AA54A5">
        <w:rPr>
          <w:rFonts w:asciiTheme="majorHAnsi" w:hAnsiTheme="majorHAnsi" w:cstheme="majorHAnsi"/>
          <w:sz w:val="18"/>
          <w:szCs w:val="18"/>
        </w:rPr>
        <w:t>gathers</w:t>
      </w:r>
      <w:r w:rsidRPr="00AA54A5">
        <w:rPr>
          <w:rFonts w:asciiTheme="majorHAnsi" w:hAnsiTheme="majorHAnsi" w:cstheme="majorHAnsi"/>
          <w:sz w:val="18"/>
          <w:szCs w:val="18"/>
        </w:rPr>
        <w:t xml:space="preserve"> all necessary information regarding the issue, i.e.</w:t>
      </w:r>
      <w:r w:rsidR="005A3139" w:rsidRPr="00AA54A5">
        <w:rPr>
          <w:rFonts w:asciiTheme="majorHAnsi" w:hAnsiTheme="majorHAnsi" w:cstheme="majorHAnsi"/>
          <w:sz w:val="18"/>
          <w:szCs w:val="18"/>
        </w:rPr>
        <w:t>,</w:t>
      </w:r>
      <w:r w:rsidRPr="00AA54A5">
        <w:rPr>
          <w:rFonts w:asciiTheme="majorHAnsi" w:hAnsiTheme="majorHAnsi" w:cstheme="majorHAnsi"/>
          <w:sz w:val="18"/>
          <w:szCs w:val="18"/>
        </w:rPr>
        <w:t xml:space="preserve"> issue description, product assessment, quantity involved, lot number(s) involved, etc.</w:t>
      </w:r>
      <w:r w:rsidR="005A3139" w:rsidRPr="00AA54A5">
        <w:rPr>
          <w:rFonts w:asciiTheme="majorHAnsi" w:hAnsiTheme="majorHAnsi" w:cstheme="majorHAnsi"/>
          <w:sz w:val="18"/>
          <w:szCs w:val="18"/>
        </w:rPr>
        <w:t>,</w:t>
      </w:r>
      <w:r w:rsidRPr="00AA54A5">
        <w:rPr>
          <w:rFonts w:asciiTheme="majorHAnsi" w:hAnsiTheme="majorHAnsi" w:cstheme="majorHAnsi"/>
          <w:sz w:val="18"/>
          <w:szCs w:val="18"/>
        </w:rPr>
        <w:t xml:space="preserve"> and determines activities (e.g., correction or removal, repair, modification, adjustment, relabeling, destruction, and/or inspection).</w:t>
      </w:r>
    </w:p>
    <w:p w14:paraId="5963BAA9" w14:textId="38890F3D" w:rsidR="004A3FC0" w:rsidRPr="00AA54A5" w:rsidRDefault="004A3FC0" w:rsidP="00070128">
      <w:pPr>
        <w:pStyle w:val="ListParagraph"/>
        <w:numPr>
          <w:ilvl w:val="2"/>
          <w:numId w:val="26"/>
        </w:numPr>
        <w:spacing w:after="120"/>
        <w:ind w:left="1170" w:right="-360" w:hanging="540"/>
        <w:jc w:val="both"/>
        <w:rPr>
          <w:rFonts w:asciiTheme="majorHAnsi" w:hAnsiTheme="majorHAnsi" w:cstheme="majorHAnsi"/>
          <w:sz w:val="18"/>
          <w:szCs w:val="18"/>
        </w:rPr>
      </w:pPr>
      <w:r w:rsidRPr="00AA54A5">
        <w:rPr>
          <w:rFonts w:asciiTheme="majorHAnsi" w:hAnsiTheme="majorHAnsi" w:cstheme="majorHAnsi"/>
          <w:sz w:val="18"/>
          <w:szCs w:val="18"/>
        </w:rPr>
        <w:t>Determine whether Reportable or not</w:t>
      </w:r>
    </w:p>
    <w:p w14:paraId="766BACD7" w14:textId="6EAA7D75" w:rsidR="004A3FC0" w:rsidRPr="00AA54A5" w:rsidRDefault="004A3FC0" w:rsidP="004A3FC0">
      <w:pPr>
        <w:pStyle w:val="ListParagraph"/>
        <w:numPr>
          <w:ilvl w:val="0"/>
          <w:numId w:val="12"/>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Reportable – Document activities and submit report(s) to appropriate legal agency(</w:t>
      </w:r>
      <w:proofErr w:type="spellStart"/>
      <w:r w:rsidRPr="00AA54A5">
        <w:rPr>
          <w:rFonts w:asciiTheme="majorHAnsi" w:hAnsiTheme="majorHAnsi" w:cstheme="majorHAnsi"/>
          <w:sz w:val="18"/>
          <w:szCs w:val="18"/>
        </w:rPr>
        <w:t>cies</w:t>
      </w:r>
      <w:proofErr w:type="spellEnd"/>
      <w:r w:rsidRPr="00AA54A5">
        <w:rPr>
          <w:rFonts w:asciiTheme="majorHAnsi" w:hAnsiTheme="majorHAnsi" w:cstheme="majorHAnsi"/>
          <w:sz w:val="18"/>
          <w:szCs w:val="18"/>
        </w:rPr>
        <w:t>) within the prescribed timeframes, as noted in this procedure.</w:t>
      </w:r>
    </w:p>
    <w:p w14:paraId="29098E72" w14:textId="20FD952D" w:rsidR="004A3FC0" w:rsidRPr="00AA54A5" w:rsidRDefault="004A3FC0" w:rsidP="004A3FC0">
      <w:pPr>
        <w:pStyle w:val="ListParagraph"/>
        <w:numPr>
          <w:ilvl w:val="0"/>
          <w:numId w:val="12"/>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Not Reportable – Document activities and report internally. </w:t>
      </w:r>
    </w:p>
    <w:p w14:paraId="61FCC11B" w14:textId="4E1B0E02" w:rsidR="004A3FC0" w:rsidRPr="00AA54A5" w:rsidRDefault="004A3FC0" w:rsidP="00070128">
      <w:pPr>
        <w:pStyle w:val="ListParagraph"/>
        <w:numPr>
          <w:ilvl w:val="2"/>
          <w:numId w:val="26"/>
        </w:numPr>
        <w:spacing w:after="120"/>
        <w:ind w:left="1170" w:right="-360" w:hanging="540"/>
        <w:jc w:val="both"/>
        <w:rPr>
          <w:rFonts w:asciiTheme="majorHAnsi" w:hAnsiTheme="majorHAnsi" w:cstheme="majorHAnsi"/>
          <w:sz w:val="18"/>
          <w:szCs w:val="18"/>
        </w:rPr>
      </w:pPr>
      <w:r w:rsidRPr="00AA54A5">
        <w:rPr>
          <w:rFonts w:asciiTheme="majorHAnsi" w:hAnsiTheme="majorHAnsi" w:cstheme="majorHAnsi"/>
          <w:sz w:val="18"/>
          <w:szCs w:val="18"/>
        </w:rPr>
        <w:t xml:space="preserve">Determine the depth of the Recall and document on Form 9.1-5-1 </w:t>
      </w:r>
      <w:r w:rsidR="00127EBE" w:rsidRPr="00AA54A5">
        <w:rPr>
          <w:rFonts w:asciiTheme="majorHAnsi" w:hAnsiTheme="majorHAnsi" w:cstheme="majorHAnsi"/>
          <w:sz w:val="18"/>
          <w:szCs w:val="18"/>
        </w:rPr>
        <w:t>Advisory Notices, Recalls and Vigilance Plan</w:t>
      </w:r>
      <w:r w:rsidR="00127EBE" w:rsidRPr="00AA54A5" w:rsidDel="00127EBE">
        <w:rPr>
          <w:rFonts w:asciiTheme="majorHAnsi" w:hAnsiTheme="majorHAnsi" w:cstheme="majorHAnsi"/>
          <w:sz w:val="18"/>
          <w:szCs w:val="18"/>
        </w:rPr>
        <w:t xml:space="preserve"> </w:t>
      </w:r>
      <w:r w:rsidRPr="00AA54A5">
        <w:rPr>
          <w:rFonts w:asciiTheme="majorHAnsi" w:hAnsiTheme="majorHAnsi" w:cstheme="majorHAnsi"/>
          <w:sz w:val="18"/>
          <w:szCs w:val="18"/>
        </w:rPr>
        <w:t>the appropriate level in the distribution chain that the recall is to extend (e.g., general public, retail, user, distributor).</w:t>
      </w:r>
    </w:p>
    <w:p w14:paraId="3B509752" w14:textId="7EF54960" w:rsidR="004A3FC0" w:rsidRPr="00AA54A5" w:rsidRDefault="004A3FC0" w:rsidP="00070128">
      <w:pPr>
        <w:pStyle w:val="ListParagraph"/>
        <w:numPr>
          <w:ilvl w:val="2"/>
          <w:numId w:val="26"/>
        </w:numPr>
        <w:spacing w:after="120"/>
        <w:ind w:left="1170" w:right="-360" w:hanging="540"/>
        <w:jc w:val="both"/>
        <w:rPr>
          <w:rFonts w:asciiTheme="majorHAnsi" w:hAnsiTheme="majorHAnsi" w:cstheme="majorHAnsi"/>
          <w:sz w:val="18"/>
          <w:szCs w:val="18"/>
        </w:rPr>
      </w:pPr>
      <w:r w:rsidRPr="00AA54A5">
        <w:rPr>
          <w:rFonts w:asciiTheme="majorHAnsi" w:hAnsiTheme="majorHAnsi" w:cstheme="majorHAnsi"/>
          <w:sz w:val="18"/>
          <w:szCs w:val="18"/>
        </w:rPr>
        <w:t xml:space="preserve">Complete Form 9.1-5-1 </w:t>
      </w:r>
      <w:r w:rsidR="00127EBE" w:rsidRPr="00AA54A5">
        <w:rPr>
          <w:rFonts w:asciiTheme="majorHAnsi" w:hAnsiTheme="majorHAnsi" w:cstheme="majorHAnsi"/>
          <w:sz w:val="18"/>
          <w:szCs w:val="18"/>
        </w:rPr>
        <w:t>Advisory Notices, Recalls and Vigilance Plan</w:t>
      </w:r>
      <w:r w:rsidR="00127EBE" w:rsidRPr="00AA54A5" w:rsidDel="00127EBE">
        <w:rPr>
          <w:rFonts w:asciiTheme="majorHAnsi" w:hAnsiTheme="majorHAnsi" w:cstheme="majorHAnsi"/>
          <w:sz w:val="18"/>
          <w:szCs w:val="18"/>
        </w:rPr>
        <w:t xml:space="preserve"> </w:t>
      </w:r>
      <w:r w:rsidRPr="00AA54A5">
        <w:rPr>
          <w:rFonts w:asciiTheme="majorHAnsi" w:hAnsiTheme="majorHAnsi" w:cstheme="majorHAnsi"/>
          <w:sz w:val="18"/>
          <w:szCs w:val="18"/>
        </w:rPr>
        <w:t xml:space="preserve">This includes documenting the activities related and attaching any reference documents, such as protocols, procedures, etc., that provide support and background to the activity. </w:t>
      </w:r>
    </w:p>
    <w:p w14:paraId="6FD28F04" w14:textId="7BC57A85" w:rsidR="004A3FC0" w:rsidRPr="00AA54A5" w:rsidRDefault="004A3FC0" w:rsidP="00070128">
      <w:pPr>
        <w:pStyle w:val="ListParagraph"/>
        <w:numPr>
          <w:ilvl w:val="1"/>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 xml:space="preserve">Top Management </w:t>
      </w:r>
    </w:p>
    <w:p w14:paraId="4D3DFFDD" w14:textId="66A3B9AE" w:rsidR="0017023B" w:rsidRPr="00AA54A5" w:rsidRDefault="00127EBE" w:rsidP="00070128">
      <w:pPr>
        <w:pStyle w:val="ListParagraph"/>
        <w:numPr>
          <w:ilvl w:val="2"/>
          <w:numId w:val="26"/>
        </w:numPr>
        <w:spacing w:after="120"/>
        <w:ind w:left="1170" w:right="-360" w:hanging="540"/>
        <w:jc w:val="both"/>
        <w:rPr>
          <w:rFonts w:asciiTheme="majorHAnsi" w:hAnsiTheme="majorHAnsi" w:cstheme="majorHAnsi"/>
          <w:sz w:val="18"/>
          <w:szCs w:val="18"/>
        </w:rPr>
      </w:pPr>
      <w:r w:rsidRPr="00AA54A5">
        <w:rPr>
          <w:rFonts w:asciiTheme="majorHAnsi" w:hAnsiTheme="majorHAnsi" w:cstheme="majorHAnsi"/>
          <w:sz w:val="18"/>
          <w:szCs w:val="18"/>
        </w:rPr>
        <w:t>Form 9.1-5-1 Advisory Notices, Recalls and Vigilance Plan</w:t>
      </w:r>
      <w:r w:rsidRPr="00AA54A5" w:rsidDel="00127EBE">
        <w:rPr>
          <w:rFonts w:asciiTheme="majorHAnsi" w:hAnsiTheme="majorHAnsi" w:cstheme="majorHAnsi"/>
          <w:sz w:val="18"/>
          <w:szCs w:val="18"/>
        </w:rPr>
        <w:t xml:space="preserve"> </w:t>
      </w:r>
      <w:r w:rsidR="008C7BDC" w:rsidRPr="00AA54A5">
        <w:rPr>
          <w:rFonts w:asciiTheme="majorHAnsi" w:hAnsiTheme="majorHAnsi" w:cstheme="majorHAnsi"/>
          <w:sz w:val="18"/>
          <w:szCs w:val="18"/>
        </w:rPr>
        <w:t xml:space="preserve">must be approved by </w:t>
      </w:r>
      <w:r w:rsidR="00087F5C" w:rsidRPr="00AA54A5">
        <w:rPr>
          <w:rFonts w:asciiTheme="majorHAnsi" w:hAnsiTheme="majorHAnsi" w:cstheme="majorHAnsi"/>
          <w:sz w:val="18"/>
          <w:szCs w:val="18"/>
        </w:rPr>
        <w:t xml:space="preserve">Top Management. </w:t>
      </w:r>
    </w:p>
    <w:p w14:paraId="5F309B21" w14:textId="65392A87" w:rsidR="008C7BDC" w:rsidRPr="00AA54A5" w:rsidRDefault="008C7BDC" w:rsidP="00070128">
      <w:pPr>
        <w:pStyle w:val="ListParagraph"/>
        <w:numPr>
          <w:ilvl w:val="2"/>
          <w:numId w:val="26"/>
        </w:numPr>
        <w:spacing w:after="120"/>
        <w:ind w:left="1170" w:right="-360" w:hanging="540"/>
        <w:jc w:val="both"/>
        <w:rPr>
          <w:rFonts w:asciiTheme="majorHAnsi" w:hAnsiTheme="majorHAnsi" w:cstheme="majorHAnsi"/>
          <w:sz w:val="18"/>
          <w:szCs w:val="18"/>
        </w:rPr>
      </w:pPr>
      <w:r w:rsidRPr="00AA54A5">
        <w:rPr>
          <w:rFonts w:asciiTheme="majorHAnsi" w:hAnsiTheme="majorHAnsi" w:cstheme="majorHAnsi"/>
          <w:sz w:val="18"/>
          <w:szCs w:val="18"/>
        </w:rPr>
        <w:t>Is customer communication required?</w:t>
      </w:r>
    </w:p>
    <w:p w14:paraId="6FCBA6DE" w14:textId="403F5E11" w:rsidR="00F12077" w:rsidRPr="00AA54A5" w:rsidRDefault="00F12077" w:rsidP="00944CCE">
      <w:pPr>
        <w:pStyle w:val="ListParagraph"/>
        <w:numPr>
          <w:ilvl w:val="3"/>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 xml:space="preserve">If </w:t>
      </w:r>
      <w:r w:rsidRPr="00AA54A5">
        <w:rPr>
          <w:rFonts w:asciiTheme="majorHAnsi" w:hAnsiTheme="majorHAnsi" w:cstheme="majorHAnsi"/>
          <w:b/>
          <w:sz w:val="18"/>
          <w:szCs w:val="18"/>
        </w:rPr>
        <w:t>YES</w:t>
      </w:r>
      <w:r w:rsidRPr="00AA54A5">
        <w:rPr>
          <w:rFonts w:asciiTheme="majorHAnsi" w:hAnsiTheme="majorHAnsi" w:cstheme="majorHAnsi"/>
          <w:sz w:val="18"/>
          <w:szCs w:val="18"/>
        </w:rPr>
        <w:t xml:space="preserve">, prepare/approve </w:t>
      </w:r>
      <w:r w:rsidR="00933858" w:rsidRPr="00AA54A5">
        <w:rPr>
          <w:rFonts w:asciiTheme="majorHAnsi" w:hAnsiTheme="majorHAnsi" w:cstheme="majorHAnsi"/>
          <w:sz w:val="18"/>
          <w:szCs w:val="18"/>
        </w:rPr>
        <w:t xml:space="preserve">Form 9.1-5-1 </w:t>
      </w:r>
      <w:r w:rsidR="006C0D64" w:rsidRPr="00AA54A5">
        <w:rPr>
          <w:rFonts w:asciiTheme="majorHAnsi" w:hAnsiTheme="majorHAnsi" w:cstheme="majorHAnsi"/>
          <w:sz w:val="18"/>
          <w:szCs w:val="18"/>
        </w:rPr>
        <w:t xml:space="preserve">Advisory Notices, Recalls and Vigilance </w:t>
      </w:r>
      <w:r w:rsidR="00933858" w:rsidRPr="00AA54A5">
        <w:rPr>
          <w:rFonts w:asciiTheme="majorHAnsi" w:hAnsiTheme="majorHAnsi" w:cstheme="majorHAnsi"/>
          <w:sz w:val="18"/>
          <w:szCs w:val="18"/>
        </w:rPr>
        <w:t xml:space="preserve">Plan </w:t>
      </w:r>
    </w:p>
    <w:p w14:paraId="33596891" w14:textId="5A088472" w:rsidR="00F12077" w:rsidRPr="00AA54A5" w:rsidRDefault="00F12077" w:rsidP="00944CCE">
      <w:pPr>
        <w:pStyle w:val="ListParagraph"/>
        <w:numPr>
          <w:ilvl w:val="3"/>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 xml:space="preserve">If </w:t>
      </w:r>
      <w:r w:rsidRPr="00AA54A5">
        <w:rPr>
          <w:rFonts w:asciiTheme="majorHAnsi" w:hAnsiTheme="majorHAnsi" w:cstheme="majorHAnsi"/>
          <w:b/>
          <w:sz w:val="18"/>
          <w:szCs w:val="18"/>
        </w:rPr>
        <w:t>NO</w:t>
      </w:r>
      <w:r w:rsidRPr="00AA54A5">
        <w:rPr>
          <w:rFonts w:asciiTheme="majorHAnsi" w:hAnsiTheme="majorHAnsi" w:cstheme="majorHAnsi"/>
          <w:sz w:val="18"/>
          <w:szCs w:val="18"/>
        </w:rPr>
        <w:t xml:space="preserve">, document the decision and continue with </w:t>
      </w:r>
      <w:r w:rsidR="006C0D64" w:rsidRPr="00AA54A5">
        <w:rPr>
          <w:rFonts w:asciiTheme="majorHAnsi" w:hAnsiTheme="majorHAnsi" w:cstheme="majorHAnsi"/>
          <w:sz w:val="18"/>
          <w:szCs w:val="18"/>
        </w:rPr>
        <w:t>Advisory Notices, Recalls and Vigilance Plan</w:t>
      </w:r>
      <w:r w:rsidR="006C0D64" w:rsidRPr="00AA54A5" w:rsidDel="006C0D64">
        <w:rPr>
          <w:rFonts w:asciiTheme="majorHAnsi" w:hAnsiTheme="majorHAnsi" w:cstheme="majorHAnsi"/>
          <w:sz w:val="18"/>
          <w:szCs w:val="18"/>
        </w:rPr>
        <w:t xml:space="preserve"> </w:t>
      </w:r>
      <w:r w:rsidRPr="00AA54A5">
        <w:rPr>
          <w:rFonts w:asciiTheme="majorHAnsi" w:hAnsiTheme="majorHAnsi" w:cstheme="majorHAnsi"/>
          <w:sz w:val="18"/>
          <w:szCs w:val="18"/>
        </w:rPr>
        <w:t>activity.</w:t>
      </w:r>
    </w:p>
    <w:p w14:paraId="5F55E53B" w14:textId="77777777" w:rsidR="00F12077" w:rsidRPr="00AA54A5" w:rsidRDefault="00F12077" w:rsidP="00944CCE">
      <w:pPr>
        <w:pStyle w:val="ListParagraph"/>
        <w:numPr>
          <w:ilvl w:val="3"/>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The following key elements must be included in the customer communication associated with a C&amp;R and/or Advisory Notice.</w:t>
      </w:r>
    </w:p>
    <w:p w14:paraId="7D47E005" w14:textId="77777777"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Description of the issue</w:t>
      </w:r>
    </w:p>
    <w:p w14:paraId="496A2CFB" w14:textId="77777777"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A listing of the product affected [product name, code, size, lot number(s)/serial number(s)]</w:t>
      </w:r>
    </w:p>
    <w:p w14:paraId="094C7B1E" w14:textId="77777777"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The associated safety risk</w:t>
      </w:r>
    </w:p>
    <w:p w14:paraId="561BF0E2" w14:textId="77777777"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Actions taken by Tulip Medical to address the issue</w:t>
      </w:r>
    </w:p>
    <w:p w14:paraId="08F4F6C8" w14:textId="77777777"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Actions the customer will need to take to mitigate the potential safety risk</w:t>
      </w:r>
    </w:p>
    <w:p w14:paraId="38AC009E" w14:textId="77777777"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Contact information (day of the week, time of day and time zone contact available)</w:t>
      </w:r>
    </w:p>
    <w:p w14:paraId="39A07C73" w14:textId="77777777"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A customer reply form, if applicable</w:t>
      </w:r>
    </w:p>
    <w:p w14:paraId="31929474" w14:textId="1891FF01" w:rsidR="00F12077" w:rsidRPr="00AA54A5" w:rsidRDefault="00F12077" w:rsidP="00522786">
      <w:pPr>
        <w:pStyle w:val="ListParagraph"/>
        <w:numPr>
          <w:ilvl w:val="0"/>
          <w:numId w:val="13"/>
        </w:numPr>
        <w:spacing w:after="120"/>
        <w:ind w:right="-360" w:hanging="270"/>
        <w:rPr>
          <w:rFonts w:asciiTheme="majorHAnsi" w:hAnsiTheme="majorHAnsi" w:cstheme="majorHAnsi"/>
          <w:sz w:val="18"/>
          <w:szCs w:val="18"/>
        </w:rPr>
      </w:pPr>
      <w:r w:rsidRPr="00AA54A5">
        <w:rPr>
          <w:rFonts w:asciiTheme="majorHAnsi" w:hAnsiTheme="majorHAnsi" w:cstheme="majorHAnsi"/>
          <w:sz w:val="18"/>
          <w:szCs w:val="18"/>
        </w:rPr>
        <w:t>A statement regarding regulatory body notification, if applicable</w:t>
      </w:r>
      <w:r w:rsidR="00522786">
        <w:rPr>
          <w:rFonts w:asciiTheme="majorHAnsi" w:hAnsiTheme="majorHAnsi" w:cstheme="majorHAnsi"/>
          <w:sz w:val="18"/>
          <w:szCs w:val="18"/>
        </w:rPr>
        <w:br/>
      </w:r>
    </w:p>
    <w:p w14:paraId="5E2C5156" w14:textId="30D3290F" w:rsidR="008C7BDC" w:rsidRPr="00AA54A5" w:rsidRDefault="008C7BDC" w:rsidP="00070128">
      <w:pPr>
        <w:pStyle w:val="ListParagraph"/>
        <w:numPr>
          <w:ilvl w:val="2"/>
          <w:numId w:val="26"/>
        </w:numPr>
        <w:spacing w:after="120"/>
        <w:ind w:left="1170" w:right="-360" w:hanging="540"/>
        <w:jc w:val="both"/>
        <w:rPr>
          <w:rFonts w:asciiTheme="majorHAnsi" w:hAnsiTheme="majorHAnsi" w:cstheme="majorHAnsi"/>
          <w:sz w:val="18"/>
          <w:szCs w:val="18"/>
        </w:rPr>
      </w:pPr>
      <w:r w:rsidRPr="00AA54A5">
        <w:rPr>
          <w:rFonts w:asciiTheme="majorHAnsi" w:hAnsiTheme="majorHAnsi" w:cstheme="majorHAnsi"/>
          <w:sz w:val="18"/>
          <w:szCs w:val="18"/>
        </w:rPr>
        <w:lastRenderedPageBreak/>
        <w:t xml:space="preserve">Perform due diligence regarding customer notification. Check effectiveness. </w:t>
      </w:r>
    </w:p>
    <w:p w14:paraId="1EC9015D" w14:textId="696D586F" w:rsidR="00F12077" w:rsidRPr="00AA54A5" w:rsidRDefault="00F12077" w:rsidP="00944CCE">
      <w:pPr>
        <w:pStyle w:val="ListParagraph"/>
        <w:numPr>
          <w:ilvl w:val="3"/>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Due diligence will be performed by each affected region as defined per regional/local regulations and any additional procedures documented on Form 9.1-5-1 Corrections and Removals Assessment and Action Plan. At a minimum, the following steps shall be taken:</w:t>
      </w:r>
    </w:p>
    <w:p w14:paraId="25D2349B" w14:textId="35D3A485" w:rsidR="00F12077" w:rsidRPr="00AA54A5" w:rsidRDefault="00F12077" w:rsidP="00F12077">
      <w:pPr>
        <w:pStyle w:val="ListParagraph"/>
        <w:numPr>
          <w:ilvl w:val="0"/>
          <w:numId w:val="14"/>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Undeliverable communications will be investigated to verify the correct address was used or if the customer is still valid.</w:t>
      </w:r>
    </w:p>
    <w:p w14:paraId="6E858045" w14:textId="31758D04" w:rsidR="00F12077" w:rsidRPr="00AA54A5" w:rsidRDefault="00F12077" w:rsidP="00F12077">
      <w:pPr>
        <w:pStyle w:val="ListParagraph"/>
        <w:numPr>
          <w:ilvl w:val="0"/>
          <w:numId w:val="14"/>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At least three (3) attempts must be made after the initial notification to get confirmation of successful delivery in a timely manner. </w:t>
      </w:r>
    </w:p>
    <w:p w14:paraId="7B617A78" w14:textId="3F2C8E06" w:rsidR="00F12077" w:rsidRPr="00AA54A5" w:rsidRDefault="00F12077" w:rsidP="00F12077">
      <w:pPr>
        <w:pStyle w:val="ListParagraph"/>
        <w:numPr>
          <w:ilvl w:val="0"/>
          <w:numId w:val="14"/>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Additional attempts may be required per the direction of the Top Management, or the regulatory agency/MoH. </w:t>
      </w:r>
    </w:p>
    <w:p w14:paraId="6B775AC9" w14:textId="2B514563" w:rsidR="00F12077" w:rsidRPr="00AA54A5" w:rsidRDefault="00F12077" w:rsidP="00F12077">
      <w:pPr>
        <w:pStyle w:val="ListParagraph"/>
        <w:numPr>
          <w:ilvl w:val="0"/>
          <w:numId w:val="14"/>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Effectiveness of the customer communication will be monitored monthly. </w:t>
      </w:r>
    </w:p>
    <w:p w14:paraId="22E698A8" w14:textId="037B21F4" w:rsidR="00F12077" w:rsidRPr="00AA54A5" w:rsidRDefault="00F12077" w:rsidP="00944CCE">
      <w:pPr>
        <w:pStyle w:val="ListParagraph"/>
        <w:numPr>
          <w:ilvl w:val="3"/>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Objective evidence or successful delivery of the communication will be obtained via one or a combination of the following methods:</w:t>
      </w:r>
    </w:p>
    <w:p w14:paraId="67DFAC32" w14:textId="54FD852B" w:rsidR="00F12077" w:rsidRPr="00AA54A5" w:rsidRDefault="00F12077" w:rsidP="00F12077">
      <w:pPr>
        <w:pStyle w:val="ListParagraph"/>
        <w:numPr>
          <w:ilvl w:val="0"/>
          <w:numId w:val="15"/>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Completed Customer Reply Form.</w:t>
      </w:r>
    </w:p>
    <w:p w14:paraId="6D45BC50" w14:textId="79F55CFE" w:rsidR="00F12077" w:rsidRPr="00AA54A5" w:rsidRDefault="00F12077" w:rsidP="00F12077">
      <w:pPr>
        <w:pStyle w:val="ListParagraph"/>
        <w:numPr>
          <w:ilvl w:val="0"/>
          <w:numId w:val="15"/>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Signed Receipt of Mail Delivery.</w:t>
      </w:r>
    </w:p>
    <w:p w14:paraId="32401EBB" w14:textId="33C3CF52" w:rsidR="00F12077" w:rsidRPr="00AA54A5" w:rsidRDefault="00F12077" w:rsidP="00F12077">
      <w:pPr>
        <w:pStyle w:val="ListParagraph"/>
        <w:numPr>
          <w:ilvl w:val="0"/>
          <w:numId w:val="15"/>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Documentation of Verbal Confirmation (include name/title of individual contacted, the date/time of conversation, and name of individual confirming receipt).</w:t>
      </w:r>
    </w:p>
    <w:p w14:paraId="1CEA9711" w14:textId="13CDF431" w:rsidR="00F12077" w:rsidRPr="00AA54A5" w:rsidRDefault="00F12077" w:rsidP="00F12077">
      <w:pPr>
        <w:pStyle w:val="ListParagraph"/>
        <w:numPr>
          <w:ilvl w:val="0"/>
          <w:numId w:val="15"/>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Other, as documented on Form 9.1-5-1 </w:t>
      </w:r>
      <w:r w:rsidR="006C0D64" w:rsidRPr="00AA54A5">
        <w:rPr>
          <w:rFonts w:asciiTheme="majorHAnsi" w:hAnsiTheme="majorHAnsi" w:cstheme="majorHAnsi"/>
          <w:sz w:val="18"/>
          <w:szCs w:val="18"/>
        </w:rPr>
        <w:t>Advisory Notices, Recalls and Vigilance Plan</w:t>
      </w:r>
    </w:p>
    <w:p w14:paraId="61FA3A13" w14:textId="2A3AD2DA" w:rsidR="004A3FC0" w:rsidRPr="00AA54A5" w:rsidRDefault="00571FAC" w:rsidP="00070128">
      <w:pPr>
        <w:pStyle w:val="ListParagraph"/>
        <w:numPr>
          <w:ilvl w:val="1"/>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QA</w:t>
      </w:r>
      <w:r w:rsidR="004A3FC0" w:rsidRPr="00AA54A5">
        <w:rPr>
          <w:rFonts w:asciiTheme="majorHAnsi" w:hAnsiTheme="majorHAnsi" w:cstheme="majorHAnsi"/>
          <w:sz w:val="18"/>
          <w:szCs w:val="18"/>
        </w:rPr>
        <w:t xml:space="preserve"> manager</w:t>
      </w:r>
    </w:p>
    <w:p w14:paraId="2AAFA1FE" w14:textId="56AF41B2" w:rsidR="00F12077" w:rsidRPr="00AA54A5" w:rsidRDefault="00F12077" w:rsidP="00522786">
      <w:pPr>
        <w:pStyle w:val="ListParagraph"/>
        <w:numPr>
          <w:ilvl w:val="3"/>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 xml:space="preserve">Initiate close and document on Form 9.1-5-1 </w:t>
      </w:r>
      <w:r w:rsidR="00127EBE" w:rsidRPr="00AA54A5">
        <w:rPr>
          <w:rFonts w:asciiTheme="majorHAnsi" w:hAnsiTheme="majorHAnsi" w:cstheme="majorHAnsi"/>
          <w:sz w:val="18"/>
          <w:szCs w:val="18"/>
        </w:rPr>
        <w:t>Advisory Notices, Recalls and Vigilance Plan</w:t>
      </w:r>
      <w:r w:rsidR="00127EBE" w:rsidRPr="00AA54A5" w:rsidDel="00127EBE">
        <w:rPr>
          <w:rFonts w:asciiTheme="majorHAnsi" w:hAnsiTheme="majorHAnsi" w:cstheme="majorHAnsi"/>
          <w:sz w:val="18"/>
          <w:szCs w:val="18"/>
        </w:rPr>
        <w:t xml:space="preserve"> </w:t>
      </w:r>
      <w:r w:rsidRPr="00AA54A5">
        <w:rPr>
          <w:rFonts w:asciiTheme="majorHAnsi" w:hAnsiTheme="majorHAnsi" w:cstheme="majorHAnsi"/>
          <w:sz w:val="18"/>
          <w:szCs w:val="18"/>
        </w:rPr>
        <w:t xml:space="preserve">Based on regional/local requirements, the Authorized Representative will indicate their closure of the </w:t>
      </w:r>
      <w:r w:rsidR="00127EBE" w:rsidRPr="00AA54A5">
        <w:rPr>
          <w:rFonts w:asciiTheme="majorHAnsi" w:hAnsiTheme="majorHAnsi" w:cstheme="majorHAnsi"/>
          <w:sz w:val="18"/>
          <w:szCs w:val="18"/>
        </w:rPr>
        <w:t>Advisory Notices, Recalls and Vigilance Plan</w:t>
      </w:r>
      <w:r w:rsidRPr="00AA54A5">
        <w:rPr>
          <w:rFonts w:asciiTheme="majorHAnsi" w:hAnsiTheme="majorHAnsi" w:cstheme="majorHAnsi"/>
          <w:sz w:val="18"/>
          <w:szCs w:val="18"/>
        </w:rPr>
        <w:t xml:space="preserve"> in writing to the Top Management Representative. This will be based on the following criteria:</w:t>
      </w:r>
    </w:p>
    <w:p w14:paraId="31FC4CD4" w14:textId="118C30F4" w:rsidR="00F12077" w:rsidRPr="00AA54A5" w:rsidRDefault="00F12077" w:rsidP="00F12077">
      <w:pPr>
        <w:pStyle w:val="ListParagraph"/>
        <w:numPr>
          <w:ilvl w:val="0"/>
          <w:numId w:val="16"/>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Due diligence has been demonstrated that all possible affected customer responses have been received. </w:t>
      </w:r>
    </w:p>
    <w:p w14:paraId="38C5A65E" w14:textId="639C088B" w:rsidR="00F12077" w:rsidRPr="00AA54A5" w:rsidRDefault="00F12077" w:rsidP="00F12077">
      <w:pPr>
        <w:pStyle w:val="ListParagraph"/>
        <w:numPr>
          <w:ilvl w:val="0"/>
          <w:numId w:val="16"/>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Due diligence has been demonstrated that all possible affected product has been recovered, corrected, reconditioned or destroyed. </w:t>
      </w:r>
    </w:p>
    <w:p w14:paraId="4A3EBB16" w14:textId="5591530B" w:rsidR="00F12077" w:rsidRPr="00AA54A5" w:rsidRDefault="00F12077" w:rsidP="00F12077">
      <w:pPr>
        <w:pStyle w:val="ListParagraph"/>
        <w:numPr>
          <w:ilvl w:val="0"/>
          <w:numId w:val="16"/>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Reconciliation of all product holds. </w:t>
      </w:r>
    </w:p>
    <w:p w14:paraId="74009642" w14:textId="6FA857FE" w:rsidR="00F12077" w:rsidRPr="00AA54A5" w:rsidRDefault="00F12077" w:rsidP="00F12077">
      <w:pPr>
        <w:pStyle w:val="ListParagraph"/>
        <w:numPr>
          <w:ilvl w:val="0"/>
          <w:numId w:val="16"/>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Receipt of documentation of the completion of any associated correction. </w:t>
      </w:r>
    </w:p>
    <w:p w14:paraId="28448DCE" w14:textId="1C781F29" w:rsidR="00F12077" w:rsidRPr="00AA54A5" w:rsidRDefault="00F12077" w:rsidP="00F12077">
      <w:pPr>
        <w:pStyle w:val="ListParagraph"/>
        <w:numPr>
          <w:ilvl w:val="0"/>
          <w:numId w:val="16"/>
        </w:numPr>
        <w:spacing w:after="120"/>
        <w:ind w:right="-360" w:hanging="270"/>
        <w:jc w:val="both"/>
        <w:rPr>
          <w:rFonts w:asciiTheme="majorHAnsi" w:hAnsiTheme="majorHAnsi" w:cstheme="majorHAnsi"/>
          <w:sz w:val="18"/>
          <w:szCs w:val="18"/>
        </w:rPr>
      </w:pPr>
      <w:r w:rsidRPr="00AA54A5">
        <w:rPr>
          <w:rFonts w:asciiTheme="majorHAnsi" w:hAnsiTheme="majorHAnsi" w:cstheme="majorHAnsi"/>
          <w:sz w:val="18"/>
          <w:szCs w:val="18"/>
        </w:rPr>
        <w:t xml:space="preserve">Based on regional/local requirements, the regulatory body(s)/MoH(s) closure documentation associated with the country(s) affected by the </w:t>
      </w:r>
      <w:r w:rsidR="00127EBE" w:rsidRPr="00AA54A5">
        <w:rPr>
          <w:rFonts w:asciiTheme="majorHAnsi" w:hAnsiTheme="majorHAnsi" w:cstheme="majorHAnsi"/>
          <w:sz w:val="18"/>
          <w:szCs w:val="18"/>
        </w:rPr>
        <w:t>Advisory Notices, Recalls and Vigilance Plan</w:t>
      </w:r>
      <w:r w:rsidR="00127EBE" w:rsidRPr="00AA54A5" w:rsidDel="00127EBE">
        <w:rPr>
          <w:rFonts w:asciiTheme="majorHAnsi" w:hAnsiTheme="majorHAnsi" w:cstheme="majorHAnsi"/>
          <w:sz w:val="18"/>
          <w:szCs w:val="18"/>
        </w:rPr>
        <w:t xml:space="preserve"> </w:t>
      </w:r>
      <w:r w:rsidRPr="00AA54A5">
        <w:rPr>
          <w:rFonts w:asciiTheme="majorHAnsi" w:hAnsiTheme="majorHAnsi" w:cstheme="majorHAnsi"/>
          <w:sz w:val="18"/>
          <w:szCs w:val="18"/>
        </w:rPr>
        <w:t xml:space="preserve">has been received. </w:t>
      </w:r>
    </w:p>
    <w:p w14:paraId="696CE36B" w14:textId="21D1C4D1" w:rsidR="00AC3D42" w:rsidRPr="00AA54A5" w:rsidRDefault="00F12077" w:rsidP="00944CCE">
      <w:pPr>
        <w:pStyle w:val="ListParagraph"/>
        <w:numPr>
          <w:ilvl w:val="3"/>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 xml:space="preserve">Once the </w:t>
      </w:r>
      <w:r w:rsidR="00B0086E" w:rsidRPr="00AA54A5">
        <w:rPr>
          <w:rFonts w:asciiTheme="majorHAnsi" w:hAnsiTheme="majorHAnsi" w:cstheme="majorHAnsi"/>
          <w:sz w:val="18"/>
          <w:szCs w:val="18"/>
        </w:rPr>
        <w:t>PRRC</w:t>
      </w:r>
      <w:r w:rsidRPr="00AA54A5">
        <w:rPr>
          <w:rFonts w:asciiTheme="majorHAnsi" w:hAnsiTheme="majorHAnsi" w:cstheme="majorHAnsi"/>
          <w:sz w:val="18"/>
          <w:szCs w:val="18"/>
        </w:rPr>
        <w:t xml:space="preserve"> receives notification from all affected regions and verifies that all of the Correction &amp; Removals file requirements have been met per this procedure, the </w:t>
      </w:r>
      <w:r w:rsidR="00B0086E" w:rsidRPr="00AA54A5">
        <w:rPr>
          <w:rFonts w:asciiTheme="majorHAnsi" w:hAnsiTheme="majorHAnsi" w:cstheme="majorHAnsi"/>
          <w:sz w:val="18"/>
          <w:szCs w:val="18"/>
        </w:rPr>
        <w:t>PRRC</w:t>
      </w:r>
      <w:r w:rsidRPr="00AA54A5">
        <w:rPr>
          <w:rFonts w:asciiTheme="majorHAnsi" w:hAnsiTheme="majorHAnsi" w:cstheme="majorHAnsi"/>
          <w:sz w:val="18"/>
          <w:szCs w:val="18"/>
        </w:rPr>
        <w:t xml:space="preserve"> will close the action.</w:t>
      </w:r>
    </w:p>
    <w:p w14:paraId="3FB5C314" w14:textId="7F5B377E" w:rsidR="00FD2420" w:rsidRPr="00AA54A5" w:rsidRDefault="00FD2420" w:rsidP="00070128">
      <w:pPr>
        <w:pStyle w:val="ListParagraph"/>
        <w:numPr>
          <w:ilvl w:val="1"/>
          <w:numId w:val="26"/>
        </w:numPr>
        <w:spacing w:after="120"/>
        <w:ind w:right="-360"/>
        <w:jc w:val="both"/>
        <w:rPr>
          <w:rFonts w:asciiTheme="majorHAnsi" w:hAnsiTheme="majorHAnsi" w:cstheme="majorHAnsi"/>
          <w:sz w:val="18"/>
          <w:szCs w:val="18"/>
        </w:rPr>
      </w:pPr>
      <w:r w:rsidRPr="00AA54A5">
        <w:rPr>
          <w:rFonts w:asciiTheme="majorHAnsi" w:hAnsiTheme="majorHAnsi" w:cstheme="majorHAnsi"/>
          <w:sz w:val="18"/>
          <w:szCs w:val="18"/>
        </w:rPr>
        <w:t>Competent Authority (CA) (Art. 87)</w:t>
      </w:r>
    </w:p>
    <w:p w14:paraId="1301340D" w14:textId="77777777" w:rsidR="009E0CB1" w:rsidRPr="00AA54A5" w:rsidRDefault="009E0CB1" w:rsidP="00522786">
      <w:pPr>
        <w:numPr>
          <w:ilvl w:val="2"/>
          <w:numId w:val="26"/>
        </w:numPr>
        <w:adjustRightInd w:val="0"/>
        <w:snapToGrid w:val="0"/>
        <w:spacing w:after="120"/>
        <w:ind w:left="1890"/>
        <w:rPr>
          <w:rFonts w:asciiTheme="majorHAnsi" w:hAnsiTheme="majorHAnsi" w:cstheme="majorHAnsi"/>
          <w:sz w:val="18"/>
          <w:szCs w:val="18"/>
        </w:rPr>
      </w:pPr>
      <w:r w:rsidRPr="00AA54A5">
        <w:rPr>
          <w:rFonts w:asciiTheme="majorHAnsi" w:hAnsiTheme="majorHAnsi" w:cstheme="majorHAnsi"/>
          <w:color w:val="000000"/>
          <w:sz w:val="18"/>
          <w:szCs w:val="18"/>
        </w:rPr>
        <w:t>Where a CA obtains such reports on suspected serious incidents from healthcare professionals, users or patients, the CA will ensure that the manufacturer of the device is informed of the suspected serious incident without delay.</w:t>
      </w:r>
    </w:p>
    <w:p w14:paraId="30368973" w14:textId="7998C79A" w:rsidR="009E0CB1" w:rsidRPr="00AA54A5" w:rsidRDefault="009E0CB1" w:rsidP="00522786">
      <w:pPr>
        <w:numPr>
          <w:ilvl w:val="3"/>
          <w:numId w:val="26"/>
        </w:numPr>
        <w:adjustRightInd w:val="0"/>
        <w:snapToGrid w:val="0"/>
        <w:spacing w:after="120"/>
        <w:rPr>
          <w:rFonts w:asciiTheme="majorHAnsi" w:hAnsiTheme="majorHAnsi" w:cstheme="majorHAnsi"/>
          <w:sz w:val="18"/>
          <w:szCs w:val="18"/>
        </w:rPr>
      </w:pPr>
      <w:r w:rsidRPr="00AA54A5">
        <w:rPr>
          <w:rFonts w:asciiTheme="majorHAnsi" w:hAnsiTheme="majorHAnsi" w:cstheme="majorHAnsi"/>
          <w:color w:val="000000"/>
          <w:sz w:val="18"/>
          <w:szCs w:val="18"/>
        </w:rPr>
        <w:t xml:space="preserve">If </w:t>
      </w:r>
      <w:r w:rsidR="00B0086E" w:rsidRPr="00AA54A5">
        <w:rPr>
          <w:rFonts w:asciiTheme="majorHAnsi" w:hAnsiTheme="majorHAnsi" w:cstheme="majorHAnsi"/>
          <w:color w:val="000000"/>
          <w:sz w:val="18"/>
          <w:szCs w:val="18"/>
        </w:rPr>
        <w:t>PRRC</w:t>
      </w:r>
      <w:r w:rsidRPr="00AA54A5">
        <w:rPr>
          <w:rFonts w:asciiTheme="majorHAnsi" w:hAnsiTheme="majorHAnsi" w:cstheme="majorHAnsi"/>
          <w:color w:val="000000"/>
          <w:sz w:val="18"/>
          <w:szCs w:val="18"/>
        </w:rPr>
        <w:t xml:space="preserve"> determines that the incident meets the definition of a serious incident, the manufacturer will provide a MIR report to the CA of the member state in which the serious incident occurred and shall take the appropriate follow-up action. </w:t>
      </w:r>
    </w:p>
    <w:p w14:paraId="3743D97E" w14:textId="0BF22C96" w:rsidR="009E0CB1" w:rsidRPr="00AA54A5" w:rsidRDefault="009E0CB1" w:rsidP="00522786">
      <w:pPr>
        <w:numPr>
          <w:ilvl w:val="3"/>
          <w:numId w:val="26"/>
        </w:numPr>
        <w:adjustRightInd w:val="0"/>
        <w:snapToGrid w:val="0"/>
        <w:spacing w:after="120"/>
        <w:rPr>
          <w:rFonts w:asciiTheme="majorHAnsi" w:hAnsiTheme="majorHAnsi" w:cstheme="majorHAnsi"/>
          <w:sz w:val="18"/>
          <w:szCs w:val="18"/>
        </w:rPr>
      </w:pPr>
      <w:r w:rsidRPr="00AA54A5">
        <w:rPr>
          <w:rFonts w:asciiTheme="majorHAnsi" w:hAnsiTheme="majorHAnsi" w:cstheme="majorHAnsi"/>
          <w:sz w:val="18"/>
          <w:szCs w:val="18"/>
        </w:rPr>
        <w:t xml:space="preserve">If </w:t>
      </w:r>
      <w:r w:rsidR="00B0086E" w:rsidRPr="00AA54A5">
        <w:rPr>
          <w:rFonts w:asciiTheme="majorHAnsi" w:hAnsiTheme="majorHAnsi" w:cstheme="majorHAnsi"/>
          <w:sz w:val="18"/>
          <w:szCs w:val="18"/>
        </w:rPr>
        <w:t>PRRC</w:t>
      </w:r>
      <w:r w:rsidRPr="00AA54A5">
        <w:rPr>
          <w:rFonts w:asciiTheme="majorHAnsi" w:hAnsiTheme="majorHAnsi" w:cstheme="majorHAnsi"/>
          <w:sz w:val="18"/>
          <w:szCs w:val="18"/>
        </w:rPr>
        <w:t xml:space="preserve"> considers the incident is not a serious incident or is an expected undesirable side-effect, </w:t>
      </w:r>
      <w:r w:rsidR="00B0086E" w:rsidRPr="00AA54A5">
        <w:rPr>
          <w:rFonts w:asciiTheme="majorHAnsi" w:hAnsiTheme="majorHAnsi" w:cstheme="majorHAnsi"/>
          <w:sz w:val="18"/>
          <w:szCs w:val="18"/>
        </w:rPr>
        <w:t>PRRC</w:t>
      </w:r>
      <w:r w:rsidRPr="00AA54A5">
        <w:rPr>
          <w:rFonts w:asciiTheme="majorHAnsi" w:hAnsiTheme="majorHAnsi" w:cstheme="majorHAnsi"/>
          <w:sz w:val="18"/>
          <w:szCs w:val="18"/>
        </w:rPr>
        <w:t xml:space="preserve"> will provide an explanatory statement to the CA. If the </w:t>
      </w:r>
      <w:r w:rsidRPr="00AA54A5">
        <w:rPr>
          <w:rFonts w:asciiTheme="majorHAnsi" w:hAnsiTheme="majorHAnsi" w:cstheme="majorHAnsi"/>
          <w:color w:val="000000"/>
          <w:sz w:val="18"/>
          <w:szCs w:val="18"/>
        </w:rPr>
        <w:t>CA</w:t>
      </w:r>
      <w:r w:rsidRPr="00AA54A5">
        <w:rPr>
          <w:rFonts w:asciiTheme="majorHAnsi" w:hAnsiTheme="majorHAnsi" w:cstheme="majorHAnsi"/>
          <w:sz w:val="18"/>
          <w:szCs w:val="18"/>
        </w:rPr>
        <w:t xml:space="preserve"> does not agree with the conclusion of the explanatory statement, the CA may require a MIR. </w:t>
      </w:r>
    </w:p>
    <w:p w14:paraId="40FB9303" w14:textId="16BFB49D" w:rsidR="009E0CB1" w:rsidRPr="00AA54A5" w:rsidRDefault="009E0CB1" w:rsidP="00522786">
      <w:pPr>
        <w:numPr>
          <w:ilvl w:val="2"/>
          <w:numId w:val="26"/>
        </w:numPr>
        <w:tabs>
          <w:tab w:val="left" w:pos="1890"/>
        </w:tabs>
        <w:adjustRightInd w:val="0"/>
        <w:snapToGrid w:val="0"/>
        <w:spacing w:after="120"/>
        <w:ind w:left="1530" w:hanging="270"/>
        <w:rPr>
          <w:rFonts w:asciiTheme="majorHAnsi" w:hAnsiTheme="majorHAnsi" w:cstheme="majorHAnsi"/>
          <w:sz w:val="18"/>
          <w:szCs w:val="18"/>
        </w:rPr>
      </w:pPr>
      <w:r w:rsidRPr="00AA54A5">
        <w:rPr>
          <w:rFonts w:asciiTheme="majorHAnsi" w:hAnsiTheme="majorHAnsi" w:cstheme="majorHAnsi"/>
          <w:sz w:val="18"/>
          <w:szCs w:val="18"/>
        </w:rPr>
        <w:t xml:space="preserve">CAs may conduct their own assessments on the trend reports and require Tulip Medical Products to </w:t>
      </w:r>
      <w:r w:rsidR="00522786">
        <w:rPr>
          <w:rFonts w:asciiTheme="majorHAnsi" w:hAnsiTheme="majorHAnsi" w:cstheme="majorHAnsi"/>
          <w:sz w:val="18"/>
          <w:szCs w:val="18"/>
        </w:rPr>
        <w:tab/>
      </w:r>
      <w:r w:rsidRPr="00AA54A5">
        <w:rPr>
          <w:rFonts w:asciiTheme="majorHAnsi" w:hAnsiTheme="majorHAnsi" w:cstheme="majorHAnsi"/>
          <w:sz w:val="18"/>
          <w:szCs w:val="18"/>
        </w:rPr>
        <w:t>adopt appropriate measures in order to ensure the protection of public health and patient safety.</w:t>
      </w:r>
      <w:r w:rsidR="00522786">
        <w:rPr>
          <w:rFonts w:asciiTheme="majorHAnsi" w:hAnsiTheme="majorHAnsi" w:cstheme="majorHAnsi"/>
          <w:sz w:val="18"/>
          <w:szCs w:val="18"/>
        </w:rPr>
        <w:br/>
      </w:r>
      <w:r w:rsidR="00522786">
        <w:rPr>
          <w:rFonts w:asciiTheme="majorHAnsi" w:hAnsiTheme="majorHAnsi" w:cstheme="majorHAnsi"/>
          <w:sz w:val="18"/>
          <w:szCs w:val="18"/>
        </w:rPr>
        <w:br/>
      </w:r>
      <w:r w:rsidR="00522786">
        <w:rPr>
          <w:rFonts w:asciiTheme="majorHAnsi" w:hAnsiTheme="majorHAnsi" w:cstheme="majorHAnsi"/>
          <w:sz w:val="18"/>
          <w:szCs w:val="18"/>
        </w:rPr>
        <w:br/>
      </w:r>
    </w:p>
    <w:p w14:paraId="0E43A492" w14:textId="41B931EE" w:rsidR="009E0CB1" w:rsidRPr="00AA54A5" w:rsidRDefault="009E0CB1" w:rsidP="00070128">
      <w:pPr>
        <w:numPr>
          <w:ilvl w:val="1"/>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color w:val="000000"/>
          <w:sz w:val="18"/>
          <w:szCs w:val="18"/>
        </w:rPr>
        <w:lastRenderedPageBreak/>
        <w:t xml:space="preserve">Utilize the data in </w:t>
      </w:r>
      <w:r w:rsidR="00555B83" w:rsidRPr="00AA54A5">
        <w:rPr>
          <w:rFonts w:asciiTheme="majorHAnsi" w:hAnsiTheme="majorHAnsi" w:cstheme="majorHAnsi"/>
          <w:b/>
          <w:color w:val="000000"/>
          <w:sz w:val="18"/>
          <w:szCs w:val="18"/>
        </w:rPr>
        <w:t>Table 3</w:t>
      </w:r>
      <w:r w:rsidRPr="00AA54A5">
        <w:rPr>
          <w:rFonts w:asciiTheme="majorHAnsi" w:hAnsiTheme="majorHAnsi" w:cstheme="majorHAnsi"/>
          <w:color w:val="000000"/>
          <w:sz w:val="18"/>
          <w:szCs w:val="18"/>
        </w:rPr>
        <w:t xml:space="preserve"> to determine reporting time and type of report required for each type of event that has a reportable incident</w:t>
      </w:r>
      <w:r w:rsidRPr="00AA54A5">
        <w:rPr>
          <w:rFonts w:asciiTheme="majorHAnsi" w:hAnsiTheme="majorHAnsi" w:cstheme="majorHAnsi"/>
          <w:sz w:val="18"/>
          <w:szCs w:val="18"/>
        </w:rPr>
        <w:t>.</w:t>
      </w:r>
    </w:p>
    <w:p w14:paraId="540D3DA5" w14:textId="77777777" w:rsidR="009E0CB1" w:rsidRPr="00AA54A5" w:rsidRDefault="009E0CB1" w:rsidP="00070128">
      <w:pPr>
        <w:numPr>
          <w:ilvl w:val="1"/>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color w:val="000000"/>
          <w:sz w:val="18"/>
          <w:szCs w:val="18"/>
        </w:rPr>
        <w:t>Where</w:t>
      </w:r>
      <w:r w:rsidRPr="00AA54A5">
        <w:rPr>
          <w:rFonts w:asciiTheme="majorHAnsi" w:hAnsiTheme="majorHAnsi" w:cstheme="majorHAnsi"/>
          <w:sz w:val="18"/>
          <w:szCs w:val="18"/>
          <w:lang w:val="en-CA"/>
        </w:rPr>
        <w:t xml:space="preserve"> necessary to ensure timely reporting, submit an initial report (refer to MIR Form) that is incomplete followed up by a complete report (refer to MIR Form).</w:t>
      </w:r>
    </w:p>
    <w:p w14:paraId="1B02BD28" w14:textId="77777777" w:rsidR="009E0CB1" w:rsidRPr="00AA54A5" w:rsidRDefault="009E0CB1" w:rsidP="00070128">
      <w:pPr>
        <w:numPr>
          <w:ilvl w:val="1"/>
          <w:numId w:val="26"/>
        </w:numPr>
        <w:adjustRightInd w:val="0"/>
        <w:snapToGrid w:val="0"/>
        <w:spacing w:after="120"/>
        <w:jc w:val="both"/>
        <w:rPr>
          <w:rFonts w:asciiTheme="majorHAnsi" w:hAnsiTheme="majorHAnsi" w:cstheme="majorHAnsi"/>
          <w:bCs/>
          <w:sz w:val="18"/>
          <w:szCs w:val="18"/>
        </w:rPr>
      </w:pPr>
      <w:r w:rsidRPr="00AA54A5">
        <w:rPr>
          <w:rFonts w:asciiTheme="majorHAnsi" w:hAnsiTheme="majorHAnsi" w:cstheme="majorHAnsi"/>
          <w:bCs/>
          <w:sz w:val="18"/>
          <w:szCs w:val="18"/>
        </w:rPr>
        <w:t>Medical Incident Reporting</w:t>
      </w:r>
    </w:p>
    <w:p w14:paraId="5C632B7A" w14:textId="6905F8D5" w:rsidR="00F12077" w:rsidRPr="00AA54A5" w:rsidRDefault="009E0CB1" w:rsidP="005B0031">
      <w:pPr>
        <w:pStyle w:val="ListParagraph"/>
        <w:numPr>
          <w:ilvl w:val="2"/>
          <w:numId w:val="26"/>
        </w:numPr>
        <w:spacing w:after="120"/>
        <w:ind w:left="1620" w:right="-360" w:hanging="630"/>
        <w:jc w:val="both"/>
        <w:rPr>
          <w:rFonts w:asciiTheme="majorHAnsi" w:hAnsiTheme="majorHAnsi" w:cstheme="majorHAnsi"/>
          <w:sz w:val="18"/>
          <w:szCs w:val="18"/>
        </w:rPr>
      </w:pPr>
      <w:r w:rsidRPr="00AA54A5">
        <w:rPr>
          <w:rFonts w:asciiTheme="majorHAnsi" w:hAnsiTheme="majorHAnsi" w:cstheme="majorHAnsi"/>
          <w:color w:val="000000"/>
          <w:sz w:val="18"/>
          <w:szCs w:val="18"/>
        </w:rPr>
        <w:t xml:space="preserve">Use </w:t>
      </w:r>
      <w:r w:rsidR="00555B83" w:rsidRPr="00AA54A5">
        <w:rPr>
          <w:rFonts w:asciiTheme="majorHAnsi" w:hAnsiTheme="majorHAnsi" w:cstheme="majorHAnsi"/>
          <w:color w:val="000000"/>
          <w:sz w:val="18"/>
          <w:szCs w:val="18"/>
        </w:rPr>
        <w:t xml:space="preserve">Table 3 or </w:t>
      </w:r>
      <w:r w:rsidRPr="00AA54A5">
        <w:rPr>
          <w:rFonts w:asciiTheme="majorHAnsi" w:hAnsiTheme="majorHAnsi" w:cstheme="majorHAnsi"/>
          <w:b/>
          <w:color w:val="000000"/>
          <w:sz w:val="18"/>
          <w:szCs w:val="18"/>
        </w:rPr>
        <w:t>Appendix A and Art. 87</w:t>
      </w:r>
      <w:r w:rsidRPr="00AA54A5">
        <w:rPr>
          <w:rFonts w:asciiTheme="majorHAnsi" w:hAnsiTheme="majorHAnsi" w:cstheme="majorHAnsi"/>
          <w:color w:val="000000"/>
          <w:sz w:val="18"/>
          <w:szCs w:val="18"/>
        </w:rPr>
        <w:t xml:space="preserve"> to determine reporting time and type of report required.</w:t>
      </w:r>
      <w:r w:rsidR="00F12077" w:rsidRPr="00AA54A5">
        <w:rPr>
          <w:rFonts w:asciiTheme="majorHAnsi" w:hAnsiTheme="majorHAnsi" w:cstheme="majorHAnsi"/>
          <w:sz w:val="18"/>
          <w:szCs w:val="18"/>
        </w:rPr>
        <w:t xml:space="preserve"> </w:t>
      </w:r>
    </w:p>
    <w:p w14:paraId="669A88A0" w14:textId="77777777" w:rsidR="009E0CB1" w:rsidRPr="00AA54A5" w:rsidRDefault="009E0CB1" w:rsidP="005B0031">
      <w:pPr>
        <w:numPr>
          <w:ilvl w:val="2"/>
          <w:numId w:val="26"/>
        </w:numPr>
        <w:adjustRightInd w:val="0"/>
        <w:snapToGrid w:val="0"/>
        <w:spacing w:after="120"/>
        <w:ind w:left="1620" w:hanging="630"/>
        <w:jc w:val="both"/>
        <w:rPr>
          <w:rFonts w:asciiTheme="majorHAnsi" w:hAnsiTheme="majorHAnsi" w:cstheme="majorHAnsi"/>
          <w:sz w:val="18"/>
          <w:szCs w:val="18"/>
        </w:rPr>
      </w:pPr>
      <w:r w:rsidRPr="00AA54A5">
        <w:rPr>
          <w:rFonts w:asciiTheme="majorHAnsi" w:hAnsiTheme="majorHAnsi" w:cstheme="majorHAnsi"/>
          <w:sz w:val="18"/>
          <w:szCs w:val="18"/>
        </w:rPr>
        <w:t>Serious</w:t>
      </w:r>
      <w:r w:rsidRPr="00AA54A5">
        <w:rPr>
          <w:rFonts w:asciiTheme="majorHAnsi" w:hAnsiTheme="majorHAnsi" w:cstheme="majorHAnsi"/>
          <w:color w:val="000000"/>
          <w:sz w:val="18"/>
          <w:szCs w:val="18"/>
        </w:rPr>
        <w:t xml:space="preserve"> Incident Reports are submitted using </w:t>
      </w:r>
      <w:proofErr w:type="spellStart"/>
      <w:r w:rsidRPr="00AA54A5">
        <w:rPr>
          <w:rFonts w:asciiTheme="majorHAnsi" w:hAnsiTheme="majorHAnsi" w:cstheme="majorHAnsi"/>
          <w:color w:val="000000"/>
          <w:sz w:val="18"/>
          <w:szCs w:val="18"/>
        </w:rPr>
        <w:t>Eudamed</w:t>
      </w:r>
      <w:proofErr w:type="spellEnd"/>
      <w:r w:rsidRPr="00AA54A5">
        <w:rPr>
          <w:rFonts w:asciiTheme="majorHAnsi" w:hAnsiTheme="majorHAnsi" w:cstheme="majorHAnsi"/>
          <w:color w:val="000000"/>
          <w:sz w:val="18"/>
          <w:szCs w:val="18"/>
        </w:rPr>
        <w:t xml:space="preserve"> (Art. 92) using </w:t>
      </w:r>
      <w:r w:rsidRPr="00AA54A5">
        <w:rPr>
          <w:rFonts w:asciiTheme="majorHAnsi" w:hAnsiTheme="majorHAnsi" w:cstheme="majorHAnsi"/>
          <w:sz w:val="18"/>
          <w:szCs w:val="18"/>
          <w:lang w:val="en-CA"/>
        </w:rPr>
        <w:t xml:space="preserve">the MIR Form </w:t>
      </w:r>
      <w:r w:rsidRPr="00AA54A5">
        <w:rPr>
          <w:rFonts w:asciiTheme="majorHAnsi" w:hAnsiTheme="majorHAnsi" w:cstheme="majorHAnsi"/>
          <w:color w:val="000000"/>
          <w:sz w:val="18"/>
          <w:szCs w:val="18"/>
        </w:rPr>
        <w:t>to the CA where the incident occurred</w:t>
      </w:r>
      <w:r w:rsidRPr="00AA54A5">
        <w:rPr>
          <w:rFonts w:asciiTheme="majorHAnsi" w:hAnsiTheme="majorHAnsi" w:cstheme="majorHAnsi"/>
          <w:sz w:val="18"/>
          <w:szCs w:val="18"/>
        </w:rPr>
        <w:t>.</w:t>
      </w:r>
      <w:r w:rsidRPr="00AA54A5">
        <w:rPr>
          <w:rStyle w:val="FootnoteReference"/>
          <w:rFonts w:asciiTheme="majorHAnsi" w:hAnsiTheme="majorHAnsi" w:cstheme="majorHAnsi"/>
          <w:sz w:val="18"/>
          <w:szCs w:val="18"/>
        </w:rPr>
        <w:footnoteReference w:id="2"/>
      </w:r>
    </w:p>
    <w:p w14:paraId="51785178" w14:textId="5E07B8A2" w:rsidR="009E0CB1" w:rsidRPr="00AA54A5" w:rsidRDefault="001B4397" w:rsidP="005B0031">
      <w:pPr>
        <w:numPr>
          <w:ilvl w:val="3"/>
          <w:numId w:val="26"/>
        </w:numPr>
        <w:adjustRightInd w:val="0"/>
        <w:snapToGrid w:val="0"/>
        <w:spacing w:after="120"/>
        <w:ind w:left="2070" w:hanging="900"/>
        <w:contextualSpacing/>
        <w:jc w:val="both"/>
        <w:rPr>
          <w:rFonts w:asciiTheme="majorHAnsi" w:hAnsiTheme="majorHAnsi" w:cstheme="majorHAnsi"/>
          <w:sz w:val="18"/>
          <w:szCs w:val="18"/>
        </w:rPr>
      </w:pPr>
      <w:r w:rsidRPr="00AA54A5">
        <w:rPr>
          <w:rFonts w:asciiTheme="majorHAnsi" w:hAnsiTheme="majorHAnsi" w:cstheme="majorHAnsi"/>
          <w:color w:val="000000"/>
          <w:sz w:val="18"/>
          <w:szCs w:val="18"/>
        </w:rPr>
        <w:t xml:space="preserve">MedEnvoy </w:t>
      </w:r>
      <w:r w:rsidR="009E0CB1" w:rsidRPr="00AA54A5">
        <w:rPr>
          <w:rFonts w:asciiTheme="majorHAnsi" w:hAnsiTheme="majorHAnsi" w:cstheme="majorHAnsi"/>
          <w:color w:val="000000"/>
          <w:sz w:val="18"/>
          <w:szCs w:val="18"/>
        </w:rPr>
        <w:t xml:space="preserve">can submit on behalf of </w:t>
      </w:r>
      <w:r w:rsidR="00555B83" w:rsidRPr="00AA54A5">
        <w:rPr>
          <w:rFonts w:asciiTheme="majorHAnsi" w:hAnsiTheme="majorHAnsi" w:cstheme="majorHAnsi"/>
          <w:color w:val="000000"/>
          <w:sz w:val="18"/>
          <w:szCs w:val="18"/>
        </w:rPr>
        <w:t>Tulip Medical Products</w:t>
      </w:r>
      <w:r w:rsidR="009E0CB1" w:rsidRPr="00AA54A5">
        <w:rPr>
          <w:rFonts w:asciiTheme="majorHAnsi" w:hAnsiTheme="majorHAnsi" w:cstheme="majorHAnsi"/>
          <w:sz w:val="18"/>
          <w:szCs w:val="18"/>
        </w:rPr>
        <w:t xml:space="preserve">. </w:t>
      </w:r>
      <w:r w:rsidRPr="00AA54A5">
        <w:rPr>
          <w:rFonts w:asciiTheme="majorHAnsi" w:hAnsiTheme="majorHAnsi" w:cstheme="majorHAnsi"/>
          <w:sz w:val="18"/>
          <w:szCs w:val="18"/>
        </w:rPr>
        <w:t>If</w:t>
      </w:r>
      <w:r w:rsidR="009E0CB1" w:rsidRPr="00AA54A5">
        <w:rPr>
          <w:rFonts w:asciiTheme="majorHAnsi" w:hAnsiTheme="majorHAnsi" w:cstheme="majorHAnsi"/>
          <w:sz w:val="18"/>
          <w:szCs w:val="18"/>
        </w:rPr>
        <w:t xml:space="preserve"> </w:t>
      </w:r>
      <w:r w:rsidRPr="00AA54A5">
        <w:rPr>
          <w:rFonts w:asciiTheme="majorHAnsi" w:hAnsiTheme="majorHAnsi" w:cstheme="majorHAnsi"/>
          <w:sz w:val="18"/>
          <w:szCs w:val="18"/>
        </w:rPr>
        <w:t xml:space="preserve">MedEnvoy </w:t>
      </w:r>
      <w:r w:rsidR="009E0CB1" w:rsidRPr="00AA54A5">
        <w:rPr>
          <w:rFonts w:asciiTheme="majorHAnsi" w:hAnsiTheme="majorHAnsi" w:cstheme="majorHAnsi"/>
          <w:sz w:val="18"/>
          <w:szCs w:val="18"/>
        </w:rPr>
        <w:t xml:space="preserve">is submitting the report, the file shall be sent to </w:t>
      </w:r>
      <w:r w:rsidRPr="00AA54A5">
        <w:rPr>
          <w:rFonts w:asciiTheme="majorHAnsi" w:hAnsiTheme="majorHAnsi" w:cstheme="majorHAnsi"/>
          <w:sz w:val="18"/>
          <w:szCs w:val="18"/>
        </w:rPr>
        <w:t>MedEnvoy at</w:t>
      </w:r>
      <w:r w:rsidR="009E0CB1" w:rsidRPr="00AA54A5">
        <w:rPr>
          <w:rFonts w:asciiTheme="majorHAnsi" w:hAnsiTheme="majorHAnsi" w:cstheme="majorHAnsi"/>
          <w:sz w:val="18"/>
          <w:szCs w:val="18"/>
        </w:rPr>
        <w:t>:</w:t>
      </w:r>
    </w:p>
    <w:p w14:paraId="0FDA3F4A" w14:textId="5F7E0944" w:rsidR="009E0CB1" w:rsidRPr="00AA54A5" w:rsidRDefault="005F02F8" w:rsidP="009E0CB1">
      <w:pPr>
        <w:adjustRightInd w:val="0"/>
        <w:snapToGrid w:val="0"/>
        <w:spacing w:after="120"/>
        <w:ind w:left="2880"/>
        <w:jc w:val="both"/>
        <w:rPr>
          <w:rFonts w:asciiTheme="majorHAnsi" w:hAnsiTheme="majorHAnsi" w:cstheme="majorHAnsi"/>
          <w:sz w:val="18"/>
          <w:szCs w:val="18"/>
        </w:rPr>
      </w:pPr>
      <w:r w:rsidRPr="00AA54A5">
        <w:rPr>
          <w:rFonts w:asciiTheme="majorHAnsi" w:hAnsiTheme="majorHAnsi" w:cstheme="majorHAnsi"/>
          <w:sz w:val="18"/>
          <w:szCs w:val="18"/>
        </w:rPr>
        <w:t>EU-AR@medenvoyglobal.com</w:t>
      </w:r>
    </w:p>
    <w:p w14:paraId="42BAB36E" w14:textId="5BC9492C" w:rsidR="009E0CB1" w:rsidRPr="00AA54A5" w:rsidRDefault="005F02F8" w:rsidP="009E0CB1">
      <w:pPr>
        <w:adjustRightInd w:val="0"/>
        <w:snapToGrid w:val="0"/>
        <w:ind w:left="2880"/>
        <w:contextualSpacing/>
        <w:jc w:val="both"/>
        <w:rPr>
          <w:rFonts w:asciiTheme="majorHAnsi" w:hAnsiTheme="majorHAnsi" w:cstheme="majorHAnsi"/>
          <w:sz w:val="18"/>
          <w:szCs w:val="18"/>
        </w:rPr>
      </w:pPr>
      <w:r w:rsidRPr="00AA54A5">
        <w:rPr>
          <w:rFonts w:asciiTheme="majorHAnsi" w:hAnsiTheme="majorHAnsi" w:cstheme="majorHAnsi"/>
          <w:sz w:val="18"/>
          <w:szCs w:val="18"/>
        </w:rPr>
        <w:t>MedEnvoy Global B.V.</w:t>
      </w:r>
    </w:p>
    <w:p w14:paraId="61B77269" w14:textId="1CDB4CF3" w:rsidR="005F02F8" w:rsidRPr="00AA54A5" w:rsidRDefault="005F02F8" w:rsidP="009E0CB1">
      <w:pPr>
        <w:adjustRightInd w:val="0"/>
        <w:snapToGrid w:val="0"/>
        <w:ind w:left="2880"/>
        <w:contextualSpacing/>
        <w:jc w:val="both"/>
        <w:rPr>
          <w:rFonts w:asciiTheme="majorHAnsi" w:hAnsiTheme="majorHAnsi" w:cstheme="majorHAnsi"/>
          <w:sz w:val="18"/>
          <w:szCs w:val="18"/>
        </w:rPr>
      </w:pPr>
      <w:r w:rsidRPr="00AA54A5">
        <w:rPr>
          <w:rFonts w:asciiTheme="majorHAnsi" w:hAnsiTheme="majorHAnsi" w:cstheme="majorHAnsi"/>
          <w:sz w:val="18"/>
          <w:szCs w:val="18"/>
        </w:rPr>
        <w:t>Prinses Margrietplantsoen 33 – Suite 123</w:t>
      </w:r>
    </w:p>
    <w:p w14:paraId="0DCA228D" w14:textId="1893873B" w:rsidR="005F02F8" w:rsidRPr="00AA54A5" w:rsidRDefault="005F02F8" w:rsidP="009E0CB1">
      <w:pPr>
        <w:adjustRightInd w:val="0"/>
        <w:snapToGrid w:val="0"/>
        <w:ind w:left="2880"/>
        <w:contextualSpacing/>
        <w:jc w:val="both"/>
        <w:rPr>
          <w:rFonts w:asciiTheme="majorHAnsi" w:hAnsiTheme="majorHAnsi" w:cstheme="majorHAnsi"/>
          <w:sz w:val="18"/>
          <w:szCs w:val="18"/>
        </w:rPr>
      </w:pPr>
      <w:r w:rsidRPr="00AA54A5">
        <w:rPr>
          <w:rFonts w:asciiTheme="majorHAnsi" w:hAnsiTheme="majorHAnsi" w:cstheme="majorHAnsi"/>
          <w:sz w:val="18"/>
          <w:szCs w:val="18"/>
        </w:rPr>
        <w:t>2595 AM The Ha</w:t>
      </w:r>
      <w:r w:rsidR="007445F8" w:rsidRPr="00AA54A5">
        <w:rPr>
          <w:rFonts w:asciiTheme="majorHAnsi" w:hAnsiTheme="majorHAnsi" w:cstheme="majorHAnsi"/>
          <w:sz w:val="18"/>
          <w:szCs w:val="18"/>
        </w:rPr>
        <w:t>g</w:t>
      </w:r>
      <w:r w:rsidRPr="00AA54A5">
        <w:rPr>
          <w:rFonts w:asciiTheme="majorHAnsi" w:hAnsiTheme="majorHAnsi" w:cstheme="majorHAnsi"/>
          <w:sz w:val="18"/>
          <w:szCs w:val="18"/>
        </w:rPr>
        <w:t>ue</w:t>
      </w:r>
    </w:p>
    <w:p w14:paraId="48DFFFB2" w14:textId="50ECF6F6" w:rsidR="009E0CB1" w:rsidRPr="00AA54A5" w:rsidRDefault="005F02F8" w:rsidP="009E0CB1">
      <w:pPr>
        <w:adjustRightInd w:val="0"/>
        <w:snapToGrid w:val="0"/>
        <w:spacing w:after="120"/>
        <w:ind w:left="2880"/>
        <w:jc w:val="both"/>
        <w:rPr>
          <w:rFonts w:asciiTheme="majorHAnsi" w:hAnsiTheme="majorHAnsi" w:cstheme="majorHAnsi"/>
          <w:sz w:val="18"/>
          <w:szCs w:val="18"/>
        </w:rPr>
      </w:pPr>
      <w:bookmarkStart w:id="1" w:name="_Hlk10553834"/>
      <w:r w:rsidRPr="00AA54A5">
        <w:rPr>
          <w:rFonts w:asciiTheme="majorHAnsi" w:hAnsiTheme="majorHAnsi" w:cstheme="majorHAnsi"/>
          <w:color w:val="000000" w:themeColor="text1"/>
          <w:sz w:val="18"/>
          <w:szCs w:val="18"/>
        </w:rPr>
        <w:t>The Netherlands</w:t>
      </w:r>
      <w:r w:rsidRPr="00AA54A5">
        <w:rPr>
          <w:rFonts w:asciiTheme="majorHAnsi" w:hAnsiTheme="majorHAnsi" w:cstheme="majorHAnsi"/>
          <w:sz w:val="18"/>
          <w:szCs w:val="18"/>
        </w:rPr>
        <w:t xml:space="preserve"> </w:t>
      </w:r>
      <w:r w:rsidR="009E0CB1" w:rsidRPr="00AA54A5">
        <w:rPr>
          <w:rFonts w:asciiTheme="majorHAnsi" w:hAnsiTheme="majorHAnsi" w:cstheme="majorHAnsi"/>
          <w:sz w:val="18"/>
          <w:szCs w:val="18"/>
        </w:rPr>
        <w:t>Phone: +31.70.3</w:t>
      </w:r>
      <w:r w:rsidRPr="00AA54A5">
        <w:rPr>
          <w:rFonts w:asciiTheme="majorHAnsi" w:hAnsiTheme="majorHAnsi" w:cstheme="majorHAnsi"/>
          <w:sz w:val="18"/>
          <w:szCs w:val="18"/>
        </w:rPr>
        <w:t>26</w:t>
      </w:r>
      <w:r w:rsidR="009E0CB1" w:rsidRPr="00AA54A5">
        <w:rPr>
          <w:rFonts w:asciiTheme="majorHAnsi" w:hAnsiTheme="majorHAnsi" w:cstheme="majorHAnsi"/>
          <w:sz w:val="18"/>
          <w:szCs w:val="18"/>
        </w:rPr>
        <w:t>.</w:t>
      </w:r>
      <w:r w:rsidRPr="00AA54A5">
        <w:rPr>
          <w:rFonts w:asciiTheme="majorHAnsi" w:hAnsiTheme="majorHAnsi" w:cstheme="majorHAnsi"/>
          <w:sz w:val="18"/>
          <w:szCs w:val="18"/>
        </w:rPr>
        <w:t>2148</w:t>
      </w:r>
    </w:p>
    <w:bookmarkEnd w:id="1"/>
    <w:p w14:paraId="54612E99" w14:textId="77777777" w:rsidR="009E0CB1" w:rsidRPr="00AA54A5" w:rsidRDefault="009E0CB1" w:rsidP="005B0031">
      <w:pPr>
        <w:numPr>
          <w:ilvl w:val="2"/>
          <w:numId w:val="26"/>
        </w:numPr>
        <w:adjustRightInd w:val="0"/>
        <w:snapToGrid w:val="0"/>
        <w:spacing w:after="120"/>
        <w:ind w:left="1620" w:hanging="630"/>
        <w:rPr>
          <w:rFonts w:asciiTheme="majorHAnsi" w:hAnsiTheme="majorHAnsi" w:cstheme="majorHAnsi"/>
          <w:sz w:val="18"/>
          <w:szCs w:val="18"/>
        </w:rPr>
      </w:pPr>
      <w:r w:rsidRPr="00AA54A5">
        <w:rPr>
          <w:rFonts w:asciiTheme="majorHAnsi" w:hAnsiTheme="majorHAnsi" w:cstheme="majorHAnsi"/>
          <w:sz w:val="18"/>
          <w:szCs w:val="18"/>
        </w:rPr>
        <w:t>The</w:t>
      </w:r>
      <w:r w:rsidRPr="00AA54A5">
        <w:rPr>
          <w:rFonts w:asciiTheme="majorHAnsi" w:hAnsiTheme="majorHAnsi" w:cstheme="majorHAnsi"/>
          <w:color w:val="000000"/>
          <w:sz w:val="18"/>
          <w:szCs w:val="18"/>
        </w:rPr>
        <w:t xml:space="preserve"> complete list of CAs for the EU is found on the web site:    </w:t>
      </w:r>
      <w:hyperlink r:id="rId33" w:history="1">
        <w:r w:rsidRPr="00AA54A5">
          <w:rPr>
            <w:rStyle w:val="Hyperlink"/>
            <w:rFonts w:asciiTheme="majorHAnsi" w:hAnsiTheme="majorHAnsi" w:cstheme="majorHAnsi"/>
            <w:sz w:val="18"/>
            <w:szCs w:val="18"/>
          </w:rPr>
          <w:t>http://ec.europa.eu/growth/sectors/medical-devices/contacts/index_en.htm</w:t>
        </w:r>
      </w:hyperlink>
      <w:r w:rsidRPr="00AA54A5">
        <w:rPr>
          <w:rFonts w:asciiTheme="majorHAnsi" w:hAnsiTheme="majorHAnsi" w:cstheme="majorHAnsi"/>
          <w:sz w:val="18"/>
          <w:szCs w:val="18"/>
        </w:rPr>
        <w:t xml:space="preserve">.   </w:t>
      </w:r>
      <w:hyperlink w:history="1"/>
    </w:p>
    <w:p w14:paraId="2F4582BE" w14:textId="77777777" w:rsidR="009E0CB1" w:rsidRPr="00AA54A5" w:rsidRDefault="009E0CB1" w:rsidP="005B0031">
      <w:pPr>
        <w:numPr>
          <w:ilvl w:val="2"/>
          <w:numId w:val="26"/>
        </w:numPr>
        <w:adjustRightInd w:val="0"/>
        <w:snapToGrid w:val="0"/>
        <w:spacing w:after="120"/>
        <w:ind w:left="1710"/>
        <w:jc w:val="both"/>
        <w:rPr>
          <w:rFonts w:asciiTheme="majorHAnsi" w:hAnsiTheme="majorHAnsi" w:cstheme="majorHAnsi"/>
          <w:sz w:val="18"/>
          <w:szCs w:val="18"/>
        </w:rPr>
      </w:pPr>
      <w:r w:rsidRPr="00AA54A5">
        <w:rPr>
          <w:rFonts w:asciiTheme="majorHAnsi" w:hAnsiTheme="majorHAnsi" w:cstheme="majorHAnsi"/>
          <w:sz w:val="18"/>
          <w:szCs w:val="18"/>
        </w:rPr>
        <w:t>If a CA verbally requests additional information, PRRC shall ask to follow up such requests in writing.</w:t>
      </w:r>
    </w:p>
    <w:p w14:paraId="18B580BA" w14:textId="77777777" w:rsidR="009E0CB1" w:rsidRPr="00AA54A5" w:rsidRDefault="009E0CB1" w:rsidP="005B0031">
      <w:pPr>
        <w:numPr>
          <w:ilvl w:val="2"/>
          <w:numId w:val="26"/>
        </w:numPr>
        <w:adjustRightInd w:val="0"/>
        <w:snapToGrid w:val="0"/>
        <w:spacing w:after="120"/>
        <w:ind w:left="1710"/>
        <w:jc w:val="both"/>
        <w:rPr>
          <w:rFonts w:asciiTheme="majorHAnsi" w:hAnsiTheme="majorHAnsi" w:cstheme="majorHAnsi"/>
          <w:sz w:val="18"/>
          <w:szCs w:val="18"/>
        </w:rPr>
      </w:pPr>
      <w:r w:rsidRPr="00AA54A5">
        <w:rPr>
          <w:rFonts w:asciiTheme="majorHAnsi" w:hAnsiTheme="majorHAnsi" w:cstheme="majorHAnsi"/>
          <w:sz w:val="18"/>
          <w:szCs w:val="18"/>
          <w:lang w:val="en-CA" w:eastAsia="en-CA"/>
        </w:rPr>
        <w:t>A separate file must be maintained for MIRs.</w:t>
      </w:r>
    </w:p>
    <w:p w14:paraId="5BA0560F" w14:textId="77777777" w:rsidR="009E0CB1" w:rsidRPr="00AA54A5" w:rsidRDefault="009E0CB1" w:rsidP="00070128">
      <w:pPr>
        <w:keepNext/>
        <w:numPr>
          <w:ilvl w:val="1"/>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Analysis of Serious Incidents (Art. 89)</w:t>
      </w:r>
    </w:p>
    <w:p w14:paraId="3112574A" w14:textId="3394EE43" w:rsidR="009E0CB1" w:rsidRPr="00AA54A5" w:rsidRDefault="009E0CB1" w:rsidP="005B0031">
      <w:pPr>
        <w:numPr>
          <w:ilvl w:val="2"/>
          <w:numId w:val="26"/>
        </w:numPr>
        <w:adjustRightInd w:val="0"/>
        <w:snapToGrid w:val="0"/>
        <w:spacing w:after="120"/>
        <w:ind w:left="1710"/>
        <w:jc w:val="both"/>
        <w:rPr>
          <w:rFonts w:asciiTheme="majorHAnsi" w:hAnsiTheme="majorHAnsi" w:cstheme="majorHAnsi"/>
          <w:sz w:val="18"/>
          <w:szCs w:val="18"/>
        </w:rPr>
      </w:pPr>
      <w:r w:rsidRPr="00AA54A5">
        <w:rPr>
          <w:rFonts w:asciiTheme="majorHAnsi" w:hAnsiTheme="majorHAnsi" w:cstheme="majorHAnsi"/>
          <w:sz w:val="18"/>
          <w:szCs w:val="18"/>
          <w:lang w:val="en-CA" w:eastAsia="en-CA"/>
        </w:rPr>
        <w:t>Following</w:t>
      </w:r>
      <w:r w:rsidRPr="00AA54A5">
        <w:rPr>
          <w:rFonts w:asciiTheme="majorHAnsi" w:hAnsiTheme="majorHAnsi" w:cstheme="majorHAnsi"/>
          <w:sz w:val="18"/>
          <w:szCs w:val="18"/>
        </w:rPr>
        <w:t xml:space="preserve"> a report of a serious incident, </w:t>
      </w:r>
      <w:r w:rsidR="00555B83" w:rsidRPr="00AA54A5">
        <w:rPr>
          <w:rFonts w:asciiTheme="majorHAnsi" w:hAnsiTheme="majorHAnsi" w:cstheme="majorHAnsi"/>
          <w:sz w:val="18"/>
          <w:szCs w:val="18"/>
        </w:rPr>
        <w:t>Tulip Medical Products</w:t>
      </w:r>
      <w:r w:rsidRPr="00AA54A5">
        <w:rPr>
          <w:rFonts w:asciiTheme="majorHAnsi" w:hAnsiTheme="majorHAnsi" w:cstheme="majorHAnsi"/>
          <w:sz w:val="18"/>
          <w:szCs w:val="18"/>
        </w:rPr>
        <w:t xml:space="preserve"> must perform the necessary investigation in relation to the serious incident and the devices concerned. </w:t>
      </w:r>
    </w:p>
    <w:p w14:paraId="27AB838E" w14:textId="77777777" w:rsidR="009E0CB1" w:rsidRPr="00AA54A5" w:rsidRDefault="009E0CB1" w:rsidP="005B0031">
      <w:pPr>
        <w:numPr>
          <w:ilvl w:val="3"/>
          <w:numId w:val="26"/>
        </w:numPr>
        <w:adjustRightInd w:val="0"/>
        <w:snapToGrid w:val="0"/>
        <w:spacing w:after="120"/>
        <w:ind w:left="2070" w:hanging="900"/>
        <w:jc w:val="both"/>
        <w:rPr>
          <w:rFonts w:asciiTheme="majorHAnsi" w:hAnsiTheme="majorHAnsi" w:cstheme="majorHAnsi"/>
          <w:sz w:val="18"/>
          <w:szCs w:val="18"/>
        </w:rPr>
      </w:pPr>
      <w:r w:rsidRPr="00AA54A5">
        <w:rPr>
          <w:rFonts w:asciiTheme="majorHAnsi" w:hAnsiTheme="majorHAnsi" w:cstheme="majorHAnsi"/>
          <w:sz w:val="18"/>
          <w:szCs w:val="18"/>
        </w:rPr>
        <w:t xml:space="preserve">This investigation shall include a risk assessment of the incident. </w:t>
      </w:r>
    </w:p>
    <w:p w14:paraId="79E2B7F9" w14:textId="77777777" w:rsidR="009E0CB1" w:rsidRPr="00AA54A5" w:rsidRDefault="009E0CB1" w:rsidP="005B0031">
      <w:pPr>
        <w:numPr>
          <w:ilvl w:val="3"/>
          <w:numId w:val="26"/>
        </w:numPr>
        <w:adjustRightInd w:val="0"/>
        <w:snapToGrid w:val="0"/>
        <w:spacing w:after="120"/>
        <w:ind w:left="2070" w:hanging="900"/>
        <w:jc w:val="both"/>
        <w:rPr>
          <w:rFonts w:asciiTheme="majorHAnsi" w:hAnsiTheme="majorHAnsi" w:cstheme="majorHAnsi"/>
          <w:sz w:val="18"/>
          <w:szCs w:val="18"/>
        </w:rPr>
      </w:pPr>
      <w:r w:rsidRPr="00AA54A5">
        <w:rPr>
          <w:rFonts w:asciiTheme="majorHAnsi" w:hAnsiTheme="majorHAnsi" w:cstheme="majorHAnsi"/>
          <w:sz w:val="18"/>
          <w:szCs w:val="18"/>
        </w:rPr>
        <w:t xml:space="preserve">No action can be performed during the investigation which involves altering the device or a sample of the batch concerned in a way which may affect any subsequent evaluation of the causes of the incident, prior to informing the CA of such action. </w:t>
      </w:r>
    </w:p>
    <w:p w14:paraId="65D074A1" w14:textId="1432622A" w:rsidR="009E0CB1" w:rsidRPr="00AA54A5" w:rsidRDefault="009E0CB1"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 xml:space="preserve">At the conclusion of the investigation, a Final Report </w:t>
      </w:r>
      <w:r w:rsidRPr="00AA54A5">
        <w:rPr>
          <w:rFonts w:asciiTheme="majorHAnsi" w:hAnsiTheme="majorHAnsi" w:cstheme="majorHAnsi"/>
          <w:sz w:val="18"/>
          <w:szCs w:val="18"/>
          <w:lang w:val="en-CA"/>
        </w:rPr>
        <w:t xml:space="preserve">(refer to MIR Form) </w:t>
      </w:r>
      <w:r w:rsidRPr="00AA54A5">
        <w:rPr>
          <w:rFonts w:asciiTheme="majorHAnsi" w:hAnsiTheme="majorHAnsi" w:cstheme="majorHAnsi"/>
          <w:sz w:val="18"/>
          <w:szCs w:val="18"/>
        </w:rPr>
        <w:t xml:space="preserve">must be submitted to the CA setting out </w:t>
      </w:r>
      <w:r w:rsidR="00555B83" w:rsidRPr="00AA54A5">
        <w:rPr>
          <w:rFonts w:asciiTheme="majorHAnsi" w:hAnsiTheme="majorHAnsi" w:cstheme="majorHAnsi"/>
          <w:sz w:val="18"/>
          <w:szCs w:val="18"/>
        </w:rPr>
        <w:t xml:space="preserve">Tulip Medical </w:t>
      </w:r>
      <w:proofErr w:type="spellStart"/>
      <w:r w:rsidR="00555B83" w:rsidRPr="00AA54A5">
        <w:rPr>
          <w:rFonts w:asciiTheme="majorHAnsi" w:hAnsiTheme="majorHAnsi" w:cstheme="majorHAnsi"/>
          <w:sz w:val="18"/>
          <w:szCs w:val="18"/>
        </w:rPr>
        <w:t>Products</w:t>
      </w:r>
      <w:r w:rsidRPr="00AA54A5">
        <w:rPr>
          <w:rFonts w:asciiTheme="majorHAnsi" w:hAnsiTheme="majorHAnsi" w:cstheme="majorHAnsi"/>
          <w:sz w:val="18"/>
          <w:szCs w:val="18"/>
        </w:rPr>
        <w:t>’s</w:t>
      </w:r>
      <w:proofErr w:type="spellEnd"/>
      <w:r w:rsidRPr="00AA54A5">
        <w:rPr>
          <w:rFonts w:asciiTheme="majorHAnsi" w:hAnsiTheme="majorHAnsi" w:cstheme="majorHAnsi"/>
          <w:sz w:val="18"/>
          <w:szCs w:val="18"/>
        </w:rPr>
        <w:t xml:space="preserve"> findings and relevant corrective actions to be taken, if appropriate. </w:t>
      </w:r>
    </w:p>
    <w:p w14:paraId="4D057D08" w14:textId="6E5371C5" w:rsidR="009E0CB1" w:rsidRPr="00AA54A5" w:rsidRDefault="009E0CB1"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b/>
          <w:sz w:val="18"/>
          <w:szCs w:val="18"/>
        </w:rPr>
        <w:t>Appendix B</w:t>
      </w:r>
      <w:r w:rsidRPr="00AA54A5">
        <w:rPr>
          <w:rFonts w:asciiTheme="majorHAnsi" w:hAnsiTheme="majorHAnsi" w:cstheme="majorHAnsi"/>
          <w:sz w:val="18"/>
          <w:szCs w:val="18"/>
        </w:rPr>
        <w:t xml:space="preserve"> provides an overview of the steps that will be taken in response to the MIR reporting.</w:t>
      </w:r>
    </w:p>
    <w:p w14:paraId="51684B74" w14:textId="77777777" w:rsidR="00AC3D42" w:rsidRPr="00AA54A5" w:rsidRDefault="00AC3D42" w:rsidP="00070128">
      <w:pPr>
        <w:numPr>
          <w:ilvl w:val="1"/>
          <w:numId w:val="26"/>
        </w:numPr>
        <w:adjustRightInd w:val="0"/>
        <w:snapToGrid w:val="0"/>
        <w:spacing w:after="120"/>
        <w:jc w:val="both"/>
        <w:rPr>
          <w:rFonts w:asciiTheme="majorHAnsi" w:hAnsiTheme="majorHAnsi" w:cstheme="majorHAnsi"/>
          <w:bCs/>
          <w:sz w:val="18"/>
          <w:szCs w:val="18"/>
        </w:rPr>
      </w:pPr>
      <w:r w:rsidRPr="00AA54A5">
        <w:rPr>
          <w:rFonts w:asciiTheme="majorHAnsi" w:hAnsiTheme="majorHAnsi" w:cstheme="majorHAnsi"/>
          <w:bCs/>
          <w:sz w:val="18"/>
          <w:szCs w:val="18"/>
        </w:rPr>
        <w:t>Trend Reports (Art. 88)</w:t>
      </w:r>
    </w:p>
    <w:p w14:paraId="29238D30" w14:textId="70B4A44D" w:rsidR="00AC3D42" w:rsidRPr="00AA54A5" w:rsidRDefault="00AC3D42" w:rsidP="00070128">
      <w:pPr>
        <w:numPr>
          <w:ilvl w:val="2"/>
          <w:numId w:val="26"/>
        </w:numPr>
        <w:adjustRightInd w:val="0"/>
        <w:snapToGrid w:val="0"/>
        <w:spacing w:after="120"/>
        <w:jc w:val="both"/>
        <w:rPr>
          <w:rFonts w:asciiTheme="majorHAnsi" w:hAnsiTheme="majorHAnsi" w:cstheme="majorHAnsi"/>
          <w:b/>
          <w:sz w:val="18"/>
          <w:szCs w:val="18"/>
        </w:rPr>
      </w:pPr>
      <w:r w:rsidRPr="00AA54A5">
        <w:rPr>
          <w:rFonts w:asciiTheme="majorHAnsi" w:hAnsiTheme="majorHAnsi" w:cstheme="majorHAnsi"/>
          <w:bCs/>
          <w:sz w:val="18"/>
          <w:szCs w:val="18"/>
        </w:rPr>
        <w:t xml:space="preserve">Tulip Medical Products must report any statistically significant increase in the frequency or severity of incidents that are not serious incidents or that are expected undesirable side-effects that could </w:t>
      </w:r>
      <w:r w:rsidRPr="00AA54A5">
        <w:rPr>
          <w:rFonts w:asciiTheme="majorHAnsi" w:hAnsiTheme="majorHAnsi" w:cstheme="majorHAnsi"/>
          <w:sz w:val="18"/>
          <w:szCs w:val="18"/>
        </w:rPr>
        <w:t>have</w:t>
      </w:r>
      <w:r w:rsidRPr="00AA54A5">
        <w:rPr>
          <w:rFonts w:asciiTheme="majorHAnsi" w:hAnsiTheme="majorHAnsi" w:cstheme="majorHAnsi"/>
          <w:bCs/>
          <w:sz w:val="18"/>
          <w:szCs w:val="18"/>
        </w:rPr>
        <w:t xml:space="preserve"> a significant impact on the benefit-risk analysis and which have led or may lead to risks to the health or safety of patients, users or other persons that are unacceptable when weighed against the intended benefits. </w:t>
      </w:r>
    </w:p>
    <w:p w14:paraId="12408CDA" w14:textId="013F38A2" w:rsidR="00AC3D42" w:rsidRPr="00AA54A5" w:rsidRDefault="00AC3D42"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bCs/>
          <w:sz w:val="18"/>
          <w:szCs w:val="18"/>
        </w:rPr>
        <w:t xml:space="preserve">Tulip Medical Products must establish a method to manage the incidents referred to in </w:t>
      </w:r>
      <w:r w:rsidR="00FF53DA" w:rsidRPr="00AA54A5">
        <w:rPr>
          <w:rFonts w:asciiTheme="majorHAnsi" w:hAnsiTheme="majorHAnsi" w:cstheme="majorHAnsi"/>
          <w:bCs/>
          <w:sz w:val="18"/>
          <w:szCs w:val="18"/>
        </w:rPr>
        <w:t>7</w:t>
      </w:r>
      <w:r w:rsidRPr="00AA54A5">
        <w:rPr>
          <w:rFonts w:asciiTheme="majorHAnsi" w:hAnsiTheme="majorHAnsi" w:cstheme="majorHAnsi"/>
          <w:bCs/>
          <w:sz w:val="18"/>
          <w:szCs w:val="18"/>
        </w:rPr>
        <w:t>.1</w:t>
      </w:r>
      <w:r w:rsidR="00F55519" w:rsidRPr="00AA54A5">
        <w:rPr>
          <w:rFonts w:asciiTheme="majorHAnsi" w:hAnsiTheme="majorHAnsi" w:cstheme="majorHAnsi"/>
          <w:bCs/>
          <w:sz w:val="18"/>
          <w:szCs w:val="18"/>
        </w:rPr>
        <w:t>1</w:t>
      </w:r>
      <w:r w:rsidRPr="00AA54A5">
        <w:rPr>
          <w:rFonts w:asciiTheme="majorHAnsi" w:hAnsiTheme="majorHAnsi" w:cstheme="majorHAnsi"/>
          <w:bCs/>
          <w:sz w:val="18"/>
          <w:szCs w:val="18"/>
        </w:rPr>
        <w:t xml:space="preserve"> and the methodology used for determining any statistically significant increase in the </w:t>
      </w:r>
      <w:r w:rsidRPr="00AA54A5">
        <w:rPr>
          <w:rFonts w:asciiTheme="majorHAnsi" w:hAnsiTheme="majorHAnsi" w:cstheme="majorHAnsi"/>
          <w:sz w:val="18"/>
          <w:szCs w:val="18"/>
        </w:rPr>
        <w:t>frequency</w:t>
      </w:r>
      <w:r w:rsidRPr="00AA54A5">
        <w:rPr>
          <w:rFonts w:asciiTheme="majorHAnsi" w:hAnsiTheme="majorHAnsi" w:cstheme="majorHAnsi"/>
          <w:bCs/>
          <w:sz w:val="18"/>
          <w:szCs w:val="18"/>
        </w:rPr>
        <w:t xml:space="preserve"> or severity of </w:t>
      </w:r>
      <w:r w:rsidRPr="00AA54A5">
        <w:rPr>
          <w:rFonts w:asciiTheme="majorHAnsi" w:hAnsiTheme="majorHAnsi" w:cstheme="majorHAnsi"/>
          <w:bCs/>
          <w:sz w:val="18"/>
          <w:szCs w:val="18"/>
        </w:rPr>
        <w:lastRenderedPageBreak/>
        <w:t>such incidents, including the observation period in the Post-Market Surveillance Plan, refer to QSP 9.1-</w:t>
      </w:r>
      <w:r w:rsidR="00823C04" w:rsidRPr="00AA54A5">
        <w:rPr>
          <w:rFonts w:asciiTheme="majorHAnsi" w:hAnsiTheme="majorHAnsi" w:cstheme="majorHAnsi"/>
          <w:bCs/>
          <w:sz w:val="18"/>
          <w:szCs w:val="18"/>
        </w:rPr>
        <w:t>7 Post Market Surveillance and Form</w:t>
      </w:r>
      <w:r w:rsidRPr="00AA54A5">
        <w:rPr>
          <w:rFonts w:asciiTheme="majorHAnsi" w:hAnsiTheme="majorHAnsi" w:cstheme="majorHAnsi"/>
          <w:bCs/>
          <w:sz w:val="18"/>
          <w:szCs w:val="18"/>
        </w:rPr>
        <w:t>.</w:t>
      </w:r>
      <w:r w:rsidR="00093E93" w:rsidRPr="00AA54A5">
        <w:rPr>
          <w:rFonts w:asciiTheme="majorHAnsi" w:hAnsiTheme="majorHAnsi" w:cstheme="majorHAnsi"/>
          <w:bCs/>
          <w:sz w:val="18"/>
          <w:szCs w:val="18"/>
        </w:rPr>
        <w:t xml:space="preserve"> </w:t>
      </w:r>
    </w:p>
    <w:p w14:paraId="1E07C8B0" w14:textId="77777777" w:rsidR="00093E93" w:rsidRPr="00AA54A5" w:rsidRDefault="00093E93" w:rsidP="00070128">
      <w:pPr>
        <w:keepNext/>
        <w:numPr>
          <w:ilvl w:val="0"/>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b/>
          <w:caps/>
          <w:sz w:val="18"/>
          <w:szCs w:val="18"/>
        </w:rPr>
        <w:t>Handling Field Safety Corrective Action (FSCA)</w:t>
      </w:r>
    </w:p>
    <w:p w14:paraId="2BAACE72" w14:textId="77777777" w:rsidR="00093E93" w:rsidRPr="00AA54A5" w:rsidRDefault="00093E93" w:rsidP="00070128">
      <w:pPr>
        <w:numPr>
          <w:ilvl w:val="1"/>
          <w:numId w:val="26"/>
        </w:numPr>
        <w:adjustRightInd w:val="0"/>
        <w:snapToGrid w:val="0"/>
        <w:spacing w:after="120"/>
        <w:ind w:left="1080"/>
        <w:jc w:val="both"/>
        <w:rPr>
          <w:rFonts w:asciiTheme="majorHAnsi" w:hAnsiTheme="majorHAnsi" w:cstheme="majorHAnsi"/>
          <w:sz w:val="18"/>
          <w:szCs w:val="18"/>
        </w:rPr>
      </w:pPr>
      <w:r w:rsidRPr="00AA54A5">
        <w:rPr>
          <w:rFonts w:asciiTheme="majorHAnsi" w:hAnsiTheme="majorHAnsi" w:cstheme="majorHAnsi"/>
          <w:bCs/>
          <w:spacing w:val="-3"/>
          <w:sz w:val="18"/>
          <w:szCs w:val="18"/>
        </w:rPr>
        <w:t xml:space="preserve">Should the </w:t>
      </w:r>
      <w:r w:rsidRPr="00AA54A5">
        <w:rPr>
          <w:rFonts w:asciiTheme="majorHAnsi" w:hAnsiTheme="majorHAnsi" w:cstheme="majorHAnsi"/>
          <w:sz w:val="18"/>
          <w:szCs w:val="18"/>
        </w:rPr>
        <w:t xml:space="preserve">evidence point to the need for a FSCA </w:t>
      </w:r>
      <w:bookmarkStart w:id="2" w:name="_Hlk22049377"/>
      <w:r w:rsidRPr="00AA54A5">
        <w:rPr>
          <w:rFonts w:asciiTheme="majorHAnsi" w:hAnsiTheme="majorHAnsi" w:cstheme="majorHAnsi"/>
          <w:sz w:val="18"/>
          <w:szCs w:val="18"/>
        </w:rPr>
        <w:t>and/or market withdrawal,</w:t>
      </w:r>
      <w:bookmarkEnd w:id="2"/>
      <w:r w:rsidRPr="00AA54A5">
        <w:rPr>
          <w:rFonts w:asciiTheme="majorHAnsi" w:hAnsiTheme="majorHAnsi" w:cstheme="majorHAnsi"/>
          <w:sz w:val="18"/>
          <w:szCs w:val="18"/>
        </w:rPr>
        <w:t xml:space="preserve"> specific reporting action may be required by all CAs. </w:t>
      </w:r>
    </w:p>
    <w:p w14:paraId="689D4CCF" w14:textId="77777777" w:rsidR="004251BE" w:rsidRPr="00AA54A5" w:rsidRDefault="00093E93" w:rsidP="004251BE">
      <w:pPr>
        <w:adjustRightInd w:val="0"/>
        <w:snapToGrid w:val="0"/>
        <w:spacing w:after="120"/>
        <w:ind w:left="360" w:firstLine="360"/>
        <w:jc w:val="both"/>
        <w:rPr>
          <w:rFonts w:asciiTheme="majorHAnsi" w:hAnsiTheme="majorHAnsi" w:cstheme="majorHAnsi"/>
          <w:sz w:val="18"/>
          <w:szCs w:val="18"/>
        </w:rPr>
      </w:pPr>
      <w:r w:rsidRPr="00AA54A5">
        <w:rPr>
          <w:rFonts w:asciiTheme="majorHAnsi" w:hAnsiTheme="majorHAnsi" w:cstheme="majorHAnsi"/>
          <w:sz w:val="18"/>
          <w:szCs w:val="18"/>
        </w:rPr>
        <w:t xml:space="preserve">Notify the AR, </w:t>
      </w:r>
      <w:proofErr w:type="gramStart"/>
      <w:r w:rsidR="001B4397" w:rsidRPr="00AA54A5">
        <w:rPr>
          <w:rFonts w:asciiTheme="majorHAnsi" w:hAnsiTheme="majorHAnsi" w:cstheme="majorHAnsi"/>
          <w:sz w:val="18"/>
          <w:szCs w:val="18"/>
        </w:rPr>
        <w:t xml:space="preserve">MedEnvoy </w:t>
      </w:r>
      <w:r w:rsidRPr="00AA54A5">
        <w:rPr>
          <w:rFonts w:asciiTheme="majorHAnsi" w:hAnsiTheme="majorHAnsi" w:cstheme="majorHAnsi"/>
          <w:sz w:val="18"/>
          <w:szCs w:val="18"/>
        </w:rPr>
        <w:t>,</w:t>
      </w:r>
      <w:proofErr w:type="gramEnd"/>
      <w:r w:rsidRPr="00AA54A5">
        <w:rPr>
          <w:rFonts w:asciiTheme="majorHAnsi" w:hAnsiTheme="majorHAnsi" w:cstheme="majorHAnsi"/>
          <w:sz w:val="18"/>
          <w:szCs w:val="18"/>
        </w:rPr>
        <w:t xml:space="preserve"> via email at </w:t>
      </w:r>
      <w:r w:rsidR="004251BE" w:rsidRPr="00AA54A5">
        <w:rPr>
          <w:rFonts w:asciiTheme="majorHAnsi" w:hAnsiTheme="majorHAnsi" w:cstheme="majorHAnsi"/>
          <w:sz w:val="18"/>
          <w:szCs w:val="18"/>
        </w:rPr>
        <w:t>EU-AR@medenvoyglobal.com</w:t>
      </w:r>
    </w:p>
    <w:p w14:paraId="10D4EAEE" w14:textId="75988EE4" w:rsidR="00093E93" w:rsidRPr="00AA54A5" w:rsidRDefault="00093E9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 xml:space="preserve"> if the products are sold or marketed in the EU for notification of the FSCA.</w:t>
      </w:r>
    </w:p>
    <w:p w14:paraId="22902EC5" w14:textId="77777777" w:rsidR="00C41C13" w:rsidRPr="00AA54A5" w:rsidRDefault="00C41C13" w:rsidP="00070128">
      <w:pPr>
        <w:numPr>
          <w:ilvl w:val="1"/>
          <w:numId w:val="26"/>
        </w:numPr>
        <w:adjustRightInd w:val="0"/>
        <w:snapToGrid w:val="0"/>
        <w:spacing w:after="120"/>
        <w:jc w:val="both"/>
        <w:rPr>
          <w:rFonts w:asciiTheme="majorHAnsi" w:hAnsiTheme="majorHAnsi" w:cstheme="majorHAnsi"/>
          <w:bCs/>
          <w:sz w:val="18"/>
          <w:szCs w:val="18"/>
        </w:rPr>
      </w:pPr>
      <w:r w:rsidRPr="00AA54A5">
        <w:rPr>
          <w:rFonts w:asciiTheme="majorHAnsi" w:hAnsiTheme="majorHAnsi" w:cstheme="majorHAnsi"/>
          <w:bCs/>
          <w:sz w:val="18"/>
          <w:szCs w:val="18"/>
        </w:rPr>
        <w:t>Reporting to Competent Authorities (Cas)</w:t>
      </w:r>
    </w:p>
    <w:p w14:paraId="105EEF7F" w14:textId="549F018A"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bCs/>
          <w:spacing w:val="-3"/>
          <w:sz w:val="18"/>
          <w:szCs w:val="18"/>
        </w:rPr>
        <w:t xml:space="preserve">Except in cases of urgency in which </w:t>
      </w:r>
      <w:r w:rsidR="00555B83" w:rsidRPr="00AA54A5">
        <w:rPr>
          <w:rFonts w:asciiTheme="majorHAnsi" w:hAnsiTheme="majorHAnsi" w:cstheme="majorHAnsi"/>
          <w:bCs/>
          <w:spacing w:val="-3"/>
          <w:sz w:val="18"/>
          <w:szCs w:val="18"/>
        </w:rPr>
        <w:t>Tulip Medical Products</w:t>
      </w:r>
      <w:r w:rsidRPr="00AA54A5">
        <w:rPr>
          <w:rFonts w:asciiTheme="majorHAnsi" w:hAnsiTheme="majorHAnsi" w:cstheme="majorHAnsi"/>
          <w:bCs/>
          <w:spacing w:val="-3"/>
          <w:sz w:val="18"/>
          <w:szCs w:val="18"/>
        </w:rPr>
        <w:t xml:space="preserve"> needs to undertake FSCA immediately, </w:t>
      </w:r>
      <w:r w:rsidR="00555B83" w:rsidRPr="00AA54A5">
        <w:rPr>
          <w:rFonts w:asciiTheme="majorHAnsi" w:hAnsiTheme="majorHAnsi" w:cstheme="majorHAnsi"/>
          <w:bCs/>
          <w:spacing w:val="-3"/>
          <w:sz w:val="18"/>
          <w:szCs w:val="18"/>
        </w:rPr>
        <w:t>Tulip Medical Products</w:t>
      </w:r>
      <w:r w:rsidRPr="00AA54A5">
        <w:rPr>
          <w:rFonts w:asciiTheme="majorHAnsi" w:hAnsiTheme="majorHAnsi" w:cstheme="majorHAnsi"/>
          <w:bCs/>
          <w:spacing w:val="-3"/>
          <w:sz w:val="18"/>
          <w:szCs w:val="18"/>
        </w:rPr>
        <w:t xml:space="preserve"> shall, without undue delay, report the FSCA in advance of the FSCA being undertaken. </w:t>
      </w:r>
    </w:p>
    <w:p w14:paraId="251689E5"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pacing w:val="-3"/>
          <w:sz w:val="18"/>
          <w:szCs w:val="18"/>
        </w:rPr>
      </w:pPr>
      <w:r w:rsidRPr="00AA54A5">
        <w:rPr>
          <w:rFonts w:asciiTheme="majorHAnsi" w:hAnsiTheme="majorHAnsi" w:cstheme="majorHAnsi"/>
          <w:sz w:val="18"/>
          <w:szCs w:val="18"/>
        </w:rPr>
        <w:t>Submit the FSCA Report to the appropriate CA via EUDAMED (or via email if EUDAMED is not operational).</w:t>
      </w:r>
    </w:p>
    <w:p w14:paraId="6CB4D6DA" w14:textId="7BCBEA5E" w:rsidR="00C41C13" w:rsidRPr="00AA54A5" w:rsidRDefault="00C41C13" w:rsidP="00C41C13">
      <w:pPr>
        <w:adjustRightInd w:val="0"/>
        <w:snapToGrid w:val="0"/>
        <w:spacing w:after="120"/>
        <w:ind w:left="2160"/>
        <w:jc w:val="both"/>
        <w:rPr>
          <w:rFonts w:asciiTheme="majorHAnsi" w:hAnsiTheme="majorHAnsi" w:cstheme="majorHAnsi"/>
          <w:spacing w:val="-3"/>
          <w:sz w:val="18"/>
          <w:szCs w:val="18"/>
        </w:rPr>
      </w:pPr>
      <w:r w:rsidRPr="00AA54A5">
        <w:rPr>
          <w:rFonts w:asciiTheme="majorHAnsi" w:hAnsiTheme="majorHAnsi" w:cstheme="majorHAnsi"/>
          <w:color w:val="000000"/>
          <w:sz w:val="18"/>
          <w:szCs w:val="18"/>
        </w:rPr>
        <w:t>If</w:t>
      </w:r>
      <w:r w:rsidRPr="00AA54A5">
        <w:rPr>
          <w:rFonts w:asciiTheme="majorHAnsi" w:hAnsiTheme="majorHAnsi" w:cstheme="majorHAnsi"/>
          <w:sz w:val="18"/>
          <w:szCs w:val="18"/>
        </w:rPr>
        <w:t xml:space="preserve"> </w:t>
      </w:r>
      <w:r w:rsidR="0026069C" w:rsidRPr="00AA54A5">
        <w:rPr>
          <w:rFonts w:asciiTheme="majorHAnsi" w:hAnsiTheme="majorHAnsi" w:cstheme="majorHAnsi"/>
          <w:sz w:val="18"/>
          <w:szCs w:val="18"/>
        </w:rPr>
        <w:t>Tulip Medical Products</w:t>
      </w:r>
      <w:r w:rsidRPr="00AA54A5">
        <w:rPr>
          <w:rFonts w:asciiTheme="majorHAnsi" w:hAnsiTheme="majorHAnsi" w:cstheme="majorHAnsi"/>
          <w:sz w:val="18"/>
          <w:szCs w:val="18"/>
        </w:rPr>
        <w:t xml:space="preserve"> has mandated that </w:t>
      </w:r>
      <w:r w:rsidR="001B4397" w:rsidRPr="00AA54A5">
        <w:rPr>
          <w:rFonts w:asciiTheme="majorHAnsi" w:hAnsiTheme="majorHAnsi" w:cstheme="majorHAnsi"/>
          <w:sz w:val="18"/>
          <w:szCs w:val="18"/>
        </w:rPr>
        <w:t>MedEnvoy</w:t>
      </w:r>
      <w:r w:rsidR="004251BE" w:rsidRPr="00AA54A5">
        <w:rPr>
          <w:rFonts w:asciiTheme="majorHAnsi" w:hAnsiTheme="majorHAnsi" w:cstheme="majorHAnsi"/>
          <w:sz w:val="18"/>
          <w:szCs w:val="18"/>
        </w:rPr>
        <w:t xml:space="preserve"> </w:t>
      </w:r>
      <w:r w:rsidRPr="00AA54A5">
        <w:rPr>
          <w:rFonts w:asciiTheme="majorHAnsi" w:hAnsiTheme="majorHAnsi" w:cstheme="majorHAnsi"/>
          <w:sz w:val="18"/>
          <w:szCs w:val="18"/>
        </w:rPr>
        <w:t xml:space="preserve">will submit reports on </w:t>
      </w:r>
      <w:r w:rsidR="0026069C" w:rsidRPr="00AA54A5">
        <w:rPr>
          <w:rFonts w:asciiTheme="majorHAnsi" w:hAnsiTheme="majorHAnsi" w:cstheme="majorHAnsi"/>
          <w:sz w:val="18"/>
          <w:szCs w:val="18"/>
        </w:rPr>
        <w:t>Tulip Medical Product</w:t>
      </w:r>
      <w:r w:rsidRPr="00AA54A5">
        <w:rPr>
          <w:rFonts w:asciiTheme="majorHAnsi" w:hAnsiTheme="majorHAnsi" w:cstheme="majorHAnsi"/>
          <w:sz w:val="18"/>
          <w:szCs w:val="18"/>
        </w:rPr>
        <w:t xml:space="preserve">’s behalf. The report form and FSN shall be sent via email to </w:t>
      </w:r>
      <w:r w:rsidR="001B4397" w:rsidRPr="00AA54A5">
        <w:rPr>
          <w:rFonts w:asciiTheme="majorHAnsi" w:hAnsiTheme="majorHAnsi" w:cstheme="majorHAnsi"/>
          <w:sz w:val="18"/>
          <w:szCs w:val="18"/>
        </w:rPr>
        <w:t>MedEnvoy</w:t>
      </w:r>
      <w:r w:rsidR="004251BE" w:rsidRPr="00AA54A5">
        <w:rPr>
          <w:rFonts w:asciiTheme="majorHAnsi" w:hAnsiTheme="majorHAnsi" w:cstheme="majorHAnsi"/>
          <w:sz w:val="18"/>
          <w:szCs w:val="18"/>
        </w:rPr>
        <w:t xml:space="preserve"> </w:t>
      </w:r>
      <w:r w:rsidRPr="00AA54A5">
        <w:rPr>
          <w:rFonts w:asciiTheme="majorHAnsi" w:hAnsiTheme="majorHAnsi" w:cstheme="majorHAnsi"/>
          <w:sz w:val="18"/>
          <w:szCs w:val="18"/>
        </w:rPr>
        <w:t xml:space="preserve">at </w:t>
      </w:r>
      <w:r w:rsidR="004251BE" w:rsidRPr="00AA54A5">
        <w:rPr>
          <w:rFonts w:asciiTheme="majorHAnsi" w:hAnsiTheme="majorHAnsi" w:cstheme="majorHAnsi"/>
          <w:sz w:val="18"/>
          <w:szCs w:val="18"/>
        </w:rPr>
        <w:t>EU-AR@medenvoyglobal.com</w:t>
      </w:r>
    </w:p>
    <w:p w14:paraId="70A36007" w14:textId="77777777" w:rsidR="00C41C13" w:rsidRPr="00AA54A5" w:rsidRDefault="00C41C13" w:rsidP="00070128">
      <w:pPr>
        <w:numPr>
          <w:ilvl w:val="2"/>
          <w:numId w:val="26"/>
        </w:numPr>
        <w:adjustRightInd w:val="0"/>
        <w:snapToGrid w:val="0"/>
        <w:spacing w:after="120"/>
        <w:rPr>
          <w:rFonts w:asciiTheme="majorHAnsi" w:hAnsiTheme="majorHAnsi" w:cstheme="majorHAnsi"/>
          <w:bCs/>
          <w:spacing w:val="-3"/>
          <w:sz w:val="18"/>
          <w:szCs w:val="18"/>
        </w:rPr>
      </w:pPr>
      <w:r w:rsidRPr="00AA54A5">
        <w:rPr>
          <w:rFonts w:asciiTheme="majorHAnsi" w:hAnsiTheme="majorHAnsi" w:cstheme="majorHAnsi"/>
          <w:bCs/>
          <w:spacing w:val="-3"/>
          <w:sz w:val="18"/>
          <w:szCs w:val="18"/>
        </w:rPr>
        <w:t>The FSCA is provided on the European Commission website</w:t>
      </w:r>
      <w:r w:rsidRPr="00AA54A5">
        <w:rPr>
          <w:rFonts w:asciiTheme="majorHAnsi" w:hAnsiTheme="majorHAnsi" w:cstheme="majorHAnsi"/>
          <w:color w:val="000000"/>
          <w:sz w:val="18"/>
          <w:szCs w:val="18"/>
        </w:rPr>
        <w:t>:</w:t>
      </w:r>
      <w:r w:rsidRPr="00AA54A5">
        <w:rPr>
          <w:rFonts w:asciiTheme="majorHAnsi" w:hAnsiTheme="majorHAnsi" w:cstheme="majorHAnsi"/>
          <w:sz w:val="18"/>
          <w:szCs w:val="18"/>
        </w:rPr>
        <w:t xml:space="preserve"> </w:t>
      </w:r>
      <w:hyperlink r:id="rId34" w:history="1">
        <w:r w:rsidRPr="00AA54A5">
          <w:rPr>
            <w:rStyle w:val="Hyperlink"/>
            <w:rFonts w:asciiTheme="majorHAnsi" w:hAnsiTheme="majorHAnsi" w:cstheme="majorHAnsi"/>
            <w:sz w:val="18"/>
            <w:szCs w:val="18"/>
          </w:rPr>
          <w:t>http://ec.europa.eu/growth/sectors/medical-devices/guidance/index_en.htm</w:t>
        </w:r>
      </w:hyperlink>
      <w:r w:rsidRPr="00AA54A5">
        <w:rPr>
          <w:rFonts w:asciiTheme="majorHAnsi" w:hAnsiTheme="majorHAnsi" w:cstheme="majorHAnsi"/>
          <w:sz w:val="18"/>
          <w:szCs w:val="18"/>
        </w:rPr>
        <w:t>.</w:t>
      </w:r>
      <w:r w:rsidRPr="00AA54A5">
        <w:rPr>
          <w:rFonts w:asciiTheme="majorHAnsi" w:hAnsiTheme="majorHAnsi" w:cstheme="majorHAnsi"/>
          <w:bCs/>
          <w:spacing w:val="-3"/>
          <w:sz w:val="18"/>
          <w:szCs w:val="18"/>
        </w:rPr>
        <w:t xml:space="preserve">   </w:t>
      </w:r>
    </w:p>
    <w:p w14:paraId="46A7F00B"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bCs/>
          <w:spacing w:val="-3"/>
          <w:sz w:val="18"/>
          <w:szCs w:val="18"/>
        </w:rPr>
        <w:t xml:space="preserve">A template of the FSN that can be used to notify customers is provided on the European Commission website. </w:t>
      </w:r>
      <w:r w:rsidRPr="00AA54A5">
        <w:rPr>
          <w:rFonts w:asciiTheme="majorHAnsi" w:hAnsiTheme="majorHAnsi" w:cstheme="majorHAnsi"/>
          <w:b/>
          <w:bCs/>
          <w:spacing w:val="-3"/>
          <w:sz w:val="18"/>
          <w:szCs w:val="18"/>
        </w:rPr>
        <w:t xml:space="preserve">   </w:t>
      </w:r>
    </w:p>
    <w:p w14:paraId="33B0A772"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The AR can assist in the execution of the FSCA in the EU.</w:t>
      </w:r>
    </w:p>
    <w:p w14:paraId="1B1484E7"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If a CA verbally requests additional information, PRRC shall ask to follow up such requests in writing.</w:t>
      </w:r>
    </w:p>
    <w:p w14:paraId="7D3B4624" w14:textId="4E2E815B" w:rsidR="00C41C13" w:rsidRPr="00AA54A5" w:rsidRDefault="0026069C"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Tulip Medical Products</w:t>
      </w:r>
      <w:r w:rsidR="00C41C13" w:rsidRPr="00AA54A5">
        <w:rPr>
          <w:rFonts w:asciiTheme="majorHAnsi" w:hAnsiTheme="majorHAnsi" w:cstheme="majorHAnsi"/>
          <w:sz w:val="18"/>
          <w:szCs w:val="18"/>
        </w:rPr>
        <w:t xml:space="preserve"> will notify each importer / distributor / customer and maintain records of each attempt (date, method, result). </w:t>
      </w:r>
    </w:p>
    <w:p w14:paraId="65FEC411"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 xml:space="preserve">Response forms shall be compiled and used for reconciliation of data. </w:t>
      </w:r>
    </w:p>
    <w:p w14:paraId="6650DBAD"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 xml:space="preserve">Closure of a FSCA shall be based on the submittal of a Final FSCA report detailing the reconciliation of distributed product in Europe and closure of CAPA actions and/or receipt of a closeout report from a Competent Authority. Note that not all CAs will provide close-out reports. </w:t>
      </w:r>
    </w:p>
    <w:p w14:paraId="1D55A7BF"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Each CA which received an Initial FSCA report, must receive a Final FSCA report.</w:t>
      </w:r>
    </w:p>
    <w:p w14:paraId="4328C96B" w14:textId="7A110940"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A separate file must be maintained for all FSCAs.</w:t>
      </w:r>
    </w:p>
    <w:p w14:paraId="7BE1DB4F" w14:textId="77777777" w:rsidR="00C41C13" w:rsidRPr="00AA54A5" w:rsidRDefault="00C41C13" w:rsidP="00070128">
      <w:pPr>
        <w:numPr>
          <w:ilvl w:val="0"/>
          <w:numId w:val="26"/>
        </w:numPr>
        <w:adjustRightInd w:val="0"/>
        <w:snapToGrid w:val="0"/>
        <w:spacing w:after="120"/>
        <w:jc w:val="both"/>
        <w:rPr>
          <w:rFonts w:asciiTheme="majorHAnsi" w:hAnsiTheme="majorHAnsi" w:cstheme="majorHAnsi"/>
          <w:b/>
          <w:sz w:val="18"/>
          <w:szCs w:val="18"/>
        </w:rPr>
      </w:pPr>
      <w:r w:rsidRPr="00AA54A5">
        <w:rPr>
          <w:rFonts w:asciiTheme="majorHAnsi" w:hAnsiTheme="majorHAnsi" w:cstheme="majorHAnsi"/>
          <w:b/>
          <w:sz w:val="18"/>
          <w:szCs w:val="18"/>
        </w:rPr>
        <w:t>QUALITY RECORDS</w:t>
      </w:r>
    </w:p>
    <w:p w14:paraId="22A751D3" w14:textId="77777777" w:rsidR="00C41C13" w:rsidRPr="00AA54A5" w:rsidRDefault="00C41C13" w:rsidP="00070128">
      <w:pPr>
        <w:numPr>
          <w:ilvl w:val="1"/>
          <w:numId w:val="26"/>
        </w:numPr>
        <w:adjustRightInd w:val="0"/>
        <w:snapToGrid w:val="0"/>
        <w:spacing w:after="120"/>
        <w:ind w:left="1260" w:hanging="540"/>
        <w:jc w:val="both"/>
        <w:rPr>
          <w:rFonts w:asciiTheme="majorHAnsi" w:hAnsiTheme="majorHAnsi" w:cstheme="majorHAnsi"/>
          <w:sz w:val="18"/>
          <w:szCs w:val="18"/>
        </w:rPr>
      </w:pPr>
      <w:r w:rsidRPr="00AA54A5">
        <w:rPr>
          <w:rFonts w:asciiTheme="majorHAnsi" w:hAnsiTheme="majorHAnsi" w:cstheme="majorHAnsi"/>
          <w:sz w:val="18"/>
          <w:szCs w:val="18"/>
        </w:rPr>
        <w:t>The following information must be retained in the appropriate file.  Each are maintained in a separate file by market location and/or cross-referenced as needed within the QMS.</w:t>
      </w:r>
    </w:p>
    <w:p w14:paraId="07FAC354"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A copy of the original complaint record and/or non-conformance report.</w:t>
      </w:r>
    </w:p>
    <w:p w14:paraId="3A241F6B"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Documentation of follow-up and attempts to follow-up and obtain additional information about the event. If applicable, an explanation of why certain information cannot be obtained.</w:t>
      </w:r>
    </w:p>
    <w:p w14:paraId="16D624AA"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A copy of the Health Hazard Evaluation, for FSCAs.</w:t>
      </w:r>
    </w:p>
    <w:p w14:paraId="30494A9A"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Copies of any relevant test reports and investigation reports.</w:t>
      </w:r>
    </w:p>
    <w:p w14:paraId="06BFBC4F"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Documentation related to the decisions used to determine the reportability of the event.</w:t>
      </w:r>
    </w:p>
    <w:p w14:paraId="04A7C552"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Documentation of the final assessment of the event and any corrective or remedial action taken.</w:t>
      </w:r>
    </w:p>
    <w:p w14:paraId="33498B1E"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lastRenderedPageBreak/>
        <w:t>Copies of reports and other information submitted to the applicable CAs.</w:t>
      </w:r>
    </w:p>
    <w:p w14:paraId="276ADDCF"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Copies of information submitted to AR, importers, distributors and / or customers.</w:t>
      </w:r>
    </w:p>
    <w:p w14:paraId="49CC14DB"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Copies of any other information required regulations.</w:t>
      </w:r>
    </w:p>
    <w:p w14:paraId="3548FA6A" w14:textId="28F33A2F" w:rsidR="00C41C13" w:rsidRPr="00AA54A5" w:rsidRDefault="00C41C13" w:rsidP="00070128">
      <w:pPr>
        <w:numPr>
          <w:ilvl w:val="1"/>
          <w:numId w:val="26"/>
        </w:numPr>
        <w:adjustRightInd w:val="0"/>
        <w:snapToGrid w:val="0"/>
        <w:spacing w:after="120"/>
        <w:ind w:left="1260" w:hanging="540"/>
        <w:jc w:val="both"/>
        <w:rPr>
          <w:rFonts w:asciiTheme="majorHAnsi" w:hAnsiTheme="majorHAnsi" w:cstheme="majorHAnsi"/>
          <w:sz w:val="18"/>
          <w:szCs w:val="18"/>
        </w:rPr>
      </w:pPr>
      <w:r w:rsidRPr="00AA54A5">
        <w:rPr>
          <w:rFonts w:asciiTheme="majorHAnsi" w:hAnsiTheme="majorHAnsi" w:cstheme="majorHAnsi"/>
          <w:sz w:val="18"/>
          <w:szCs w:val="18"/>
        </w:rPr>
        <w:t>Closure of a MIR or serious incident shall be based on the results of the investigation and/or</w:t>
      </w:r>
      <w:r w:rsidR="0019583B" w:rsidRPr="00AA54A5">
        <w:rPr>
          <w:rFonts w:asciiTheme="majorHAnsi" w:hAnsiTheme="majorHAnsi" w:cstheme="majorHAnsi"/>
          <w:sz w:val="18"/>
          <w:szCs w:val="18"/>
        </w:rPr>
        <w:t xml:space="preserve"> </w:t>
      </w:r>
      <w:r w:rsidRPr="00AA54A5">
        <w:rPr>
          <w:rFonts w:asciiTheme="majorHAnsi" w:hAnsiTheme="majorHAnsi" w:cstheme="majorHAnsi"/>
          <w:sz w:val="18"/>
          <w:szCs w:val="18"/>
        </w:rPr>
        <w:t>receipt of a closeout report from a CA.</w:t>
      </w:r>
    </w:p>
    <w:p w14:paraId="4BBB7AB7" w14:textId="77777777" w:rsidR="00C41C13" w:rsidRPr="00AA54A5" w:rsidRDefault="00C41C13" w:rsidP="00070128">
      <w:pPr>
        <w:pStyle w:val="ListParagraph"/>
        <w:numPr>
          <w:ilvl w:val="1"/>
          <w:numId w:val="26"/>
        </w:numPr>
        <w:adjustRightInd w:val="0"/>
        <w:snapToGrid w:val="0"/>
        <w:spacing w:after="120"/>
        <w:ind w:left="1260" w:hanging="540"/>
        <w:rPr>
          <w:rFonts w:asciiTheme="majorHAnsi" w:hAnsiTheme="majorHAnsi" w:cstheme="majorHAnsi"/>
          <w:sz w:val="18"/>
          <w:szCs w:val="18"/>
        </w:rPr>
      </w:pPr>
      <w:r w:rsidRPr="00AA54A5">
        <w:rPr>
          <w:rFonts w:asciiTheme="majorHAnsi" w:hAnsiTheme="majorHAnsi" w:cstheme="majorHAnsi"/>
          <w:sz w:val="18"/>
          <w:szCs w:val="18"/>
        </w:rPr>
        <w:t>Closure of FSCA shall be based on the completion of all corrective actions and/or receipt of a closeout report from a CA.</w:t>
      </w:r>
    </w:p>
    <w:p w14:paraId="5B89BD1C" w14:textId="77777777" w:rsidR="00C41C13" w:rsidRPr="00AA54A5" w:rsidRDefault="00C41C13" w:rsidP="00070128">
      <w:pPr>
        <w:numPr>
          <w:ilvl w:val="2"/>
          <w:numId w:val="26"/>
        </w:numPr>
        <w:adjustRightInd w:val="0"/>
        <w:snapToGrid w:val="0"/>
        <w:spacing w:after="120"/>
        <w:jc w:val="both"/>
        <w:rPr>
          <w:rFonts w:asciiTheme="majorHAnsi" w:hAnsiTheme="majorHAnsi" w:cstheme="majorHAnsi"/>
          <w:sz w:val="18"/>
          <w:szCs w:val="18"/>
        </w:rPr>
      </w:pPr>
      <w:r w:rsidRPr="00AA54A5">
        <w:rPr>
          <w:rFonts w:asciiTheme="majorHAnsi" w:hAnsiTheme="majorHAnsi" w:cstheme="majorHAnsi"/>
          <w:sz w:val="18"/>
          <w:szCs w:val="18"/>
        </w:rPr>
        <w:t xml:space="preserve">If remedial action is </w:t>
      </w:r>
      <w:proofErr w:type="gramStart"/>
      <w:r w:rsidRPr="00AA54A5">
        <w:rPr>
          <w:rFonts w:asciiTheme="majorHAnsi" w:hAnsiTheme="majorHAnsi" w:cstheme="majorHAnsi"/>
          <w:sz w:val="18"/>
          <w:szCs w:val="18"/>
        </w:rPr>
        <w:t>taken, and</w:t>
      </w:r>
      <w:proofErr w:type="gramEnd"/>
      <w:r w:rsidRPr="00AA54A5">
        <w:rPr>
          <w:rFonts w:asciiTheme="majorHAnsi" w:hAnsiTheme="majorHAnsi" w:cstheme="majorHAnsi"/>
          <w:sz w:val="18"/>
          <w:szCs w:val="18"/>
        </w:rPr>
        <w:t xml:space="preserve"> includes a significant change or modification to the device, a determination shall be made by PRRC or other designated personnel, as to </w:t>
      </w:r>
      <w:proofErr w:type="gramStart"/>
      <w:r w:rsidRPr="00AA54A5">
        <w:rPr>
          <w:rFonts w:asciiTheme="majorHAnsi" w:hAnsiTheme="majorHAnsi" w:cstheme="majorHAnsi"/>
          <w:sz w:val="18"/>
          <w:szCs w:val="18"/>
        </w:rPr>
        <w:t>whether or not</w:t>
      </w:r>
      <w:proofErr w:type="gramEnd"/>
      <w:r w:rsidRPr="00AA54A5">
        <w:rPr>
          <w:rFonts w:asciiTheme="majorHAnsi" w:hAnsiTheme="majorHAnsi" w:cstheme="majorHAnsi"/>
          <w:sz w:val="18"/>
          <w:szCs w:val="18"/>
        </w:rPr>
        <w:t xml:space="preserve"> an update </w:t>
      </w:r>
      <w:r w:rsidRPr="00AA54A5">
        <w:rPr>
          <w:rFonts w:asciiTheme="majorHAnsi" w:hAnsiTheme="majorHAnsi" w:cstheme="majorHAnsi"/>
          <w:bCs/>
          <w:spacing w:val="-3"/>
          <w:sz w:val="18"/>
          <w:szCs w:val="18"/>
        </w:rPr>
        <w:t>is</w:t>
      </w:r>
      <w:r w:rsidRPr="00AA54A5">
        <w:rPr>
          <w:rFonts w:asciiTheme="majorHAnsi" w:hAnsiTheme="majorHAnsi" w:cstheme="majorHAnsi"/>
          <w:sz w:val="18"/>
          <w:szCs w:val="18"/>
        </w:rPr>
        <w:t xml:space="preserve"> required to product TD and product registration (inform AR, as applicable).</w:t>
      </w:r>
    </w:p>
    <w:p w14:paraId="7A9CC54C" w14:textId="1B4D59A8" w:rsidR="00C41C13" w:rsidRPr="00AA54A5" w:rsidRDefault="00C41C13" w:rsidP="00070128">
      <w:pPr>
        <w:numPr>
          <w:ilvl w:val="1"/>
          <w:numId w:val="26"/>
        </w:numPr>
        <w:adjustRightInd w:val="0"/>
        <w:snapToGrid w:val="0"/>
        <w:spacing w:after="120"/>
        <w:ind w:left="1260" w:hanging="540"/>
        <w:jc w:val="both"/>
        <w:rPr>
          <w:rFonts w:asciiTheme="majorHAnsi" w:hAnsiTheme="majorHAnsi" w:cstheme="majorHAnsi"/>
          <w:sz w:val="18"/>
          <w:szCs w:val="18"/>
        </w:rPr>
      </w:pPr>
      <w:r w:rsidRPr="00AA54A5">
        <w:rPr>
          <w:rFonts w:asciiTheme="majorHAnsi" w:hAnsiTheme="majorHAnsi" w:cstheme="majorHAnsi"/>
          <w:sz w:val="18"/>
          <w:szCs w:val="18"/>
        </w:rPr>
        <w:t>Retention times for MIR and FSCA files must be in accordance with QSP 4.2-1.</w:t>
      </w:r>
    </w:p>
    <w:p w14:paraId="6411A3F6" w14:textId="13CBF6AD" w:rsidR="0026069C" w:rsidRPr="00AA54A5" w:rsidRDefault="0026069C">
      <w:pPr>
        <w:rPr>
          <w:rFonts w:asciiTheme="majorHAnsi" w:hAnsiTheme="majorHAnsi" w:cstheme="majorHAnsi"/>
          <w:sz w:val="18"/>
          <w:szCs w:val="18"/>
        </w:rPr>
      </w:pPr>
      <w:r w:rsidRPr="00AA54A5">
        <w:rPr>
          <w:rFonts w:asciiTheme="majorHAnsi" w:hAnsiTheme="majorHAnsi" w:cstheme="majorHAnsi"/>
          <w:sz w:val="18"/>
          <w:szCs w:val="18"/>
        </w:rPr>
        <w:br w:type="page"/>
      </w:r>
    </w:p>
    <w:p w14:paraId="50D9AB23" w14:textId="23C5C5C6" w:rsidR="002D2564" w:rsidRPr="00AA54A5" w:rsidRDefault="002D2564" w:rsidP="002D2564">
      <w:pPr>
        <w:spacing w:before="120" w:after="120"/>
        <w:jc w:val="center"/>
        <w:rPr>
          <w:rFonts w:asciiTheme="majorHAnsi" w:hAnsiTheme="majorHAnsi" w:cstheme="majorHAnsi"/>
          <w:b/>
          <w:sz w:val="18"/>
          <w:szCs w:val="18"/>
        </w:rPr>
      </w:pPr>
      <w:r w:rsidRPr="00AA54A5">
        <w:rPr>
          <w:rFonts w:asciiTheme="majorHAnsi" w:hAnsiTheme="majorHAnsi" w:cstheme="majorHAnsi"/>
          <w:b/>
          <w:sz w:val="18"/>
          <w:szCs w:val="18"/>
        </w:rPr>
        <w:lastRenderedPageBreak/>
        <w:t>Appendix A: Reporting Types and Timelines</w:t>
      </w:r>
    </w:p>
    <w:tbl>
      <w:tblPr>
        <w:tblW w:w="9427" w:type="dxa"/>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567"/>
        <w:gridCol w:w="2430"/>
        <w:gridCol w:w="2430"/>
      </w:tblGrid>
      <w:tr w:rsidR="002D2564" w:rsidRPr="00AA54A5" w14:paraId="188E7059" w14:textId="77777777" w:rsidTr="002D2564">
        <w:trPr>
          <w:trHeight w:val="314"/>
        </w:trPr>
        <w:tc>
          <w:tcPr>
            <w:tcW w:w="4567" w:type="dxa"/>
            <w:vMerge w:val="restart"/>
            <w:tcBorders>
              <w:top w:val="single" w:sz="4" w:space="0" w:color="auto"/>
              <w:left w:val="single" w:sz="4" w:space="0" w:color="auto"/>
              <w:bottom w:val="single" w:sz="4" w:space="0" w:color="auto"/>
              <w:right w:val="single" w:sz="4" w:space="0" w:color="auto"/>
            </w:tcBorders>
            <w:shd w:val="clear" w:color="auto" w:fill="E6E6E6"/>
            <w:vAlign w:val="center"/>
          </w:tcPr>
          <w:p w14:paraId="507742D7" w14:textId="77777777" w:rsidR="002D2564" w:rsidRPr="00AA54A5" w:rsidRDefault="002D2564" w:rsidP="002D2564">
            <w:pPr>
              <w:pStyle w:val="Heading1"/>
              <w:adjustRightInd w:val="0"/>
              <w:snapToGrid w:val="0"/>
              <w:spacing w:before="60"/>
              <w:ind w:left="-36"/>
              <w:rPr>
                <w:rFonts w:asciiTheme="majorHAnsi" w:eastAsia="Arial Unicode MS" w:hAnsiTheme="majorHAnsi" w:cstheme="majorHAnsi"/>
                <w:bCs w:val="0"/>
                <w:sz w:val="18"/>
                <w:szCs w:val="18"/>
              </w:rPr>
            </w:pPr>
            <w:r w:rsidRPr="00AA54A5">
              <w:rPr>
                <w:rFonts w:asciiTheme="majorHAnsi" w:eastAsia="Arial Unicode MS" w:hAnsiTheme="majorHAnsi" w:cstheme="majorHAnsi"/>
                <w:sz w:val="18"/>
                <w:szCs w:val="18"/>
              </w:rPr>
              <w:t>If device is…</w:t>
            </w:r>
          </w:p>
          <w:p w14:paraId="0A4C0368" w14:textId="77777777" w:rsidR="002D2564" w:rsidRPr="00AA54A5" w:rsidRDefault="002D2564" w:rsidP="002D2564">
            <w:pPr>
              <w:tabs>
                <w:tab w:val="left" w:pos="-720"/>
                <w:tab w:val="left" w:pos="0"/>
                <w:tab w:val="left" w:pos="720"/>
              </w:tabs>
              <w:adjustRightInd w:val="0"/>
              <w:snapToGrid w:val="0"/>
              <w:spacing w:before="60" w:after="60"/>
              <w:ind w:left="-36"/>
              <w:rPr>
                <w:rFonts w:asciiTheme="majorHAnsi" w:hAnsiTheme="majorHAnsi" w:cstheme="majorHAnsi"/>
                <w:sz w:val="18"/>
                <w:szCs w:val="18"/>
              </w:rPr>
            </w:pPr>
            <w:r w:rsidRPr="00AA54A5">
              <w:rPr>
                <w:rFonts w:asciiTheme="majorHAnsi" w:hAnsiTheme="majorHAnsi" w:cstheme="majorHAnsi"/>
                <w:sz w:val="18"/>
                <w:szCs w:val="18"/>
              </w:rPr>
              <w:t xml:space="preserve">CE marked device </w:t>
            </w:r>
          </w:p>
        </w:tc>
        <w:tc>
          <w:tcPr>
            <w:tcW w:w="4860"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12B6355"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b/>
                <w:bCs/>
                <w:spacing w:val="-3"/>
                <w:sz w:val="18"/>
                <w:szCs w:val="18"/>
              </w:rPr>
            </w:pPr>
            <w:r w:rsidRPr="00AA54A5">
              <w:rPr>
                <w:rFonts w:asciiTheme="majorHAnsi" w:hAnsiTheme="majorHAnsi" w:cstheme="majorHAnsi"/>
                <w:b/>
                <w:bCs/>
                <w:sz w:val="18"/>
                <w:szCs w:val="18"/>
              </w:rPr>
              <w:t xml:space="preserve">MIR Action </w:t>
            </w:r>
          </w:p>
        </w:tc>
      </w:tr>
      <w:tr w:rsidR="002D2564" w:rsidRPr="00AA54A5" w14:paraId="34714145" w14:textId="77777777" w:rsidTr="002D2564">
        <w:trPr>
          <w:trHeight w:val="341"/>
        </w:trPr>
        <w:tc>
          <w:tcPr>
            <w:tcW w:w="4567" w:type="dxa"/>
            <w:vMerge/>
            <w:tcBorders>
              <w:top w:val="single" w:sz="4" w:space="0" w:color="auto"/>
              <w:left w:val="single" w:sz="4" w:space="0" w:color="auto"/>
              <w:bottom w:val="single" w:sz="4" w:space="0" w:color="auto"/>
              <w:right w:val="single" w:sz="4" w:space="0" w:color="auto"/>
            </w:tcBorders>
            <w:shd w:val="clear" w:color="auto" w:fill="E6E6E6"/>
            <w:vAlign w:val="center"/>
          </w:tcPr>
          <w:p w14:paraId="2B78D037" w14:textId="77777777" w:rsidR="002D2564" w:rsidRPr="00AA54A5" w:rsidRDefault="002D2564" w:rsidP="008F4561">
            <w:pPr>
              <w:adjustRightInd w:val="0"/>
              <w:snapToGrid w:val="0"/>
              <w:spacing w:before="60" w:after="60"/>
              <w:rPr>
                <w:rFonts w:asciiTheme="majorHAnsi" w:hAnsiTheme="majorHAnsi" w:cstheme="majorHAnsi"/>
                <w:spacing w:val="-3"/>
                <w:sz w:val="18"/>
                <w:szCs w:val="18"/>
              </w:rPr>
            </w:pPr>
          </w:p>
        </w:tc>
        <w:tc>
          <w:tcPr>
            <w:tcW w:w="2430" w:type="dxa"/>
            <w:tcBorders>
              <w:top w:val="single" w:sz="4" w:space="0" w:color="auto"/>
              <w:left w:val="single" w:sz="4" w:space="0" w:color="auto"/>
              <w:bottom w:val="single" w:sz="4" w:space="0" w:color="auto"/>
              <w:right w:val="single" w:sz="4" w:space="0" w:color="auto"/>
            </w:tcBorders>
            <w:shd w:val="clear" w:color="auto" w:fill="E6E6E6"/>
            <w:vAlign w:val="center"/>
          </w:tcPr>
          <w:p w14:paraId="54D88534"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b/>
                <w:bCs/>
                <w:spacing w:val="-3"/>
                <w:sz w:val="18"/>
                <w:szCs w:val="18"/>
              </w:rPr>
            </w:pPr>
            <w:r w:rsidRPr="00AA54A5">
              <w:rPr>
                <w:rFonts w:asciiTheme="majorHAnsi" w:hAnsiTheme="majorHAnsi" w:cstheme="majorHAnsi"/>
                <w:b/>
                <w:bCs/>
                <w:sz w:val="18"/>
                <w:szCs w:val="18"/>
              </w:rPr>
              <w:t>Incident occurred in EU</w:t>
            </w:r>
          </w:p>
        </w:tc>
        <w:tc>
          <w:tcPr>
            <w:tcW w:w="2430" w:type="dxa"/>
            <w:tcBorders>
              <w:top w:val="single" w:sz="4" w:space="0" w:color="auto"/>
              <w:left w:val="single" w:sz="4" w:space="0" w:color="auto"/>
              <w:bottom w:val="single" w:sz="4" w:space="0" w:color="auto"/>
              <w:right w:val="single" w:sz="4" w:space="0" w:color="auto"/>
            </w:tcBorders>
            <w:shd w:val="clear" w:color="auto" w:fill="E6E6E6"/>
            <w:vAlign w:val="center"/>
          </w:tcPr>
          <w:p w14:paraId="117AF0B6"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b/>
                <w:bCs/>
                <w:spacing w:val="-3"/>
                <w:sz w:val="18"/>
                <w:szCs w:val="18"/>
              </w:rPr>
            </w:pPr>
            <w:r w:rsidRPr="00AA54A5">
              <w:rPr>
                <w:rFonts w:asciiTheme="majorHAnsi" w:hAnsiTheme="majorHAnsi" w:cstheme="majorHAnsi"/>
                <w:b/>
                <w:bCs/>
                <w:sz w:val="18"/>
                <w:szCs w:val="18"/>
              </w:rPr>
              <w:t>Incident occurred outside EU</w:t>
            </w:r>
          </w:p>
        </w:tc>
      </w:tr>
      <w:tr w:rsidR="002D2564" w:rsidRPr="00AA54A5" w14:paraId="3F5CCBB8" w14:textId="77777777" w:rsidTr="002D2564">
        <w:tc>
          <w:tcPr>
            <w:tcW w:w="9427" w:type="dxa"/>
            <w:gridSpan w:val="3"/>
            <w:tcBorders>
              <w:top w:val="single" w:sz="4" w:space="0" w:color="auto"/>
              <w:left w:val="single" w:sz="4" w:space="0" w:color="auto"/>
              <w:bottom w:val="single" w:sz="4" w:space="0" w:color="auto"/>
              <w:right w:val="single" w:sz="4" w:space="0" w:color="auto"/>
            </w:tcBorders>
            <w:shd w:val="clear" w:color="auto" w:fill="E6E6E6"/>
            <w:vAlign w:val="center"/>
          </w:tcPr>
          <w:p w14:paraId="77E1D505"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b/>
                <w:bCs/>
                <w:sz w:val="18"/>
                <w:szCs w:val="18"/>
              </w:rPr>
            </w:pPr>
            <w:r w:rsidRPr="00AA54A5">
              <w:rPr>
                <w:rFonts w:asciiTheme="majorHAnsi" w:hAnsiTheme="majorHAnsi" w:cstheme="majorHAnsi"/>
                <w:b/>
                <w:bCs/>
                <w:sz w:val="18"/>
                <w:szCs w:val="18"/>
              </w:rPr>
              <w:t>Reporting Timeframe for 2, 10, &amp; 15-day reports, start the day after the first Company employee is notified.</w:t>
            </w:r>
          </w:p>
          <w:p w14:paraId="2DB622AB"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z w:val="18"/>
                <w:szCs w:val="18"/>
              </w:rPr>
            </w:pPr>
            <w:r w:rsidRPr="00AA54A5">
              <w:rPr>
                <w:rFonts w:asciiTheme="majorHAnsi" w:hAnsiTheme="majorHAnsi" w:cstheme="majorHAnsi"/>
                <w:b/>
                <w:bCs/>
                <w:sz w:val="18"/>
                <w:szCs w:val="18"/>
              </w:rPr>
              <w:t>Report is to be sent within the time specified below.</w:t>
            </w:r>
          </w:p>
        </w:tc>
      </w:tr>
      <w:tr w:rsidR="002D2564" w:rsidRPr="00AA54A5" w14:paraId="1D38180A" w14:textId="77777777" w:rsidTr="002D2564">
        <w:tc>
          <w:tcPr>
            <w:tcW w:w="4567" w:type="dxa"/>
            <w:tcBorders>
              <w:top w:val="single" w:sz="4" w:space="0" w:color="auto"/>
              <w:left w:val="single" w:sz="4" w:space="0" w:color="auto"/>
              <w:bottom w:val="single" w:sz="4" w:space="0" w:color="auto"/>
              <w:right w:val="single" w:sz="4" w:space="0" w:color="auto"/>
            </w:tcBorders>
            <w:shd w:val="clear" w:color="auto" w:fill="E6E6E6"/>
            <w:vAlign w:val="center"/>
          </w:tcPr>
          <w:p w14:paraId="66002443" w14:textId="77777777" w:rsidR="002D2564" w:rsidRPr="00AA54A5" w:rsidRDefault="002D2564" w:rsidP="008F4561">
            <w:pPr>
              <w:tabs>
                <w:tab w:val="left" w:pos="-720"/>
                <w:tab w:val="left" w:pos="0"/>
                <w:tab w:val="left" w:pos="720"/>
              </w:tabs>
              <w:adjustRightInd w:val="0"/>
              <w:snapToGrid w:val="0"/>
              <w:spacing w:before="60" w:after="60"/>
              <w:rPr>
                <w:rFonts w:asciiTheme="majorHAnsi" w:hAnsiTheme="majorHAnsi" w:cstheme="majorHAnsi"/>
                <w:spacing w:val="-3"/>
                <w:sz w:val="18"/>
                <w:szCs w:val="18"/>
              </w:rPr>
            </w:pPr>
            <w:r w:rsidRPr="00AA54A5">
              <w:rPr>
                <w:rFonts w:asciiTheme="majorHAnsi" w:hAnsiTheme="majorHAnsi" w:cstheme="majorHAnsi"/>
                <w:sz w:val="18"/>
                <w:szCs w:val="18"/>
              </w:rPr>
              <w:t>Serious Public Health Threat</w:t>
            </w:r>
          </w:p>
        </w:tc>
        <w:tc>
          <w:tcPr>
            <w:tcW w:w="2430" w:type="dxa"/>
            <w:tcBorders>
              <w:top w:val="single" w:sz="4" w:space="0" w:color="auto"/>
              <w:left w:val="single" w:sz="4" w:space="0" w:color="auto"/>
              <w:bottom w:val="single" w:sz="4" w:space="0" w:color="auto"/>
              <w:right w:val="single" w:sz="4" w:space="0" w:color="auto"/>
            </w:tcBorders>
            <w:vAlign w:val="center"/>
          </w:tcPr>
          <w:p w14:paraId="2E7C170D"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Yes</w:t>
            </w:r>
          </w:p>
          <w:p w14:paraId="698D1919"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Initial Report immediately but not more than</w:t>
            </w:r>
            <w:r w:rsidRPr="00AA54A5">
              <w:rPr>
                <w:rFonts w:asciiTheme="majorHAnsi" w:hAnsiTheme="majorHAnsi" w:cstheme="majorHAnsi"/>
                <w:spacing w:val="-3"/>
                <w:sz w:val="18"/>
                <w:szCs w:val="18"/>
              </w:rPr>
              <w:t xml:space="preserve"> </w:t>
            </w:r>
            <w:r w:rsidRPr="00AA54A5">
              <w:rPr>
                <w:rFonts w:asciiTheme="majorHAnsi" w:hAnsiTheme="majorHAnsi" w:cstheme="majorHAnsi"/>
                <w:sz w:val="18"/>
                <w:szCs w:val="18"/>
              </w:rPr>
              <w:t xml:space="preserve">2 calendar days </w:t>
            </w:r>
          </w:p>
        </w:tc>
        <w:tc>
          <w:tcPr>
            <w:tcW w:w="2430" w:type="dxa"/>
            <w:tcBorders>
              <w:top w:val="single" w:sz="4" w:space="0" w:color="auto"/>
              <w:left w:val="single" w:sz="4" w:space="0" w:color="auto"/>
              <w:bottom w:val="single" w:sz="4" w:space="0" w:color="auto"/>
              <w:right w:val="single" w:sz="4" w:space="0" w:color="auto"/>
            </w:tcBorders>
            <w:vAlign w:val="center"/>
          </w:tcPr>
          <w:p w14:paraId="6508C9F1"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No*</w:t>
            </w:r>
          </w:p>
        </w:tc>
      </w:tr>
      <w:tr w:rsidR="002D2564" w:rsidRPr="00AA54A5" w14:paraId="52E87E0F" w14:textId="77777777" w:rsidTr="002D2564">
        <w:tc>
          <w:tcPr>
            <w:tcW w:w="4567" w:type="dxa"/>
            <w:tcBorders>
              <w:top w:val="single" w:sz="4" w:space="0" w:color="auto"/>
              <w:left w:val="single" w:sz="4" w:space="0" w:color="auto"/>
              <w:bottom w:val="single" w:sz="4" w:space="0" w:color="auto"/>
              <w:right w:val="single" w:sz="4" w:space="0" w:color="auto"/>
            </w:tcBorders>
            <w:shd w:val="clear" w:color="auto" w:fill="E6E6E6"/>
            <w:vAlign w:val="center"/>
          </w:tcPr>
          <w:p w14:paraId="0BFF0A48" w14:textId="77777777" w:rsidR="002D2564" w:rsidRPr="00AA54A5" w:rsidRDefault="002D2564" w:rsidP="008F4561">
            <w:pPr>
              <w:keepNext/>
              <w:tabs>
                <w:tab w:val="left" w:pos="-720"/>
                <w:tab w:val="left" w:pos="0"/>
                <w:tab w:val="left" w:pos="720"/>
              </w:tabs>
              <w:adjustRightInd w:val="0"/>
              <w:snapToGrid w:val="0"/>
              <w:spacing w:before="60" w:after="60"/>
              <w:rPr>
                <w:rFonts w:asciiTheme="majorHAnsi" w:hAnsiTheme="majorHAnsi" w:cstheme="majorHAnsi"/>
                <w:spacing w:val="-3"/>
                <w:sz w:val="18"/>
                <w:szCs w:val="18"/>
              </w:rPr>
            </w:pPr>
            <w:r w:rsidRPr="00AA54A5">
              <w:rPr>
                <w:rFonts w:asciiTheme="majorHAnsi" w:hAnsiTheme="majorHAnsi" w:cstheme="majorHAnsi"/>
                <w:sz w:val="18"/>
                <w:szCs w:val="18"/>
              </w:rPr>
              <w:t xml:space="preserve">Death or </w:t>
            </w:r>
            <w:r w:rsidRPr="00AA54A5">
              <w:rPr>
                <w:rFonts w:asciiTheme="majorHAnsi" w:hAnsiTheme="majorHAnsi" w:cstheme="majorHAnsi"/>
                <w:b/>
                <w:sz w:val="18"/>
                <w:szCs w:val="18"/>
              </w:rPr>
              <w:t xml:space="preserve">unanticipated </w:t>
            </w:r>
            <w:r w:rsidRPr="00AA54A5">
              <w:rPr>
                <w:rFonts w:asciiTheme="majorHAnsi" w:hAnsiTheme="majorHAnsi" w:cstheme="majorHAnsi"/>
                <w:sz w:val="18"/>
                <w:szCs w:val="18"/>
              </w:rPr>
              <w:t>serious deterioration of health has occurred and was caused or contributed to by a device manufactured by our company.</w:t>
            </w:r>
          </w:p>
        </w:tc>
        <w:tc>
          <w:tcPr>
            <w:tcW w:w="2430" w:type="dxa"/>
            <w:tcBorders>
              <w:top w:val="single" w:sz="4" w:space="0" w:color="auto"/>
              <w:left w:val="single" w:sz="4" w:space="0" w:color="auto"/>
              <w:bottom w:val="single" w:sz="4" w:space="0" w:color="auto"/>
              <w:right w:val="single" w:sz="4" w:space="0" w:color="auto"/>
            </w:tcBorders>
            <w:vAlign w:val="center"/>
          </w:tcPr>
          <w:p w14:paraId="523A2D0B" w14:textId="77777777" w:rsidR="002D2564" w:rsidRPr="00AA54A5" w:rsidRDefault="002D2564" w:rsidP="008F4561">
            <w:pPr>
              <w:keepNext/>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Yes</w:t>
            </w:r>
          </w:p>
          <w:p w14:paraId="1CDEE460" w14:textId="77777777" w:rsidR="002D2564" w:rsidRPr="00AA54A5" w:rsidRDefault="002D2564" w:rsidP="008F4561">
            <w:pPr>
              <w:keepNext/>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Initial Report immediately but not more than</w:t>
            </w:r>
            <w:r w:rsidRPr="00AA54A5">
              <w:rPr>
                <w:rFonts w:asciiTheme="majorHAnsi" w:hAnsiTheme="majorHAnsi" w:cstheme="majorHAnsi"/>
                <w:spacing w:val="-3"/>
                <w:sz w:val="18"/>
                <w:szCs w:val="18"/>
              </w:rPr>
              <w:t xml:space="preserve"> </w:t>
            </w:r>
            <w:r w:rsidRPr="00AA54A5">
              <w:rPr>
                <w:rFonts w:asciiTheme="majorHAnsi" w:hAnsiTheme="majorHAnsi" w:cstheme="majorHAnsi"/>
                <w:sz w:val="18"/>
                <w:szCs w:val="18"/>
              </w:rPr>
              <w:t>10 calendar days</w:t>
            </w:r>
          </w:p>
        </w:tc>
        <w:tc>
          <w:tcPr>
            <w:tcW w:w="2430" w:type="dxa"/>
            <w:tcBorders>
              <w:top w:val="single" w:sz="4" w:space="0" w:color="auto"/>
              <w:left w:val="single" w:sz="4" w:space="0" w:color="auto"/>
              <w:bottom w:val="single" w:sz="4" w:space="0" w:color="auto"/>
              <w:right w:val="single" w:sz="4" w:space="0" w:color="auto"/>
            </w:tcBorders>
            <w:vAlign w:val="center"/>
          </w:tcPr>
          <w:p w14:paraId="2DEC0780" w14:textId="77777777" w:rsidR="002D2564" w:rsidRPr="00AA54A5" w:rsidRDefault="002D2564" w:rsidP="008F4561">
            <w:pPr>
              <w:keepNext/>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No*</w:t>
            </w:r>
          </w:p>
        </w:tc>
      </w:tr>
      <w:tr w:rsidR="002D2564" w:rsidRPr="00AA54A5" w14:paraId="5590071E" w14:textId="77777777" w:rsidTr="002D2564">
        <w:tc>
          <w:tcPr>
            <w:tcW w:w="4567" w:type="dxa"/>
            <w:tcBorders>
              <w:top w:val="single" w:sz="4" w:space="0" w:color="auto"/>
              <w:left w:val="single" w:sz="4" w:space="0" w:color="auto"/>
              <w:bottom w:val="single" w:sz="4" w:space="0" w:color="auto"/>
              <w:right w:val="single" w:sz="4" w:space="0" w:color="auto"/>
            </w:tcBorders>
            <w:shd w:val="clear" w:color="auto" w:fill="E6E6E6"/>
            <w:vAlign w:val="center"/>
          </w:tcPr>
          <w:p w14:paraId="3C38E702" w14:textId="77777777" w:rsidR="002D2564" w:rsidRPr="00AA54A5" w:rsidRDefault="002D2564" w:rsidP="008F4561">
            <w:pPr>
              <w:keepNext/>
              <w:tabs>
                <w:tab w:val="left" w:pos="-720"/>
                <w:tab w:val="left" w:pos="0"/>
                <w:tab w:val="left" w:pos="720"/>
              </w:tabs>
              <w:adjustRightInd w:val="0"/>
              <w:snapToGrid w:val="0"/>
              <w:spacing w:before="60" w:after="60"/>
              <w:rPr>
                <w:rFonts w:asciiTheme="majorHAnsi" w:hAnsiTheme="majorHAnsi" w:cstheme="majorHAnsi"/>
                <w:spacing w:val="-3"/>
                <w:sz w:val="18"/>
                <w:szCs w:val="18"/>
              </w:rPr>
            </w:pPr>
            <w:r w:rsidRPr="00AA54A5">
              <w:rPr>
                <w:rFonts w:asciiTheme="majorHAnsi" w:hAnsiTheme="majorHAnsi" w:cstheme="majorHAnsi"/>
                <w:sz w:val="18"/>
                <w:szCs w:val="18"/>
              </w:rPr>
              <w:t>All other serious incidents</w:t>
            </w:r>
          </w:p>
        </w:tc>
        <w:tc>
          <w:tcPr>
            <w:tcW w:w="2430" w:type="dxa"/>
            <w:tcBorders>
              <w:top w:val="single" w:sz="4" w:space="0" w:color="auto"/>
              <w:left w:val="single" w:sz="4" w:space="0" w:color="auto"/>
              <w:bottom w:val="single" w:sz="4" w:space="0" w:color="auto"/>
              <w:right w:val="single" w:sz="4" w:space="0" w:color="auto"/>
            </w:tcBorders>
            <w:vAlign w:val="center"/>
          </w:tcPr>
          <w:p w14:paraId="6E02FE3B" w14:textId="77777777" w:rsidR="002D2564" w:rsidRPr="00AA54A5" w:rsidRDefault="002D2564" w:rsidP="008F4561">
            <w:pPr>
              <w:keepNext/>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Yes</w:t>
            </w:r>
          </w:p>
          <w:p w14:paraId="03E01AB8" w14:textId="77777777" w:rsidR="002D2564" w:rsidRPr="00AA54A5" w:rsidRDefault="002D2564" w:rsidP="008F4561">
            <w:pPr>
              <w:keepNext/>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Initial Report immediately but not more than</w:t>
            </w:r>
            <w:r w:rsidRPr="00AA54A5">
              <w:rPr>
                <w:rFonts w:asciiTheme="majorHAnsi" w:hAnsiTheme="majorHAnsi" w:cstheme="majorHAnsi"/>
                <w:spacing w:val="-3"/>
                <w:sz w:val="18"/>
                <w:szCs w:val="18"/>
              </w:rPr>
              <w:t xml:space="preserve"> </w:t>
            </w:r>
            <w:r w:rsidRPr="00AA54A5">
              <w:rPr>
                <w:rFonts w:asciiTheme="majorHAnsi" w:hAnsiTheme="majorHAnsi" w:cstheme="majorHAnsi"/>
                <w:sz w:val="18"/>
                <w:szCs w:val="18"/>
              </w:rPr>
              <w:t>15 calendar days</w:t>
            </w:r>
          </w:p>
        </w:tc>
        <w:tc>
          <w:tcPr>
            <w:tcW w:w="2430" w:type="dxa"/>
            <w:tcBorders>
              <w:top w:val="single" w:sz="4" w:space="0" w:color="auto"/>
              <w:left w:val="single" w:sz="4" w:space="0" w:color="auto"/>
              <w:bottom w:val="single" w:sz="4" w:space="0" w:color="auto"/>
              <w:right w:val="single" w:sz="4" w:space="0" w:color="auto"/>
            </w:tcBorders>
            <w:vAlign w:val="center"/>
          </w:tcPr>
          <w:p w14:paraId="476DACEE" w14:textId="77777777" w:rsidR="002D2564" w:rsidRPr="00AA54A5" w:rsidRDefault="002D2564" w:rsidP="008F4561">
            <w:pPr>
              <w:keepNext/>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No*</w:t>
            </w:r>
          </w:p>
        </w:tc>
      </w:tr>
      <w:tr w:rsidR="002D2564" w:rsidRPr="00AA54A5" w14:paraId="2E501724" w14:textId="77777777" w:rsidTr="002D2564">
        <w:trPr>
          <w:trHeight w:val="971"/>
        </w:trPr>
        <w:tc>
          <w:tcPr>
            <w:tcW w:w="4567" w:type="dxa"/>
            <w:tcBorders>
              <w:top w:val="single" w:sz="4" w:space="0" w:color="auto"/>
              <w:left w:val="single" w:sz="4" w:space="0" w:color="auto"/>
              <w:bottom w:val="single" w:sz="4" w:space="0" w:color="auto"/>
              <w:right w:val="single" w:sz="4" w:space="0" w:color="auto"/>
            </w:tcBorders>
            <w:shd w:val="clear" w:color="auto" w:fill="E6E6E6"/>
            <w:vAlign w:val="center"/>
          </w:tcPr>
          <w:p w14:paraId="116DEFE1" w14:textId="77777777" w:rsidR="002D2564" w:rsidRPr="00AA54A5" w:rsidRDefault="002D2564" w:rsidP="008F4561">
            <w:pPr>
              <w:tabs>
                <w:tab w:val="left" w:pos="-720"/>
                <w:tab w:val="left" w:pos="0"/>
                <w:tab w:val="left" w:pos="720"/>
              </w:tabs>
              <w:adjustRightInd w:val="0"/>
              <w:snapToGrid w:val="0"/>
              <w:spacing w:before="60" w:after="60"/>
              <w:rPr>
                <w:rFonts w:asciiTheme="majorHAnsi" w:hAnsiTheme="majorHAnsi" w:cstheme="majorHAnsi"/>
                <w:sz w:val="18"/>
                <w:szCs w:val="18"/>
              </w:rPr>
            </w:pPr>
            <w:r w:rsidRPr="00AA54A5">
              <w:rPr>
                <w:rFonts w:asciiTheme="majorHAnsi" w:hAnsiTheme="majorHAnsi" w:cstheme="majorHAnsi"/>
                <w:sz w:val="18"/>
                <w:szCs w:val="18"/>
              </w:rPr>
              <w:t>Additional information becomes available after the initial report has been submitted.</w:t>
            </w:r>
          </w:p>
        </w:tc>
        <w:tc>
          <w:tcPr>
            <w:tcW w:w="2430" w:type="dxa"/>
            <w:tcBorders>
              <w:top w:val="single" w:sz="4" w:space="0" w:color="auto"/>
              <w:left w:val="single" w:sz="4" w:space="0" w:color="auto"/>
              <w:bottom w:val="single" w:sz="4" w:space="0" w:color="auto"/>
              <w:right w:val="single" w:sz="4" w:space="0" w:color="auto"/>
            </w:tcBorders>
            <w:vAlign w:val="center"/>
          </w:tcPr>
          <w:p w14:paraId="41984662"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Final Report</w:t>
            </w:r>
          </w:p>
        </w:tc>
        <w:tc>
          <w:tcPr>
            <w:tcW w:w="2430" w:type="dxa"/>
            <w:tcBorders>
              <w:top w:val="single" w:sz="4" w:space="0" w:color="auto"/>
              <w:left w:val="single" w:sz="4" w:space="0" w:color="auto"/>
              <w:bottom w:val="single" w:sz="4" w:space="0" w:color="auto"/>
              <w:right w:val="single" w:sz="4" w:space="0" w:color="auto"/>
            </w:tcBorders>
            <w:vAlign w:val="center"/>
          </w:tcPr>
          <w:p w14:paraId="09D0E78F"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N/A</w:t>
            </w:r>
          </w:p>
        </w:tc>
      </w:tr>
      <w:tr w:rsidR="002D2564" w:rsidRPr="00AA54A5" w14:paraId="4CFAE4B8" w14:textId="77777777" w:rsidTr="002D2564">
        <w:trPr>
          <w:trHeight w:val="1457"/>
        </w:trPr>
        <w:tc>
          <w:tcPr>
            <w:tcW w:w="4567" w:type="dxa"/>
            <w:tcBorders>
              <w:top w:val="single" w:sz="4" w:space="0" w:color="auto"/>
              <w:left w:val="single" w:sz="4" w:space="0" w:color="auto"/>
              <w:bottom w:val="single" w:sz="4" w:space="0" w:color="auto"/>
              <w:right w:val="single" w:sz="4" w:space="0" w:color="auto"/>
            </w:tcBorders>
            <w:shd w:val="clear" w:color="auto" w:fill="E6E6E6"/>
            <w:vAlign w:val="center"/>
          </w:tcPr>
          <w:p w14:paraId="519490C6" w14:textId="77777777" w:rsidR="002D2564" w:rsidRPr="00AA54A5" w:rsidRDefault="002D2564" w:rsidP="008F4561">
            <w:pPr>
              <w:tabs>
                <w:tab w:val="left" w:pos="-720"/>
                <w:tab w:val="left" w:pos="0"/>
                <w:tab w:val="left" w:pos="720"/>
              </w:tabs>
              <w:adjustRightInd w:val="0"/>
              <w:snapToGrid w:val="0"/>
              <w:spacing w:before="60" w:after="60"/>
              <w:rPr>
                <w:rFonts w:asciiTheme="majorHAnsi" w:hAnsiTheme="majorHAnsi" w:cstheme="majorHAnsi"/>
                <w:spacing w:val="-3"/>
                <w:sz w:val="18"/>
                <w:szCs w:val="18"/>
              </w:rPr>
            </w:pPr>
            <w:r w:rsidRPr="00AA54A5">
              <w:rPr>
                <w:rFonts w:asciiTheme="majorHAnsi" w:hAnsiTheme="majorHAnsi" w:cstheme="majorHAnsi"/>
                <w:sz w:val="18"/>
                <w:szCs w:val="18"/>
              </w:rPr>
              <w:t>A FSCA has been initiated due to risk of Death or Serious Injury (reported to a Regulatory Agency).</w:t>
            </w:r>
          </w:p>
        </w:tc>
        <w:tc>
          <w:tcPr>
            <w:tcW w:w="2430" w:type="dxa"/>
            <w:tcBorders>
              <w:top w:val="single" w:sz="4" w:space="0" w:color="auto"/>
              <w:left w:val="single" w:sz="4" w:space="0" w:color="auto"/>
              <w:bottom w:val="single" w:sz="4" w:space="0" w:color="auto"/>
              <w:right w:val="single" w:sz="4" w:space="0" w:color="auto"/>
            </w:tcBorders>
            <w:vAlign w:val="center"/>
          </w:tcPr>
          <w:p w14:paraId="4B82EDD2"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Yes, via FSCA report if any affected devices are marketed in the EU*</w:t>
            </w:r>
          </w:p>
          <w:p w14:paraId="78EA6EB9"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z w:val="18"/>
                <w:szCs w:val="18"/>
              </w:rPr>
            </w:pPr>
            <w:r w:rsidRPr="00AA54A5">
              <w:rPr>
                <w:rFonts w:asciiTheme="majorHAnsi" w:hAnsiTheme="majorHAnsi" w:cstheme="majorHAnsi"/>
                <w:sz w:val="18"/>
                <w:szCs w:val="18"/>
              </w:rPr>
              <w:t>On or before initiating FSCAs</w:t>
            </w:r>
          </w:p>
          <w:p w14:paraId="54A69C74"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pacing w:val="-3"/>
                <w:sz w:val="18"/>
                <w:szCs w:val="18"/>
              </w:rPr>
              <w:t>Refer to QSP 9.2-3</w:t>
            </w:r>
          </w:p>
        </w:tc>
        <w:tc>
          <w:tcPr>
            <w:tcW w:w="2430" w:type="dxa"/>
            <w:tcBorders>
              <w:top w:val="single" w:sz="4" w:space="0" w:color="auto"/>
              <w:left w:val="single" w:sz="4" w:space="0" w:color="auto"/>
              <w:bottom w:val="single" w:sz="4" w:space="0" w:color="auto"/>
              <w:right w:val="single" w:sz="4" w:space="0" w:color="auto"/>
            </w:tcBorders>
            <w:vAlign w:val="center"/>
          </w:tcPr>
          <w:p w14:paraId="16CCE1B0" w14:textId="77777777" w:rsidR="002D2564" w:rsidRPr="00AA54A5" w:rsidRDefault="002D2564" w:rsidP="008F4561">
            <w:pPr>
              <w:tabs>
                <w:tab w:val="left" w:pos="-720"/>
                <w:tab w:val="left" w:pos="0"/>
                <w:tab w:val="left" w:pos="720"/>
              </w:tabs>
              <w:adjustRightInd w:val="0"/>
              <w:snapToGrid w:val="0"/>
              <w:spacing w:before="60" w:after="60"/>
              <w:jc w:val="center"/>
              <w:rPr>
                <w:rFonts w:asciiTheme="majorHAnsi" w:hAnsiTheme="majorHAnsi" w:cstheme="majorHAnsi"/>
                <w:spacing w:val="-3"/>
                <w:sz w:val="18"/>
                <w:szCs w:val="18"/>
              </w:rPr>
            </w:pPr>
            <w:r w:rsidRPr="00AA54A5">
              <w:rPr>
                <w:rFonts w:asciiTheme="majorHAnsi" w:hAnsiTheme="majorHAnsi" w:cstheme="majorHAnsi"/>
                <w:sz w:val="18"/>
                <w:szCs w:val="18"/>
              </w:rPr>
              <w:t>No, if any affected devices are marketed in the EU*</w:t>
            </w:r>
          </w:p>
        </w:tc>
      </w:tr>
    </w:tbl>
    <w:p w14:paraId="67502FB7" w14:textId="77777777" w:rsidR="002D2564" w:rsidRPr="00AA54A5" w:rsidRDefault="002D2564" w:rsidP="002D2564">
      <w:pPr>
        <w:tabs>
          <w:tab w:val="left" w:pos="-720"/>
          <w:tab w:val="left" w:pos="720"/>
        </w:tabs>
        <w:adjustRightInd w:val="0"/>
        <w:snapToGrid w:val="0"/>
        <w:spacing w:before="120" w:after="120"/>
        <w:jc w:val="both"/>
        <w:rPr>
          <w:rFonts w:asciiTheme="majorHAnsi" w:hAnsiTheme="majorHAnsi" w:cstheme="majorHAnsi"/>
          <w:sz w:val="18"/>
          <w:szCs w:val="18"/>
        </w:rPr>
      </w:pPr>
      <w:r w:rsidRPr="00AA54A5">
        <w:rPr>
          <w:rFonts w:asciiTheme="majorHAnsi" w:hAnsiTheme="majorHAnsi" w:cstheme="majorHAnsi"/>
          <w:b/>
          <w:spacing w:val="-3"/>
          <w:sz w:val="18"/>
          <w:szCs w:val="18"/>
        </w:rPr>
        <w:t>*</w:t>
      </w:r>
      <w:r w:rsidRPr="00AA54A5">
        <w:rPr>
          <w:rFonts w:asciiTheme="majorHAnsi" w:hAnsiTheme="majorHAnsi" w:cstheme="majorHAnsi"/>
          <w:b/>
          <w:sz w:val="18"/>
          <w:szCs w:val="18"/>
        </w:rPr>
        <w:t>Incidents which occurred outside the EU areas should be considered for reporting with recommendation to generate a rationale or justification documenting the reason for not notifying or advising other regulatory agencies.  This is particular true if the incident did not occur in these regulatory regions, however, the product or product family is marketed or sold in these regulatory regions.  Generally, if the product or product family is not marketed or sold in these regulatory regions, then notification is not required.</w:t>
      </w:r>
    </w:p>
    <w:p w14:paraId="14A9C856" w14:textId="77777777" w:rsidR="002D2564" w:rsidRPr="00AA54A5" w:rsidRDefault="002D2564" w:rsidP="002D2564">
      <w:pPr>
        <w:spacing w:before="120" w:after="120"/>
        <w:jc w:val="both"/>
        <w:rPr>
          <w:rFonts w:asciiTheme="majorHAnsi" w:hAnsiTheme="majorHAnsi" w:cstheme="majorHAnsi"/>
          <w:b/>
          <w:sz w:val="18"/>
          <w:szCs w:val="18"/>
        </w:rPr>
      </w:pPr>
    </w:p>
    <w:p w14:paraId="3D30672C" w14:textId="72167EA9" w:rsidR="0026069C" w:rsidRPr="00AA54A5" w:rsidRDefault="0026069C">
      <w:pPr>
        <w:rPr>
          <w:rFonts w:asciiTheme="majorHAnsi" w:hAnsiTheme="majorHAnsi" w:cstheme="majorHAnsi"/>
          <w:b/>
          <w:sz w:val="18"/>
          <w:szCs w:val="18"/>
        </w:rPr>
      </w:pPr>
      <w:r w:rsidRPr="00AA54A5">
        <w:rPr>
          <w:rFonts w:asciiTheme="majorHAnsi" w:hAnsiTheme="majorHAnsi" w:cstheme="majorHAnsi"/>
          <w:b/>
          <w:sz w:val="18"/>
          <w:szCs w:val="18"/>
        </w:rPr>
        <w:br w:type="page"/>
      </w:r>
    </w:p>
    <w:p w14:paraId="19220AC9" w14:textId="4A048F52" w:rsidR="002D2564" w:rsidRPr="00AA54A5" w:rsidRDefault="002D2564" w:rsidP="002B5A4E">
      <w:pPr>
        <w:pStyle w:val="ListParagraph"/>
        <w:spacing w:before="120" w:after="120"/>
        <w:ind w:left="-450" w:right="-360"/>
        <w:jc w:val="center"/>
        <w:rPr>
          <w:rFonts w:asciiTheme="majorHAnsi" w:hAnsiTheme="majorHAnsi" w:cstheme="majorHAnsi"/>
          <w:b/>
          <w:sz w:val="18"/>
          <w:szCs w:val="18"/>
        </w:rPr>
      </w:pPr>
    </w:p>
    <w:p w14:paraId="2BFB0F83" w14:textId="11D321EC" w:rsidR="002D2564" w:rsidRPr="00AA54A5" w:rsidRDefault="002D2564" w:rsidP="002B5A4E">
      <w:pPr>
        <w:pStyle w:val="ListParagraph"/>
        <w:spacing w:before="120" w:after="120"/>
        <w:ind w:left="-450" w:right="-360"/>
        <w:jc w:val="center"/>
        <w:rPr>
          <w:rFonts w:asciiTheme="majorHAnsi" w:hAnsiTheme="majorHAnsi" w:cstheme="majorHAnsi"/>
          <w:b/>
          <w:sz w:val="18"/>
          <w:szCs w:val="18"/>
        </w:rPr>
      </w:pPr>
      <w:r w:rsidRPr="00AA54A5">
        <w:rPr>
          <w:rFonts w:asciiTheme="majorHAnsi" w:hAnsiTheme="majorHAnsi" w:cstheme="majorHAnsi"/>
          <w:b/>
          <w:sz w:val="18"/>
          <w:szCs w:val="18"/>
        </w:rPr>
        <w:t>Appendix B: Medical Device Incident Reporting Sequence</w:t>
      </w:r>
    </w:p>
    <w:p w14:paraId="6BC90750" w14:textId="70B010C4" w:rsidR="002D2564" w:rsidRPr="00AA54A5" w:rsidRDefault="002D2564" w:rsidP="002B5A4E">
      <w:pPr>
        <w:pStyle w:val="ListParagraph"/>
        <w:spacing w:before="120" w:after="120"/>
        <w:ind w:left="-450" w:right="-360"/>
        <w:jc w:val="center"/>
        <w:rPr>
          <w:rFonts w:asciiTheme="majorHAnsi" w:hAnsiTheme="majorHAnsi" w:cstheme="majorHAnsi"/>
          <w:b/>
          <w:sz w:val="18"/>
          <w:szCs w:val="18"/>
        </w:rPr>
      </w:pPr>
    </w:p>
    <w:p w14:paraId="2D8019C1" w14:textId="2668BFFB" w:rsidR="002D2564" w:rsidRPr="00AA54A5" w:rsidRDefault="002D2564" w:rsidP="002B5A4E">
      <w:pPr>
        <w:pStyle w:val="ListParagraph"/>
        <w:spacing w:before="120" w:after="120"/>
        <w:ind w:left="-450" w:right="-360"/>
        <w:jc w:val="center"/>
        <w:rPr>
          <w:rFonts w:asciiTheme="majorHAnsi" w:hAnsiTheme="majorHAnsi" w:cstheme="majorHAnsi"/>
          <w:b/>
          <w:sz w:val="18"/>
          <w:szCs w:val="18"/>
        </w:rPr>
      </w:pPr>
      <w:r w:rsidRPr="00AA54A5">
        <w:rPr>
          <w:rFonts w:asciiTheme="majorHAnsi" w:hAnsiTheme="majorHAnsi" w:cstheme="majorHAnsi"/>
          <w:noProof/>
          <w:sz w:val="18"/>
          <w:szCs w:val="18"/>
        </w:rPr>
        <w:drawing>
          <wp:anchor distT="0" distB="0" distL="114300" distR="114300" simplePos="0" relativeHeight="251659264" behindDoc="0" locked="0" layoutInCell="1" allowOverlap="1" wp14:anchorId="1B99C2DF" wp14:editId="5F9909CA">
            <wp:simplePos x="0" y="0"/>
            <wp:positionH relativeFrom="column">
              <wp:posOffset>0</wp:posOffset>
            </wp:positionH>
            <wp:positionV relativeFrom="paragraph">
              <wp:posOffset>252095</wp:posOffset>
            </wp:positionV>
            <wp:extent cx="5887085" cy="5624195"/>
            <wp:effectExtent l="0" t="0" r="5715" b="0"/>
            <wp:wrapTopAndBottom/>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t="5605"/>
                    <a:stretch>
                      <a:fillRect/>
                    </a:stretch>
                  </pic:blipFill>
                  <pic:spPr bwMode="auto">
                    <a:xfrm>
                      <a:off x="0" y="0"/>
                      <a:ext cx="5887085" cy="5624195"/>
                    </a:xfrm>
                    <a:prstGeom prst="rect">
                      <a:avLst/>
                    </a:prstGeom>
                    <a:noFill/>
                  </pic:spPr>
                </pic:pic>
              </a:graphicData>
            </a:graphic>
            <wp14:sizeRelH relativeFrom="page">
              <wp14:pctWidth>0</wp14:pctWidth>
            </wp14:sizeRelH>
            <wp14:sizeRelV relativeFrom="page">
              <wp14:pctHeight>0</wp14:pctHeight>
            </wp14:sizeRelV>
          </wp:anchor>
        </w:drawing>
      </w:r>
    </w:p>
    <w:sectPr w:rsidR="002D2564" w:rsidRPr="00AA54A5" w:rsidSect="002851DE">
      <w:headerReference w:type="even" r:id="rId36"/>
      <w:headerReference w:type="default" r:id="rId37"/>
      <w:footerReference w:type="default" r:id="rId38"/>
      <w:head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228E" w14:textId="77777777" w:rsidR="00FE766F" w:rsidRDefault="00FE766F" w:rsidP="00D73CFB">
      <w:r>
        <w:separator/>
      </w:r>
    </w:p>
  </w:endnote>
  <w:endnote w:type="continuationSeparator" w:id="0">
    <w:p w14:paraId="390492DA" w14:textId="77777777" w:rsidR="00FE766F" w:rsidRDefault="00FE766F"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8C7BDC" w14:paraId="1CF08990" w14:textId="77777777" w:rsidTr="00893C3F">
      <w:tc>
        <w:tcPr>
          <w:tcW w:w="9908" w:type="dxa"/>
        </w:tcPr>
        <w:p w14:paraId="1BEAE219" w14:textId="77777777" w:rsidR="008C7BDC" w:rsidRPr="00893C3F" w:rsidRDefault="008C7BDC"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8C7BDC" w:rsidRDefault="008C7BDC">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48EC" w14:textId="77777777" w:rsidR="00FE766F" w:rsidRDefault="00FE766F" w:rsidP="00D73CFB">
      <w:r>
        <w:separator/>
      </w:r>
    </w:p>
  </w:footnote>
  <w:footnote w:type="continuationSeparator" w:id="0">
    <w:p w14:paraId="71D9AEC1" w14:textId="77777777" w:rsidR="00FE766F" w:rsidRDefault="00FE766F" w:rsidP="00D73CFB">
      <w:r>
        <w:continuationSeparator/>
      </w:r>
    </w:p>
  </w:footnote>
  <w:footnote w:id="1">
    <w:p w14:paraId="3ADEC231" w14:textId="77777777" w:rsidR="00647C38" w:rsidRDefault="00647C38" w:rsidP="00647C38">
      <w:pPr>
        <w:pStyle w:val="FootnoteText"/>
      </w:pPr>
      <w:r>
        <w:rPr>
          <w:rStyle w:val="FootnoteReference"/>
        </w:rPr>
        <w:footnoteRef/>
      </w:r>
      <w:r>
        <w:t xml:space="preserve"> </w:t>
      </w:r>
      <w:r w:rsidRPr="008018F3">
        <w:rPr>
          <w:rFonts w:ascii="Calibri" w:eastAsia="MS Mincho" w:hAnsi="Calibri" w:cs="Arial"/>
          <w:sz w:val="18"/>
          <w:szCs w:val="18"/>
        </w:rPr>
        <w:t>The United Kingdom left the European Union on 31 Jan. 2020 (BREXIT); the future regulatory situation is currently unclear.</w:t>
      </w:r>
    </w:p>
  </w:footnote>
  <w:footnote w:id="2">
    <w:p w14:paraId="061820E9" w14:textId="77777777" w:rsidR="009E0CB1" w:rsidRPr="00A20561" w:rsidRDefault="009E0CB1" w:rsidP="009E0CB1">
      <w:pPr>
        <w:pStyle w:val="FootnoteText"/>
        <w:rPr>
          <w:rFonts w:ascii="Calibri" w:hAnsi="Calibri" w:cs="Calibri"/>
        </w:rPr>
      </w:pPr>
      <w:r w:rsidRPr="00A20561">
        <w:rPr>
          <w:rStyle w:val="FootnoteReference"/>
          <w:rFonts w:ascii="Calibri" w:hAnsi="Calibri" w:cs="Calibri"/>
        </w:rPr>
        <w:footnoteRef/>
      </w:r>
      <w:r w:rsidRPr="00A20561">
        <w:rPr>
          <w:rFonts w:ascii="Calibri" w:hAnsi="Calibri" w:cs="Calibri"/>
        </w:rPr>
        <w:t xml:space="preserve"> </w:t>
      </w:r>
      <w:r w:rsidRPr="008018F3">
        <w:rPr>
          <w:rFonts w:ascii="Calibri" w:hAnsi="Calibri" w:cs="Calibri"/>
          <w:sz w:val="18"/>
          <w:szCs w:val="18"/>
        </w:rPr>
        <w:t xml:space="preserve">Until </w:t>
      </w:r>
      <w:proofErr w:type="spellStart"/>
      <w:r w:rsidRPr="008018F3">
        <w:rPr>
          <w:rFonts w:ascii="Calibri" w:hAnsi="Calibri" w:cs="Calibri"/>
          <w:sz w:val="18"/>
          <w:szCs w:val="18"/>
        </w:rPr>
        <w:t>Eudamed</w:t>
      </w:r>
      <w:proofErr w:type="spellEnd"/>
      <w:r w:rsidRPr="008018F3">
        <w:rPr>
          <w:rFonts w:ascii="Calibri" w:hAnsi="Calibri" w:cs="Calibri"/>
          <w:sz w:val="18"/>
          <w:szCs w:val="18"/>
        </w:rPr>
        <w:t xml:space="preserve"> is functioning, reports are submitted via email to the Vigilance Contact Point listed on the E</w:t>
      </w:r>
      <w:r>
        <w:rPr>
          <w:rFonts w:ascii="Calibri" w:hAnsi="Calibri" w:cs="Calibri"/>
          <w:sz w:val="18"/>
          <w:szCs w:val="18"/>
        </w:rPr>
        <w:t>U</w:t>
      </w:r>
      <w:r w:rsidRPr="008018F3">
        <w:rPr>
          <w:rFonts w:ascii="Calibri" w:hAnsi="Calibri" w:cs="Calibri"/>
          <w:sz w:val="18"/>
          <w:szCs w:val="18"/>
        </w:rPr>
        <w:t xml:space="preserve"> Commission website.</w:t>
      </w:r>
      <w:r w:rsidRPr="00A20561">
        <w:rPr>
          <w:rFonts w:ascii="Calibri" w:hAnsi="Calibri" w:cs="Calibri"/>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BD13" w14:textId="66BCE416" w:rsidR="008C7BDC" w:rsidRDefault="00FE766F">
    <w:pPr>
      <w:pStyle w:val="Header"/>
    </w:pPr>
    <w:r>
      <w:rPr>
        <w:noProof/>
      </w:rPr>
      <w:pict w14:anchorId="6BB7C4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8C7BDC"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1549B935" w:rsidR="008C7BDC" w:rsidRPr="00005310" w:rsidRDefault="008C7BDC" w:rsidP="00893C3F">
          <w:pPr>
            <w:widowControl w:val="0"/>
            <w:ind w:left="-356" w:firstLine="356"/>
            <w:jc w:val="center"/>
            <w:rPr>
              <w:b/>
            </w:rPr>
          </w:pPr>
          <w:r>
            <w:rPr>
              <w:b/>
              <w:noProof/>
            </w:rPr>
            <w:drawing>
              <wp:anchor distT="0" distB="0" distL="114300" distR="114300" simplePos="0" relativeHeight="251677696"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7DB760E4" w:rsidR="008C7BDC" w:rsidRPr="00D843CB" w:rsidRDefault="00D176E0" w:rsidP="00893C3F">
          <w:pPr>
            <w:widowControl w:val="0"/>
            <w:jc w:val="center"/>
            <w:rPr>
              <w:sz w:val="22"/>
              <w:szCs w:val="22"/>
            </w:rPr>
          </w:pPr>
          <w:r>
            <w:rPr>
              <w:sz w:val="36"/>
              <w:szCs w:val="36"/>
            </w:rPr>
            <w:t>Advisory Notices, Recalls &amp; Vigilance</w:t>
          </w:r>
          <w:r w:rsidR="00AB2972">
            <w:rPr>
              <w:sz w:val="36"/>
              <w:szCs w:val="36"/>
            </w:rPr>
            <w:t xml:space="preserve">, </w:t>
          </w:r>
          <w:r w:rsidR="00AB2972" w:rsidRPr="00E93041">
            <w:rPr>
              <w:sz w:val="36"/>
              <w:szCs w:val="36"/>
            </w:rPr>
            <w:t>Medical Device Incident Reporting &amp; Field Safety Corrective Actions</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8C7BDC" w:rsidRDefault="008C7BDC" w:rsidP="00893C3F">
          <w:pPr>
            <w:jc w:val="center"/>
            <w:rPr>
              <w:sz w:val="22"/>
              <w:szCs w:val="22"/>
            </w:rPr>
          </w:pPr>
          <w:r>
            <w:rPr>
              <w:sz w:val="22"/>
              <w:szCs w:val="22"/>
            </w:rPr>
            <w:t>QSP</w:t>
          </w:r>
        </w:p>
        <w:p w14:paraId="2CC6FBD5" w14:textId="050AD2C7" w:rsidR="008C7BDC" w:rsidRPr="00D843CB" w:rsidRDefault="008C7BDC" w:rsidP="00893C3F">
          <w:pPr>
            <w:jc w:val="center"/>
            <w:rPr>
              <w:sz w:val="22"/>
              <w:szCs w:val="22"/>
            </w:rPr>
          </w:pPr>
          <w:r>
            <w:rPr>
              <w:sz w:val="22"/>
              <w:szCs w:val="22"/>
            </w:rPr>
            <w:t>9.1-5</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07C7195F" w:rsidR="008C7BDC" w:rsidRPr="00D843CB" w:rsidRDefault="008C7BDC" w:rsidP="00893C3F">
          <w:pPr>
            <w:jc w:val="center"/>
            <w:rPr>
              <w:sz w:val="22"/>
              <w:szCs w:val="22"/>
            </w:rPr>
          </w:pPr>
          <w:r w:rsidRPr="00D843CB">
            <w:rPr>
              <w:sz w:val="22"/>
              <w:szCs w:val="22"/>
            </w:rPr>
            <w:t xml:space="preserve">Rev. </w:t>
          </w:r>
          <w:r w:rsidR="00D706E6">
            <w:rPr>
              <w:sz w:val="22"/>
              <w:szCs w:val="22"/>
            </w:rPr>
            <w:t>1</w:t>
          </w:r>
          <w:r w:rsidR="00473373">
            <w:rPr>
              <w:sz w:val="22"/>
              <w:szCs w:val="22"/>
            </w:rPr>
            <w:t>2</w:t>
          </w:r>
        </w:p>
      </w:tc>
    </w:tr>
    <w:tr w:rsidR="008C7BDC"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8C7BDC" w:rsidRPr="00005310" w:rsidRDefault="008C7BDC"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8C7BDC" w:rsidRPr="00D843CB" w:rsidRDefault="008C7BDC"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8C7BDC" w:rsidRPr="00D843CB" w:rsidRDefault="008C7BDC" w:rsidP="00893C3F">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24B501C4" w:rsidR="008C7BDC" w:rsidRPr="00D843CB" w:rsidRDefault="00C41C13" w:rsidP="00893C3F">
          <w:pPr>
            <w:jc w:val="center"/>
            <w:rPr>
              <w:sz w:val="16"/>
              <w:szCs w:val="16"/>
            </w:rPr>
          </w:pPr>
          <w:r w:rsidRPr="00C41C13">
            <w:rPr>
              <w:sz w:val="16"/>
              <w:szCs w:val="16"/>
            </w:rPr>
            <w:t xml:space="preserve">Page </w:t>
          </w:r>
          <w:r w:rsidRPr="00C41C13">
            <w:rPr>
              <w:sz w:val="16"/>
              <w:szCs w:val="16"/>
            </w:rPr>
            <w:fldChar w:fldCharType="begin"/>
          </w:r>
          <w:r w:rsidRPr="00C41C13">
            <w:rPr>
              <w:sz w:val="16"/>
              <w:szCs w:val="16"/>
            </w:rPr>
            <w:instrText xml:space="preserve"> PAGE </w:instrText>
          </w:r>
          <w:r w:rsidRPr="00C41C13">
            <w:rPr>
              <w:sz w:val="16"/>
              <w:szCs w:val="16"/>
            </w:rPr>
            <w:fldChar w:fldCharType="separate"/>
          </w:r>
          <w:r>
            <w:rPr>
              <w:noProof/>
              <w:sz w:val="16"/>
              <w:szCs w:val="16"/>
            </w:rPr>
            <w:t>1</w:t>
          </w:r>
          <w:r w:rsidRPr="00C41C13">
            <w:rPr>
              <w:sz w:val="16"/>
              <w:szCs w:val="16"/>
            </w:rPr>
            <w:fldChar w:fldCharType="end"/>
          </w:r>
          <w:r w:rsidRPr="00C41C13">
            <w:rPr>
              <w:sz w:val="16"/>
              <w:szCs w:val="16"/>
            </w:rPr>
            <w:t xml:space="preserve"> of </w:t>
          </w:r>
          <w:r w:rsidRPr="00C41C13">
            <w:rPr>
              <w:sz w:val="16"/>
              <w:szCs w:val="16"/>
            </w:rPr>
            <w:fldChar w:fldCharType="begin"/>
          </w:r>
          <w:r w:rsidRPr="00C41C13">
            <w:rPr>
              <w:sz w:val="16"/>
              <w:szCs w:val="16"/>
            </w:rPr>
            <w:instrText xml:space="preserve"> NUMPAGES </w:instrText>
          </w:r>
          <w:r w:rsidRPr="00C41C13">
            <w:rPr>
              <w:sz w:val="16"/>
              <w:szCs w:val="16"/>
            </w:rPr>
            <w:fldChar w:fldCharType="separate"/>
          </w:r>
          <w:r>
            <w:rPr>
              <w:noProof/>
              <w:sz w:val="16"/>
              <w:szCs w:val="16"/>
            </w:rPr>
            <w:t>16</w:t>
          </w:r>
          <w:r w:rsidRPr="00C41C13">
            <w:rPr>
              <w:sz w:val="16"/>
              <w:szCs w:val="16"/>
            </w:rPr>
            <w:fldChar w:fldCharType="end"/>
          </w:r>
        </w:p>
      </w:tc>
    </w:tr>
  </w:tbl>
  <w:p w14:paraId="4BA45454" w14:textId="3491F570" w:rsidR="008C7BDC" w:rsidRDefault="008C7B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1EB7" w14:textId="544E5B78" w:rsidR="008C7BDC" w:rsidRDefault="00FE766F">
    <w:pPr>
      <w:pStyle w:val="Header"/>
    </w:pPr>
    <w:r>
      <w:rPr>
        <w:noProof/>
      </w:rPr>
      <w:pict w14:anchorId="0AF31F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A83"/>
    <w:multiLevelType w:val="hybridMultilevel"/>
    <w:tmpl w:val="9FDE6DC4"/>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A0F01BA"/>
    <w:multiLevelType w:val="hybridMultilevel"/>
    <w:tmpl w:val="DC0A25F0"/>
    <w:lvl w:ilvl="0" w:tplc="04090001">
      <w:start w:val="1"/>
      <w:numFmt w:val="bullet"/>
      <w:lvlText w:val=""/>
      <w:lvlJc w:val="left"/>
      <w:pPr>
        <w:ind w:left="634" w:hanging="360"/>
      </w:pPr>
      <w:rPr>
        <w:rFonts w:ascii="Symbol" w:hAnsi="Symbol" w:hint="default"/>
      </w:rPr>
    </w:lvl>
    <w:lvl w:ilvl="1" w:tplc="04090003">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2" w15:restartNumberingAfterBreak="0">
    <w:nsid w:val="0ADD7FE8"/>
    <w:multiLevelType w:val="hybridMultilevel"/>
    <w:tmpl w:val="65F84D16"/>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3" w15:restartNumberingAfterBreak="0">
    <w:nsid w:val="0B532675"/>
    <w:multiLevelType w:val="multilevel"/>
    <w:tmpl w:val="DC1A7C42"/>
    <w:lvl w:ilvl="0">
      <w:start w:val="1"/>
      <w:numFmt w:val="decimal"/>
      <w:lvlText w:val="%1."/>
      <w:lvlJc w:val="left"/>
      <w:pPr>
        <w:tabs>
          <w:tab w:val="num" w:pos="360"/>
        </w:tabs>
        <w:ind w:left="360" w:hanging="360"/>
      </w:pPr>
      <w:rPr>
        <w:b w:val="0"/>
      </w:rPr>
    </w:lvl>
    <w:lvl w:ilvl="1">
      <w:start w:val="1"/>
      <w:numFmt w:val="decimal"/>
      <w:lvlText w:val="%1.%2."/>
      <w:lvlJc w:val="left"/>
      <w:pPr>
        <w:tabs>
          <w:tab w:val="num" w:pos="1062"/>
        </w:tabs>
        <w:ind w:left="1062" w:hanging="432"/>
      </w:pPr>
      <w:rPr>
        <w:b w:val="0"/>
      </w:rPr>
    </w:lvl>
    <w:lvl w:ilvl="2">
      <w:start w:val="1"/>
      <w:numFmt w:val="bullet"/>
      <w:lvlText w:val=""/>
      <w:lvlJc w:val="left"/>
      <w:pPr>
        <w:ind w:left="990" w:hanging="360"/>
      </w:pPr>
      <w:rPr>
        <w:rFonts w:ascii="Symbol" w:hAnsi="Symbol" w:hint="default"/>
      </w:rPr>
    </w:lvl>
    <w:lvl w:ilvl="3">
      <w:start w:val="1"/>
      <w:numFmt w:val="decimal"/>
      <w:lvlText w:val="%1.%2.%3.%4."/>
      <w:lvlJc w:val="left"/>
      <w:pPr>
        <w:tabs>
          <w:tab w:val="num" w:pos="2160"/>
        </w:tabs>
        <w:ind w:left="1728" w:hanging="648"/>
      </w:pPr>
      <w:rPr>
        <w:b w:val="0"/>
        <w:bCs/>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0C387D6E"/>
    <w:multiLevelType w:val="hybridMultilevel"/>
    <w:tmpl w:val="86329202"/>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5" w15:restartNumberingAfterBreak="0">
    <w:nsid w:val="0D133E94"/>
    <w:multiLevelType w:val="hybridMultilevel"/>
    <w:tmpl w:val="ED686B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0FA6ED7"/>
    <w:multiLevelType w:val="hybridMultilevel"/>
    <w:tmpl w:val="D6841DCC"/>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7" w15:restartNumberingAfterBreak="0">
    <w:nsid w:val="1406717F"/>
    <w:multiLevelType w:val="multilevel"/>
    <w:tmpl w:val="B1688084"/>
    <w:lvl w:ilvl="0">
      <w:start w:val="7"/>
      <w:numFmt w:val="decimal"/>
      <w:lvlText w:val="%1"/>
      <w:lvlJc w:val="left"/>
      <w:pPr>
        <w:ind w:left="360" w:hanging="360"/>
      </w:pPr>
      <w:rPr>
        <w:rFonts w:hint="default"/>
      </w:rPr>
    </w:lvl>
    <w:lvl w:ilvl="1">
      <w:start w:val="1"/>
      <w:numFmt w:val="decimal"/>
      <w:lvlText w:val="%1.%2"/>
      <w:lvlJc w:val="left"/>
      <w:pPr>
        <w:ind w:left="630" w:hanging="360"/>
      </w:pPr>
      <w:rPr>
        <w:rFonts w:hint="default"/>
        <w:b w:val="0"/>
        <w:bCs/>
      </w:rPr>
    </w:lvl>
    <w:lvl w:ilvl="2">
      <w:start w:val="1"/>
      <w:numFmt w:val="upperLetter"/>
      <w:lvlText w:val="%1.%2.%3"/>
      <w:lvlJc w:val="left"/>
      <w:pPr>
        <w:ind w:left="198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8" w15:restartNumberingAfterBreak="0">
    <w:nsid w:val="14A94E2F"/>
    <w:multiLevelType w:val="hybridMultilevel"/>
    <w:tmpl w:val="43D4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2798F"/>
    <w:multiLevelType w:val="hybridMultilevel"/>
    <w:tmpl w:val="6CBCC59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0" w15:restartNumberingAfterBreak="0">
    <w:nsid w:val="1EEF7B80"/>
    <w:multiLevelType w:val="hybridMultilevel"/>
    <w:tmpl w:val="5656B7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687FDF"/>
    <w:multiLevelType w:val="hybridMultilevel"/>
    <w:tmpl w:val="C220F37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0046DD"/>
    <w:multiLevelType w:val="multilevel"/>
    <w:tmpl w:val="DC1A7C42"/>
    <w:lvl w:ilvl="0">
      <w:start w:val="1"/>
      <w:numFmt w:val="decimal"/>
      <w:lvlText w:val="%1."/>
      <w:lvlJc w:val="left"/>
      <w:pPr>
        <w:tabs>
          <w:tab w:val="num" w:pos="360"/>
        </w:tabs>
        <w:ind w:left="360" w:hanging="360"/>
      </w:pPr>
      <w:rPr>
        <w:b w:val="0"/>
      </w:rPr>
    </w:lvl>
    <w:lvl w:ilvl="1">
      <w:start w:val="1"/>
      <w:numFmt w:val="decimal"/>
      <w:lvlText w:val="%1.%2."/>
      <w:lvlJc w:val="left"/>
      <w:pPr>
        <w:tabs>
          <w:tab w:val="num" w:pos="1062"/>
        </w:tabs>
        <w:ind w:left="1062" w:hanging="432"/>
      </w:pPr>
      <w:rPr>
        <w:b w:val="0"/>
      </w:rPr>
    </w:lvl>
    <w:lvl w:ilvl="2">
      <w:start w:val="1"/>
      <w:numFmt w:val="bullet"/>
      <w:lvlText w:val=""/>
      <w:lvlJc w:val="left"/>
      <w:pPr>
        <w:ind w:left="990" w:hanging="360"/>
      </w:pPr>
      <w:rPr>
        <w:rFonts w:ascii="Symbol" w:hAnsi="Symbol" w:hint="default"/>
      </w:rPr>
    </w:lvl>
    <w:lvl w:ilvl="3">
      <w:start w:val="1"/>
      <w:numFmt w:val="decimal"/>
      <w:lvlText w:val="%1.%2.%3.%4."/>
      <w:lvlJc w:val="left"/>
      <w:pPr>
        <w:tabs>
          <w:tab w:val="num" w:pos="2160"/>
        </w:tabs>
        <w:ind w:left="1728" w:hanging="648"/>
      </w:pPr>
      <w:rPr>
        <w:b w:val="0"/>
        <w:bCs/>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34C23ADC"/>
    <w:multiLevelType w:val="multilevel"/>
    <w:tmpl w:val="DC1A7C42"/>
    <w:lvl w:ilvl="0">
      <w:start w:val="1"/>
      <w:numFmt w:val="decimal"/>
      <w:lvlText w:val="%1."/>
      <w:lvlJc w:val="left"/>
      <w:pPr>
        <w:tabs>
          <w:tab w:val="num" w:pos="360"/>
        </w:tabs>
        <w:ind w:left="360" w:hanging="360"/>
      </w:pPr>
      <w:rPr>
        <w:b w:val="0"/>
      </w:rPr>
    </w:lvl>
    <w:lvl w:ilvl="1">
      <w:start w:val="1"/>
      <w:numFmt w:val="decimal"/>
      <w:lvlText w:val="%1.%2."/>
      <w:lvlJc w:val="left"/>
      <w:pPr>
        <w:tabs>
          <w:tab w:val="num" w:pos="1062"/>
        </w:tabs>
        <w:ind w:left="1062" w:hanging="432"/>
      </w:pPr>
      <w:rPr>
        <w:b w:val="0"/>
      </w:rPr>
    </w:lvl>
    <w:lvl w:ilvl="2">
      <w:start w:val="1"/>
      <w:numFmt w:val="bullet"/>
      <w:lvlText w:val=""/>
      <w:lvlJc w:val="left"/>
      <w:pPr>
        <w:ind w:left="990" w:hanging="360"/>
      </w:pPr>
      <w:rPr>
        <w:rFonts w:ascii="Symbol" w:hAnsi="Symbol" w:hint="default"/>
      </w:rPr>
    </w:lvl>
    <w:lvl w:ilvl="3">
      <w:start w:val="1"/>
      <w:numFmt w:val="decimal"/>
      <w:lvlText w:val="%1.%2.%3.%4."/>
      <w:lvlJc w:val="left"/>
      <w:pPr>
        <w:tabs>
          <w:tab w:val="num" w:pos="2160"/>
        </w:tabs>
        <w:ind w:left="1728" w:hanging="648"/>
      </w:pPr>
      <w:rPr>
        <w:b w:val="0"/>
        <w:bCs/>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371B4EFE"/>
    <w:multiLevelType w:val="hybridMultilevel"/>
    <w:tmpl w:val="798ECBE8"/>
    <w:lvl w:ilvl="0" w:tplc="04090001">
      <w:start w:val="1"/>
      <w:numFmt w:val="bullet"/>
      <w:lvlText w:val=""/>
      <w:lvlJc w:val="left"/>
      <w:pPr>
        <w:ind w:left="2610" w:hanging="360"/>
      </w:pPr>
      <w:rPr>
        <w:rFonts w:ascii="Symbol" w:hAnsi="Symbo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6" w15:restartNumberingAfterBreak="0">
    <w:nsid w:val="3A6155F8"/>
    <w:multiLevelType w:val="hybridMultilevel"/>
    <w:tmpl w:val="CB7871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5BCA14DE"/>
    <w:multiLevelType w:val="hybridMultilevel"/>
    <w:tmpl w:val="5992B82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64E16886"/>
    <w:multiLevelType w:val="multilevel"/>
    <w:tmpl w:val="DC1A7C42"/>
    <w:lvl w:ilvl="0">
      <w:start w:val="1"/>
      <w:numFmt w:val="decimal"/>
      <w:lvlText w:val="%1."/>
      <w:lvlJc w:val="left"/>
      <w:pPr>
        <w:tabs>
          <w:tab w:val="num" w:pos="360"/>
        </w:tabs>
        <w:ind w:left="360" w:hanging="360"/>
      </w:pPr>
      <w:rPr>
        <w:b w:val="0"/>
      </w:rPr>
    </w:lvl>
    <w:lvl w:ilvl="1">
      <w:start w:val="1"/>
      <w:numFmt w:val="decimal"/>
      <w:lvlText w:val="%1.%2."/>
      <w:lvlJc w:val="left"/>
      <w:pPr>
        <w:tabs>
          <w:tab w:val="num" w:pos="1062"/>
        </w:tabs>
        <w:ind w:left="1062" w:hanging="432"/>
      </w:pPr>
      <w:rPr>
        <w:b w:val="0"/>
      </w:rPr>
    </w:lvl>
    <w:lvl w:ilvl="2">
      <w:start w:val="1"/>
      <w:numFmt w:val="bullet"/>
      <w:lvlText w:val=""/>
      <w:lvlJc w:val="left"/>
      <w:pPr>
        <w:ind w:left="990" w:hanging="360"/>
      </w:pPr>
      <w:rPr>
        <w:rFonts w:ascii="Symbol" w:hAnsi="Symbol" w:hint="default"/>
      </w:rPr>
    </w:lvl>
    <w:lvl w:ilvl="3">
      <w:start w:val="1"/>
      <w:numFmt w:val="decimal"/>
      <w:lvlText w:val="%1.%2.%3.%4."/>
      <w:lvlJc w:val="left"/>
      <w:pPr>
        <w:tabs>
          <w:tab w:val="num" w:pos="2160"/>
        </w:tabs>
        <w:ind w:left="1728" w:hanging="648"/>
      </w:pPr>
      <w:rPr>
        <w:b w:val="0"/>
        <w:bCs/>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70066E11"/>
    <w:multiLevelType w:val="hybridMultilevel"/>
    <w:tmpl w:val="AE06CDF6"/>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725612A8"/>
    <w:multiLevelType w:val="hybridMultilevel"/>
    <w:tmpl w:val="9E6635D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77B115AC"/>
    <w:multiLevelType w:val="hybridMultilevel"/>
    <w:tmpl w:val="43F22300"/>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781D5514"/>
    <w:multiLevelType w:val="multilevel"/>
    <w:tmpl w:val="B49EC8CA"/>
    <w:lvl w:ilvl="0">
      <w:start w:val="1"/>
      <w:numFmt w:val="decimal"/>
      <w:lvlText w:val="%1.0"/>
      <w:lvlJc w:val="left"/>
      <w:pPr>
        <w:ind w:left="360" w:hanging="360"/>
      </w:pPr>
      <w:rPr>
        <w:rFonts w:hint="default"/>
        <w:b w:val="0"/>
        <w:bCs w:val="0"/>
        <w:i w:val="0"/>
        <w:iCs w:val="0"/>
        <w:sz w:val="20"/>
        <w:szCs w:val="20"/>
      </w:rPr>
    </w:lvl>
    <w:lvl w:ilvl="1">
      <w:numFmt w:val="decimal"/>
      <w:lvlText w:val="%1.%2"/>
      <w:lvlJc w:val="left"/>
      <w:pPr>
        <w:ind w:left="90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8A92D6C"/>
    <w:multiLevelType w:val="hybridMultilevel"/>
    <w:tmpl w:val="77DEE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533883">
    <w:abstractNumId w:val="24"/>
  </w:num>
  <w:num w:numId="2" w16cid:durableId="1506437719">
    <w:abstractNumId w:val="12"/>
  </w:num>
  <w:num w:numId="3" w16cid:durableId="827096941">
    <w:abstractNumId w:val="18"/>
  </w:num>
  <w:num w:numId="4" w16cid:durableId="1729692115">
    <w:abstractNumId w:val="17"/>
  </w:num>
  <w:num w:numId="5" w16cid:durableId="1143699846">
    <w:abstractNumId w:val="19"/>
  </w:num>
  <w:num w:numId="6" w16cid:durableId="1335106449">
    <w:abstractNumId w:val="11"/>
  </w:num>
  <w:num w:numId="7" w16cid:durableId="1303733991">
    <w:abstractNumId w:val="16"/>
  </w:num>
  <w:num w:numId="8" w16cid:durableId="1674607608">
    <w:abstractNumId w:val="21"/>
  </w:num>
  <w:num w:numId="9" w16cid:durableId="524296030">
    <w:abstractNumId w:val="22"/>
  </w:num>
  <w:num w:numId="10" w16cid:durableId="1050693959">
    <w:abstractNumId w:val="23"/>
  </w:num>
  <w:num w:numId="11" w16cid:durableId="327441930">
    <w:abstractNumId w:val="0"/>
  </w:num>
  <w:num w:numId="12" w16cid:durableId="919173231">
    <w:abstractNumId w:val="9"/>
  </w:num>
  <w:num w:numId="13" w16cid:durableId="1973517674">
    <w:abstractNumId w:val="6"/>
  </w:num>
  <w:num w:numId="14" w16cid:durableId="1924366096">
    <w:abstractNumId w:val="4"/>
  </w:num>
  <w:num w:numId="15" w16cid:durableId="1955552245">
    <w:abstractNumId w:val="2"/>
  </w:num>
  <w:num w:numId="16" w16cid:durableId="1850606888">
    <w:abstractNumId w:val="15"/>
  </w:num>
  <w:num w:numId="17" w16cid:durableId="1752773463">
    <w:abstractNumId w:val="8"/>
  </w:num>
  <w:num w:numId="18" w16cid:durableId="1135411817">
    <w:abstractNumId w:val="25"/>
  </w:num>
  <w:num w:numId="19" w16cid:durableId="726801083">
    <w:abstractNumId w:val="13"/>
  </w:num>
  <w:num w:numId="20" w16cid:durableId="924875681">
    <w:abstractNumId w:val="5"/>
  </w:num>
  <w:num w:numId="21" w16cid:durableId="562790241">
    <w:abstractNumId w:val="20"/>
  </w:num>
  <w:num w:numId="22" w16cid:durableId="1423649420">
    <w:abstractNumId w:val="14"/>
  </w:num>
  <w:num w:numId="23" w16cid:durableId="1154447950">
    <w:abstractNumId w:val="3"/>
  </w:num>
  <w:num w:numId="24" w16cid:durableId="530800330">
    <w:abstractNumId w:val="1"/>
  </w:num>
  <w:num w:numId="25" w16cid:durableId="1113791124">
    <w:abstractNumId w:val="10"/>
  </w:num>
  <w:num w:numId="26" w16cid:durableId="1495799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71F7"/>
    <w:rsid w:val="0001413F"/>
    <w:rsid w:val="00024A8B"/>
    <w:rsid w:val="00036BDA"/>
    <w:rsid w:val="0004341D"/>
    <w:rsid w:val="00070128"/>
    <w:rsid w:val="00087F5C"/>
    <w:rsid w:val="0009250D"/>
    <w:rsid w:val="00093E93"/>
    <w:rsid w:val="00095EEE"/>
    <w:rsid w:val="000A73C6"/>
    <w:rsid w:val="000D5BBC"/>
    <w:rsid w:val="000F7FB2"/>
    <w:rsid w:val="00105A86"/>
    <w:rsid w:val="00127EBE"/>
    <w:rsid w:val="00160461"/>
    <w:rsid w:val="00162DBB"/>
    <w:rsid w:val="0017023B"/>
    <w:rsid w:val="00181168"/>
    <w:rsid w:val="001833CF"/>
    <w:rsid w:val="001902CC"/>
    <w:rsid w:val="00192104"/>
    <w:rsid w:val="0019583B"/>
    <w:rsid w:val="001A33F3"/>
    <w:rsid w:val="001A5949"/>
    <w:rsid w:val="001B4397"/>
    <w:rsid w:val="001B62DB"/>
    <w:rsid w:val="001C4071"/>
    <w:rsid w:val="001C76FA"/>
    <w:rsid w:val="001E5965"/>
    <w:rsid w:val="001E6CD9"/>
    <w:rsid w:val="001E77F2"/>
    <w:rsid w:val="00236B05"/>
    <w:rsid w:val="00241A21"/>
    <w:rsid w:val="0026069C"/>
    <w:rsid w:val="00282D9B"/>
    <w:rsid w:val="002851DE"/>
    <w:rsid w:val="002B5A4E"/>
    <w:rsid w:val="002B6C81"/>
    <w:rsid w:val="002D0BE0"/>
    <w:rsid w:val="002D2564"/>
    <w:rsid w:val="002E2A89"/>
    <w:rsid w:val="002E49D5"/>
    <w:rsid w:val="002F68AC"/>
    <w:rsid w:val="00327A14"/>
    <w:rsid w:val="0033157F"/>
    <w:rsid w:val="00346E36"/>
    <w:rsid w:val="003700D4"/>
    <w:rsid w:val="003771F5"/>
    <w:rsid w:val="00381BE3"/>
    <w:rsid w:val="003A0167"/>
    <w:rsid w:val="003A01B6"/>
    <w:rsid w:val="003A076C"/>
    <w:rsid w:val="003A07F8"/>
    <w:rsid w:val="003A46F0"/>
    <w:rsid w:val="003D35F2"/>
    <w:rsid w:val="003E13D8"/>
    <w:rsid w:val="00407806"/>
    <w:rsid w:val="004251BE"/>
    <w:rsid w:val="00450256"/>
    <w:rsid w:val="00454254"/>
    <w:rsid w:val="004660D0"/>
    <w:rsid w:val="00467425"/>
    <w:rsid w:val="00473373"/>
    <w:rsid w:val="004A3FC0"/>
    <w:rsid w:val="004F2FA2"/>
    <w:rsid w:val="004F37A9"/>
    <w:rsid w:val="004F6432"/>
    <w:rsid w:val="00522786"/>
    <w:rsid w:val="0055356B"/>
    <w:rsid w:val="00555B83"/>
    <w:rsid w:val="00571FAC"/>
    <w:rsid w:val="00577BF1"/>
    <w:rsid w:val="00594836"/>
    <w:rsid w:val="005A094E"/>
    <w:rsid w:val="005A2465"/>
    <w:rsid w:val="005A3139"/>
    <w:rsid w:val="005B0031"/>
    <w:rsid w:val="005D16B2"/>
    <w:rsid w:val="005F02F8"/>
    <w:rsid w:val="00606C6E"/>
    <w:rsid w:val="00615F96"/>
    <w:rsid w:val="00624D08"/>
    <w:rsid w:val="0063691D"/>
    <w:rsid w:val="00646F0F"/>
    <w:rsid w:val="00647C38"/>
    <w:rsid w:val="006513FE"/>
    <w:rsid w:val="006574BD"/>
    <w:rsid w:val="006659B1"/>
    <w:rsid w:val="0067259D"/>
    <w:rsid w:val="006A1EA4"/>
    <w:rsid w:val="006C0D64"/>
    <w:rsid w:val="006C66A0"/>
    <w:rsid w:val="006E0E76"/>
    <w:rsid w:val="006F2AFD"/>
    <w:rsid w:val="006F3E24"/>
    <w:rsid w:val="00712F97"/>
    <w:rsid w:val="007163F3"/>
    <w:rsid w:val="0072231F"/>
    <w:rsid w:val="0072381B"/>
    <w:rsid w:val="007445F8"/>
    <w:rsid w:val="007A0049"/>
    <w:rsid w:val="007E2E4C"/>
    <w:rsid w:val="00807D33"/>
    <w:rsid w:val="0081257D"/>
    <w:rsid w:val="00812A49"/>
    <w:rsid w:val="00812E55"/>
    <w:rsid w:val="00823C04"/>
    <w:rsid w:val="0082743D"/>
    <w:rsid w:val="008411E6"/>
    <w:rsid w:val="008476C3"/>
    <w:rsid w:val="008575E1"/>
    <w:rsid w:val="00893C3F"/>
    <w:rsid w:val="008A64E4"/>
    <w:rsid w:val="008C7542"/>
    <w:rsid w:val="008C7BDC"/>
    <w:rsid w:val="008D1AC7"/>
    <w:rsid w:val="008E3E79"/>
    <w:rsid w:val="00906DF2"/>
    <w:rsid w:val="00926040"/>
    <w:rsid w:val="00933858"/>
    <w:rsid w:val="0094340B"/>
    <w:rsid w:val="00944CCE"/>
    <w:rsid w:val="00947745"/>
    <w:rsid w:val="00953AE7"/>
    <w:rsid w:val="009733B3"/>
    <w:rsid w:val="009C4DFE"/>
    <w:rsid w:val="009D5440"/>
    <w:rsid w:val="009E0CB1"/>
    <w:rsid w:val="009E3610"/>
    <w:rsid w:val="009F40A2"/>
    <w:rsid w:val="00A009BE"/>
    <w:rsid w:val="00A018D0"/>
    <w:rsid w:val="00A04D12"/>
    <w:rsid w:val="00A066F7"/>
    <w:rsid w:val="00A315DE"/>
    <w:rsid w:val="00A64FDB"/>
    <w:rsid w:val="00A76E5A"/>
    <w:rsid w:val="00AA0F8A"/>
    <w:rsid w:val="00AA2AF0"/>
    <w:rsid w:val="00AA54A5"/>
    <w:rsid w:val="00AB2972"/>
    <w:rsid w:val="00AC3D42"/>
    <w:rsid w:val="00AD04BB"/>
    <w:rsid w:val="00AD28F1"/>
    <w:rsid w:val="00AF2187"/>
    <w:rsid w:val="00B00791"/>
    <w:rsid w:val="00B0086E"/>
    <w:rsid w:val="00B040AB"/>
    <w:rsid w:val="00B24EDA"/>
    <w:rsid w:val="00B66B4F"/>
    <w:rsid w:val="00B86EDE"/>
    <w:rsid w:val="00BE6DD9"/>
    <w:rsid w:val="00C02786"/>
    <w:rsid w:val="00C22F44"/>
    <w:rsid w:val="00C40434"/>
    <w:rsid w:val="00C41C13"/>
    <w:rsid w:val="00CD0C9E"/>
    <w:rsid w:val="00CE783A"/>
    <w:rsid w:val="00D072A6"/>
    <w:rsid w:val="00D11A3B"/>
    <w:rsid w:val="00D176E0"/>
    <w:rsid w:val="00D35CC4"/>
    <w:rsid w:val="00D50A8A"/>
    <w:rsid w:val="00D56E61"/>
    <w:rsid w:val="00D650DC"/>
    <w:rsid w:val="00D650F6"/>
    <w:rsid w:val="00D706E6"/>
    <w:rsid w:val="00D73CFB"/>
    <w:rsid w:val="00D85A53"/>
    <w:rsid w:val="00DA4588"/>
    <w:rsid w:val="00DB355B"/>
    <w:rsid w:val="00DC0431"/>
    <w:rsid w:val="00DC670E"/>
    <w:rsid w:val="00DD4E8E"/>
    <w:rsid w:val="00DD5BA6"/>
    <w:rsid w:val="00DE0CD7"/>
    <w:rsid w:val="00DE0CF3"/>
    <w:rsid w:val="00DF14D5"/>
    <w:rsid w:val="00DF3368"/>
    <w:rsid w:val="00E00428"/>
    <w:rsid w:val="00E01E46"/>
    <w:rsid w:val="00E0530A"/>
    <w:rsid w:val="00E07BA4"/>
    <w:rsid w:val="00E1452C"/>
    <w:rsid w:val="00E21FA8"/>
    <w:rsid w:val="00E40CE4"/>
    <w:rsid w:val="00E47313"/>
    <w:rsid w:val="00E73BFD"/>
    <w:rsid w:val="00E926B1"/>
    <w:rsid w:val="00E93041"/>
    <w:rsid w:val="00EA5940"/>
    <w:rsid w:val="00EC6184"/>
    <w:rsid w:val="00EE0D74"/>
    <w:rsid w:val="00EF2A7B"/>
    <w:rsid w:val="00EF5B57"/>
    <w:rsid w:val="00F12077"/>
    <w:rsid w:val="00F170AC"/>
    <w:rsid w:val="00F26F54"/>
    <w:rsid w:val="00F27B96"/>
    <w:rsid w:val="00F55519"/>
    <w:rsid w:val="00F926C2"/>
    <w:rsid w:val="00FA70C7"/>
    <w:rsid w:val="00FA7465"/>
    <w:rsid w:val="00FD2420"/>
    <w:rsid w:val="00FE32F6"/>
    <w:rsid w:val="00FE47F6"/>
    <w:rsid w:val="00FE766F"/>
    <w:rsid w:val="00FF2B21"/>
    <w:rsid w:val="00FF53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58D23445-3227-AE4B-B431-95DB774CE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paragraph" w:styleId="Heading1">
    <w:name w:val="heading 1"/>
    <w:basedOn w:val="Normal"/>
    <w:next w:val="Normal"/>
    <w:link w:val="Heading1Char"/>
    <w:qFormat/>
    <w:rsid w:val="002D2564"/>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B86EDE"/>
    <w:pPr>
      <w:spacing w:before="100" w:beforeAutospacing="1" w:after="100" w:afterAutospacing="1"/>
    </w:pPr>
    <w:rPr>
      <w:rFonts w:eastAsiaTheme="minorEastAsia"/>
      <w:sz w:val="24"/>
      <w:szCs w:val="24"/>
    </w:rPr>
  </w:style>
  <w:style w:type="character" w:styleId="FollowedHyperlink">
    <w:name w:val="FollowedHyperlink"/>
    <w:basedOn w:val="DefaultParagraphFont"/>
    <w:uiPriority w:val="99"/>
    <w:semiHidden/>
    <w:unhideWhenUsed/>
    <w:rsid w:val="00407806"/>
    <w:rPr>
      <w:color w:val="800080" w:themeColor="followedHyperlink"/>
      <w:u w:val="single"/>
    </w:rPr>
  </w:style>
  <w:style w:type="paragraph" w:styleId="Revision">
    <w:name w:val="Revision"/>
    <w:hidden/>
    <w:uiPriority w:val="99"/>
    <w:semiHidden/>
    <w:rsid w:val="001E77F2"/>
    <w:rPr>
      <w:rFonts w:ascii="Times New Roman" w:eastAsia="Times New Roman" w:hAnsi="Times New Roman" w:cs="Times New Roman"/>
      <w:sz w:val="20"/>
      <w:szCs w:val="20"/>
    </w:rPr>
  </w:style>
  <w:style w:type="paragraph" w:styleId="NoSpacing">
    <w:name w:val="No Spacing"/>
    <w:uiPriority w:val="1"/>
    <w:qFormat/>
    <w:rsid w:val="001E77F2"/>
    <w:rPr>
      <w:rFonts w:ascii="Times New Roman" w:eastAsia="Times New Roman" w:hAnsi="Times New Roman" w:cs="Times New Roman"/>
    </w:rPr>
  </w:style>
  <w:style w:type="character" w:styleId="Emphasis">
    <w:name w:val="Emphasis"/>
    <w:basedOn w:val="DefaultParagraphFont"/>
    <w:uiPriority w:val="20"/>
    <w:qFormat/>
    <w:rsid w:val="001E77F2"/>
    <w:rPr>
      <w:i/>
      <w:iCs/>
    </w:rPr>
  </w:style>
  <w:style w:type="character" w:styleId="UnresolvedMention">
    <w:name w:val="Unresolved Mention"/>
    <w:basedOn w:val="DefaultParagraphFont"/>
    <w:uiPriority w:val="99"/>
    <w:semiHidden/>
    <w:unhideWhenUsed/>
    <w:rsid w:val="00E01E46"/>
    <w:rPr>
      <w:color w:val="605E5C"/>
      <w:shd w:val="clear" w:color="auto" w:fill="E1DFDD"/>
    </w:rPr>
  </w:style>
  <w:style w:type="paragraph" w:styleId="FootnoteText">
    <w:name w:val="footnote text"/>
    <w:basedOn w:val="Normal"/>
    <w:link w:val="FootnoteTextChar"/>
    <w:semiHidden/>
    <w:unhideWhenUsed/>
    <w:rsid w:val="00647C38"/>
    <w:rPr>
      <w:rFonts w:ascii="Arial" w:hAnsi="Arial"/>
    </w:rPr>
  </w:style>
  <w:style w:type="character" w:customStyle="1" w:styleId="FootnoteTextChar">
    <w:name w:val="Footnote Text Char"/>
    <w:basedOn w:val="DefaultParagraphFont"/>
    <w:link w:val="FootnoteText"/>
    <w:semiHidden/>
    <w:rsid w:val="00647C38"/>
    <w:rPr>
      <w:rFonts w:ascii="Arial" w:eastAsia="Times New Roman" w:hAnsi="Arial" w:cs="Times New Roman"/>
      <w:sz w:val="20"/>
      <w:szCs w:val="20"/>
    </w:rPr>
  </w:style>
  <w:style w:type="character" w:styleId="FootnoteReference">
    <w:name w:val="footnote reference"/>
    <w:basedOn w:val="DefaultParagraphFont"/>
    <w:semiHidden/>
    <w:unhideWhenUsed/>
    <w:rsid w:val="00647C38"/>
    <w:rPr>
      <w:vertAlign w:val="superscript"/>
    </w:rPr>
  </w:style>
  <w:style w:type="character" w:customStyle="1" w:styleId="Heading1Char">
    <w:name w:val="Heading 1 Char"/>
    <w:basedOn w:val="DefaultParagraphFont"/>
    <w:link w:val="Heading1"/>
    <w:rsid w:val="002D2564"/>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calls-rappels.canada.ca/en" TargetMode="External"/><Relationship Id="rId18" Type="http://schemas.openxmlformats.org/officeDocument/2006/relationships/hyperlink" Target="https://ec.europa.eu/docsroom/documents/32305/attachments/1/translations" TargetMode="External"/><Relationship Id="rId26" Type="http://schemas.openxmlformats.org/officeDocument/2006/relationships/hyperlink" Target="https://www.pmda.go.jp/english/about-pmda/0004.html" TargetMode="External"/><Relationship Id="rId39" Type="http://schemas.openxmlformats.org/officeDocument/2006/relationships/header" Target="header3.xml"/><Relationship Id="rId21" Type="http://schemas.openxmlformats.org/officeDocument/2006/relationships/hyperlink" Target="https://www.ecfr.gov/current/title-21/chapter-I/subchapter-H/part-806" TargetMode="External"/><Relationship Id="rId34" Type="http://schemas.openxmlformats.org/officeDocument/2006/relationships/hyperlink" Target="http://ec.europa.eu/growth/sectors/medical-devices/guidance/index_en.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ur-lex.europa.eu/legal-content/EN/TXT/PDF/?uri=OJ:L:2017:117:FULL" TargetMode="External"/><Relationship Id="rId20" Type="http://schemas.openxmlformats.org/officeDocument/2006/relationships/hyperlink" Target="https://www.fda.gov/medical-devices/postmarket-requirements-devices/recalls-corrections-and-removals-devices" TargetMode="External"/><Relationship Id="rId29" Type="http://schemas.openxmlformats.org/officeDocument/2006/relationships/hyperlink" Target="https://eur-lex.europa.eu/legal-content/EN/TXT/?uri=OJ:L:2017:117: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docsroom/documents/32305/attachments/1/translations" TargetMode="External"/><Relationship Id="rId24" Type="http://schemas.openxmlformats.org/officeDocument/2006/relationships/hyperlink" Target="https://www.fda.gov/media/93179/download" TargetMode="External"/><Relationship Id="rId32" Type="http://schemas.openxmlformats.org/officeDocument/2006/relationships/hyperlink" Target="https://www.tga.gov.au/reporting-adverse-events"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ur-lex.europa.eu/legal-content/EN/TXT/?uri=OJ:L:2017:117:TOC" TargetMode="External"/><Relationship Id="rId23" Type="http://schemas.openxmlformats.org/officeDocument/2006/relationships/hyperlink" Target="https://laws-lois.justice.gc.ca/eng/regulations/sor-98-282/" TargetMode="External"/><Relationship Id="rId28" Type="http://schemas.openxmlformats.org/officeDocument/2006/relationships/hyperlink" Target="https://www.canada.ca/en/health-canada/services/drugs-health-products/medical-devices/legislation-guidelines.html" TargetMode="External"/><Relationship Id="rId36" Type="http://schemas.openxmlformats.org/officeDocument/2006/relationships/header" Target="header1.xml"/><Relationship Id="rId10" Type="http://schemas.openxmlformats.org/officeDocument/2006/relationships/hyperlink" Target="https://www.ecfr.gov/current/title-21/chapter-I/subchapter-A/part-7" TargetMode="External"/><Relationship Id="rId19" Type="http://schemas.openxmlformats.org/officeDocument/2006/relationships/hyperlink" Target="https://www.fda.gov/medical-devices/medical-device-safety/medical-device-reporting-mdr-how-report-medical-device-problems" TargetMode="External"/><Relationship Id="rId31" Type="http://schemas.openxmlformats.org/officeDocument/2006/relationships/hyperlink" Target="https://www.fda.gov/media/93179/download" TargetMode="External"/><Relationship Id="rId4" Type="http://schemas.openxmlformats.org/officeDocument/2006/relationships/settings" Target="settings.xml"/><Relationship Id="rId9" Type="http://schemas.openxmlformats.org/officeDocument/2006/relationships/hyperlink" Target="https://www.ecfr.gov/current/title-21/chapter-I/subchapter-H/part-806" TargetMode="External"/><Relationship Id="rId14" Type="http://schemas.openxmlformats.org/officeDocument/2006/relationships/hyperlink" Target="http://www.isomcx.com/uploadfile/2018/0623/20180623095340510.pdf" TargetMode="External"/><Relationship Id="rId22" Type="http://schemas.openxmlformats.org/officeDocument/2006/relationships/hyperlink" Target="https://www.ecfr.gov/current/title-21" TargetMode="External"/><Relationship Id="rId27" Type="http://schemas.openxmlformats.org/officeDocument/2006/relationships/hyperlink" Target="https://www.fda.gov/medical-devices/postmarket-requirements-devices/recalls-corrections-and-removals-devices" TargetMode="External"/><Relationship Id="rId30" Type="http://schemas.openxmlformats.org/officeDocument/2006/relationships/hyperlink" Target="https://www.pmda.go.jp/english/about-pmda/0004.html" TargetMode="External"/><Relationship Id="rId35" Type="http://schemas.openxmlformats.org/officeDocument/2006/relationships/image" Target="media/image1.png"/><Relationship Id="rId8" Type="http://schemas.openxmlformats.org/officeDocument/2006/relationships/hyperlink" Target="https://ec.europa.eu/docsroom/documents/37348" TargetMode="External"/><Relationship Id="rId3" Type="http://schemas.openxmlformats.org/officeDocument/2006/relationships/styles" Target="styles.xml"/><Relationship Id="rId12" Type="http://schemas.openxmlformats.org/officeDocument/2006/relationships/hyperlink" Target="https://www.canada.ca/en/health-canada.html" TargetMode="External"/><Relationship Id="rId17" Type="http://schemas.openxmlformats.org/officeDocument/2006/relationships/hyperlink" Target="https://ec.europa.eu/growth/single-market/european-standards/harmonised-standards/medical-devices_en" TargetMode="External"/><Relationship Id="rId25" Type="http://schemas.openxmlformats.org/officeDocument/2006/relationships/hyperlink" Target="https://www.tga.gov.au/reporting-adverse-events" TargetMode="External"/><Relationship Id="rId33" Type="http://schemas.openxmlformats.org/officeDocument/2006/relationships/hyperlink" Target="http://ec.europa.eu/growth/sectors/medical-devices/contacts/index_en.htm" TargetMode="External"/><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3B9FF-DD0F-EF40-8485-FF9C71CEE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16</Pages>
  <Words>5864</Words>
  <Characters>33430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39216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Salvador Iniguez</cp:lastModifiedBy>
  <cp:revision>7</cp:revision>
  <cp:lastPrinted>2025-08-07T16:14:00Z</cp:lastPrinted>
  <dcterms:created xsi:type="dcterms:W3CDTF">2025-07-24T19:53:00Z</dcterms:created>
  <dcterms:modified xsi:type="dcterms:W3CDTF">2025-08-07T16:19:00Z</dcterms:modified>
</cp:coreProperties>
</file>