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jc w:val="center"/>
      </w:pPr>
      <w:r>
        <w:rPr>
          <w:rFonts w:ascii="Arial" w:cs="Arial" w:eastAsia="Arial" w:hAnsi="Arial"/>
          <w:b/>
          <w:bCs/>
          <w:color w:val="1F4E79"/>
          <w:sz w:val="56"/>
          <w:szCs w:val="56"/>
        </w:rPr>
        <w:t xml:space="preserve">Go-to-Market Strategy</w:t>
      </w:r>
    </w:p>
    <w:p>
      <w:pPr>
        <w:spacing w:before="160"/>
        <w:jc w:val="center"/>
      </w:pPr>
      <w:r>
        <w:rPr>
          <w:rFonts w:ascii="Arial" w:cs="Arial" w:eastAsia="Arial" w:hAnsi="Arial"/>
          <w:color w:val="999999"/>
          <w:sz w:val="32"/>
          <w:szCs w:val="32"/>
        </w:rPr>
        <w:t xml:space="preserve">&amp;</w:t>
      </w:r>
    </w:p>
    <w:p>
      <w:pPr>
        <w:spacing w:before="160"/>
        <w:jc w:val="center"/>
      </w:pPr>
      <w:r>
        <w:rPr>
          <w:rFonts w:ascii="Arial" w:cs="Arial" w:eastAsia="Arial" w:hAnsi="Arial"/>
          <w:b/>
          <w:bCs/>
          <w:color w:val="2E75B6"/>
          <w:sz w:val="48"/>
          <w:szCs w:val="48"/>
        </w:rPr>
        <w:t xml:space="preserve">Thought Leadership Playbook</w:t>
      </w:r>
    </w:p>
    <w:p>
      <w:pPr>
        <w:spacing w:before="400"/>
        <w:jc w:val="center"/>
      </w:pPr>
      <w:r>
        <w:rPr>
          <w:rFonts w:ascii="Arial" w:cs="Arial" w:eastAsia="Arial" w:hAnsi="Arial"/>
          <w:color w:val="333333"/>
          <w:sz w:val="36"/>
          <w:szCs w:val="36"/>
        </w:rPr>
        <w:t xml:space="preserve">AgentAuth</w:t>
      </w:r>
    </w:p>
    <w:p>
      <w:pPr>
        <w:spacing w:before="100"/>
        <w:jc w:val="center"/>
      </w:pPr>
      <w:r>
        <w:rPr>
          <w:rFonts w:ascii="Arial" w:cs="Arial" w:eastAsia="Arial" w:hAnsi="Arial"/>
          <w:i/>
          <w:iCs/>
          <w:color w:val="666666"/>
          <w:sz w:val="24"/>
          <w:szCs w:val="24"/>
        </w:rPr>
        <w:t xml:space="preserve">From Pattern Author to Market Leader</w:t>
      </w:r>
    </w:p>
    <w:p>
      <w:pPr>
        <w:spacing w:before="600"/>
        <w:jc w:val="center"/>
      </w:pPr>
      <w:r>
        <w:rPr>
          <w:rFonts w:ascii="Arial" w:cs="Arial" w:eastAsia="Arial" w:hAnsi="Arial"/>
          <w:color w:val="888888"/>
          <w:sz w:val="22"/>
          <w:szCs w:val="22"/>
        </w:rPr>
        <w:t xml:space="preserve">March 2, 2026</w:t>
      </w:r>
    </w:p>
    <w:p>
      <w:pPr>
        <w:spacing w:before="100"/>
        <w:jc w:val="center"/>
      </w:pPr>
      <w:r>
        <w:rPr>
          <w:rFonts w:ascii="Arial" w:cs="Arial" w:eastAsia="Arial" w:hAnsi="Arial"/>
          <w:i/>
          <w:iCs/>
          <w:color w:val="888888"/>
          <w:sz w:val="20"/>
          <w:szCs w:val="20"/>
        </w:rPr>
        <w:t xml:space="preserve">Confidential</w:t>
      </w:r>
    </w:p>
    <w:p>
      <w:r>
        <w:br w:type="page"/>
      </w:r>
    </w:p>
    <w:p>
      <w:pPr>
        <w:sectPr>
          <w:pgSz w:w="12240" w:h="15840" w:orient="portrait"/>
          <w:pgMar w:top="1440" w:right="1440" w:bottom="1440" w:left="1440" w:header="708" w:footer="708" w:gutter="0"/>
          <w:pgNumType/>
          <w:docGrid w:linePitch="360"/>
        </w:sectPr>
      </w:pPr>
    </w:p>
    <w:p>
      <w:pPr>
        <w:pStyle w:val="Heading1"/>
      </w:pPr>
      <w:r>
        <w:t xml:space="preserve">1. Situation Assessment</w:t>
      </w:r>
    </w:p>
    <w:p>
      <w:pPr>
        <w:pStyle w:val="Heading2"/>
      </w:pPr>
      <w:r>
        <w:t xml:space="preserve">Your Unique Position</w:t>
      </w:r>
    </w:p>
    <w:p>
      <w:pPr>
        <w:spacing w:after="200"/>
      </w:pPr>
      <w:r>
        <w:rPr>
          <w:rFonts w:ascii="Arial" w:cs="Arial" w:eastAsia="Arial" w:hAnsi="Arial"/>
          <w:sz w:val="24"/>
          <w:szCs w:val="24"/>
        </w:rPr>
        <w:t xml:space="preserve">You are the author of the Ephemeral Agent Credentialing pattern — the foundational security architecture for AI agent identity. You published the pattern publicly, designed the seven-component framework, and built the only complete implementation (AgentAuth). This is not a fork, a wrapper, or an extension of someone else’s idea. You defined the category.</w:t>
      </w:r>
    </w:p>
    <w:p>
      <w:pPr>
        <w:spacing w:after="200"/>
      </w:pPr>
      <w:r>
        <w:rPr>
          <w:rFonts w:ascii="Arial" w:cs="Arial" w:eastAsia="Arial" w:hAnsi="Arial"/>
          <w:sz w:val="24"/>
          <w:szCs w:val="24"/>
        </w:rPr>
        <w:t xml:space="preserve">That authorship is an asset that cannot be replicated. Competitors can build similar features, but they cannot claim to have originated the thinking. In a market where trust and credibility matter (security infrastructure), being the pattern author is a structural advantage.</w:t>
      </w:r>
    </w:p>
    <w:p>
      <w:pPr>
        <w:pStyle w:val="Heading2"/>
      </w:pPr>
      <w:r>
        <w:t xml:space="preserve">The Traction Problem</w:t>
      </w:r>
    </w:p>
    <w:p>
      <w:pPr>
        <w:spacing w:after="200"/>
      </w:pPr>
      <w:r>
        <w:rPr>
          <w:rFonts w:ascii="Arial" w:cs="Arial" w:eastAsia="Arial" w:hAnsi="Arial"/>
          <w:sz w:val="24"/>
          <w:szCs w:val="24"/>
        </w:rPr>
        <w:t xml:space="preserve">Despite publishing the pattern and building the implementation, adoption has been minimal. This is frustrating but diagnosable. Three factors explain the gap:</w:t>
      </w:r>
    </w:p>
    <w:p>
      <w:pPr>
        <w:pStyle w:val="ListParagraph"/>
        <w:numPr>
          <w:ilvl w:val="0"/>
          <w:numId w:val="2"/>
        </w:numPr>
      </w:pPr>
      <w:r>
        <w:rPr>
          <w:rFonts w:ascii="Arial" w:cs="Arial" w:eastAsia="Arial" w:hAnsi="Arial"/>
          <w:b/>
          <w:bCs/>
          <w:sz w:val="24"/>
          <w:szCs w:val="24"/>
        </w:rPr>
        <w:t xml:space="preserve">Timing mismatch. </w:t>
      </w:r>
      <w:r>
        <w:rPr>
          <w:rFonts w:ascii="Arial" w:cs="Arial" w:eastAsia="Arial" w:hAnsi="Arial"/>
          <w:sz w:val="24"/>
          <w:szCs w:val="24"/>
        </w:rPr>
        <w:t xml:space="preserve">You published the pattern before the market felt the pain. In 2024-2025, most organizations were still experimenting with AI agents in sandboxes. The credential crisis only became real in late 2025 when agents started touching production data. The market is now catching up to where you were.</w:t>
      </w:r>
    </w:p>
    <w:p>
      <w:pPr>
        <w:pStyle w:val="ListParagraph"/>
        <w:numPr>
          <w:ilvl w:val="0"/>
          <w:numId w:val="2"/>
        </w:numPr>
      </w:pPr>
      <w:r>
        <w:rPr>
          <w:rFonts w:ascii="Arial" w:cs="Arial" w:eastAsia="Arial" w:hAnsi="Arial"/>
          <w:b/>
          <w:bCs/>
          <w:sz w:val="24"/>
          <w:szCs w:val="24"/>
        </w:rPr>
        <w:t xml:space="preserve">Discovery gap. </w:t>
      </w:r>
      <w:r>
        <w:rPr>
          <w:rFonts w:ascii="Arial" w:cs="Arial" w:eastAsia="Arial" w:hAnsi="Arial"/>
          <w:sz w:val="24"/>
          <w:szCs w:val="24"/>
        </w:rPr>
        <w:t xml:space="preserve">Security patterns on GitHub don’t get discovered by the people who need them. CISOs don’t browse GitHub. Platform engineers find tools through Hacker News, conference talks, and word-of-mouth. The pattern exists; the distribution doesn’t.</w:t>
      </w:r>
    </w:p>
    <w:p>
      <w:pPr>
        <w:pStyle w:val="ListParagraph"/>
        <w:numPr>
          <w:ilvl w:val="0"/>
          <w:numId w:val="2"/>
        </w:numPr>
      </w:pPr>
      <w:r>
        <w:rPr>
          <w:rFonts w:ascii="Arial" w:cs="Arial" w:eastAsia="Arial" w:hAnsi="Arial"/>
          <w:b/>
          <w:bCs/>
          <w:sz w:val="24"/>
          <w:szCs w:val="24"/>
        </w:rPr>
        <w:t xml:space="preserve">No on-ramp. </w:t>
      </w:r>
      <w:r>
        <w:rPr>
          <w:rFonts w:ascii="Arial" w:cs="Arial" w:eastAsia="Arial" w:hAnsi="Arial"/>
          <w:sz w:val="24"/>
          <w:szCs w:val="24"/>
        </w:rPr>
        <w:t xml:space="preserve">Without an SDK, developers can’t evaluate AgentAuth in 5 minutes. They look at the Go codebase, see Docker deployment, and move on. The fastest path to adoption is ‘pip install’ — and that path doesn’t exist yet.</w:t>
      </w:r>
    </w:p>
    <w:p>
      <w:pPr>
        <w:pBdr>
          <w:top w:val="single" w:color="2E75B6" w:sz="6" w:space="1"/>
          <w:bottom w:val="single" w:color="2E75B6" w:sz="6" w:space="1"/>
          <w:left w:val="single" w:color="2E75B6" w:sz="6" w:space="4"/>
          <w:right w:val="single" w:color="2E75B6" w:sz="6" w:space="1"/>
        </w:pBdr>
        <w:shd w:fill="EBF0F7" w:val="clear"/>
        <w:spacing w:before="200"/>
      </w:pPr>
      <w:r>
        <w:rPr>
          <w:rFonts w:ascii="Arial" w:cs="Arial" w:eastAsia="Arial" w:hAnsi="Arial"/>
          <w:b/>
          <w:bCs/>
          <w:color w:val="1F4E79"/>
          <w:sz w:val="24"/>
          <w:szCs w:val="24"/>
        </w:rPr>
        <w:t xml:space="preserve">⚠️  NEW COMPETITOR ALERT: DeepTrail / DeepSecure</w:t>
      </w:r>
    </w:p>
    <w:p>
      <w:pPr>
        <w:pBdr>
          <w:bottom w:val="single" w:color="2E75B6" w:sz="6" w:space="1"/>
          <w:left w:val="single" w:color="2E75B6" w:sz="6" w:space="4"/>
          <w:right w:val="single" w:color="2E75B6" w:sz="6" w:space="1"/>
        </w:pBdr>
        <w:shd w:fill="EBF0F7" w:val="clear"/>
        <w:spacing w:after="200"/>
      </w:pPr>
      <w:r>
        <w:rPr>
          <w:rFonts w:ascii="Arial" w:cs="Arial" w:eastAsia="Arial" w:hAnsi="Arial"/>
          <w:color w:val="333333"/>
          <w:sz w:val="22"/>
          <w:szCs w:val="22"/>
        </w:rPr>
        <w:t xml:space="preserve">DeepSecure (github.com/DeepTrail/deepsecure, 44 stars, created March 2025) is building Ed25519 agent identities with ephemeral credentials, delegation, and audit logging — similar to AgentAuth. They already have a Python SDK (pip install deepsecure), LangChain/CrewAI integration, and a website (deeptrail.com). Their architecture is less mature (no SPIFFE IDs, no multi-level revocation, no hash-chained audit, no mutual auth, PostgreSQL not SQLite), but they have the developer on-ramp you don’t. This validates the market AND creates urgency.</w:t>
      </w:r>
    </w:p>
    <w:p>
      <w:r>
        <w:br w:type="page"/>
      </w:r>
    </w:p>
    <w:p>
      <w:pPr>
        <w:pStyle w:val="Heading1"/>
      </w:pPr>
      <w:r>
        <w:t xml:space="preserve">2. Business Model: Open-Core</w:t>
      </w:r>
    </w:p>
    <w:p>
      <w:pPr>
        <w:spacing w:after="200"/>
      </w:pPr>
      <w:r>
        <w:rPr>
          <w:rFonts w:ascii="Arial" w:cs="Arial" w:eastAsia="Arial" w:hAnsi="Arial"/>
          <w:sz w:val="24"/>
          <w:szCs w:val="24"/>
        </w:rPr>
        <w:t xml:space="preserve">The recommended model is open-core: free self-hosted core with a paid hosted service and enterprise features. This is the only model that leverages all three of your assets (pattern authorship, working implementation, bootstrap capital) while addressing all three weaknesses (no community, no distribution, no revenue).</w:t>
      </w:r>
    </w:p>
    <w:p>
      <w:pPr>
        <w:pStyle w:val="Heading2"/>
      </w:pPr>
      <w:r>
        <w:t xml:space="preserve">What Stays Open Source (Free)</w:t>
      </w:r>
    </w:p>
    <w:p>
      <w:pPr>
        <w:pStyle w:val="ListParagraph"/>
        <w:numPr>
          <w:ilvl w:val="0"/>
          <w:numId w:val="3"/>
        </w:numPr>
      </w:pPr>
      <w:r>
        <w:rPr>
          <w:rFonts w:ascii="Arial" w:cs="Arial" w:eastAsia="Arial" w:hAnsi="Arial"/>
          <w:b/>
          <w:bCs/>
          <w:sz w:val="24"/>
          <w:szCs w:val="24"/>
        </w:rPr>
        <w:t xml:space="preserve">The broker, sidecar, and aactl CLI </w:t>
      </w:r>
      <w:r>
        <w:rPr>
          <w:rFonts w:ascii="Arial" w:cs="Arial" w:eastAsia="Arial" w:hAnsi="Arial"/>
          <w:sz w:val="24"/>
          <w:szCs w:val="24"/>
        </w:rPr>
        <w:t xml:space="preserve">— the complete credential issuance system. Self-hostable, Docker-deployable, fully functional.</w:t>
      </w:r>
    </w:p>
    <w:p>
      <w:pPr>
        <w:pStyle w:val="ListParagraph"/>
        <w:numPr>
          <w:ilvl w:val="0"/>
          <w:numId w:val="3"/>
        </w:numPr>
      </w:pPr>
      <w:r>
        <w:rPr>
          <w:rFonts w:ascii="Arial" w:cs="Arial" w:eastAsia="Arial" w:hAnsi="Arial"/>
          <w:b/>
          <w:bCs/>
          <w:sz w:val="24"/>
          <w:szCs w:val="24"/>
        </w:rPr>
        <w:t xml:space="preserve">Python and TypeScript SDKs </w:t>
      </w:r>
      <w:r>
        <w:rPr>
          <w:rFonts w:ascii="Arial" w:cs="Arial" w:eastAsia="Arial" w:hAnsi="Arial"/>
          <w:sz w:val="24"/>
          <w:szCs w:val="24"/>
        </w:rPr>
        <w:t xml:space="preserve">— essential for adoption. The SDK is the front door; gating it kills growth.</w:t>
      </w:r>
    </w:p>
    <w:p>
      <w:pPr>
        <w:pStyle w:val="ListParagraph"/>
        <w:numPr>
          <w:ilvl w:val="0"/>
          <w:numId w:val="3"/>
        </w:numPr>
      </w:pPr>
      <w:r>
        <w:rPr>
          <w:rFonts w:ascii="Arial" w:cs="Arial" w:eastAsia="Arial" w:hAnsi="Arial"/>
          <w:b/>
          <w:bCs/>
          <w:sz w:val="24"/>
          <w:szCs w:val="24"/>
        </w:rPr>
        <w:t xml:space="preserve">The Ephemeral Agent Credentialing pattern documentation </w:t>
      </w:r>
      <w:r>
        <w:rPr>
          <w:rFonts w:ascii="Arial" w:cs="Arial" w:eastAsia="Arial" w:hAnsi="Arial"/>
          <w:sz w:val="24"/>
          <w:szCs w:val="24"/>
        </w:rPr>
        <w:t xml:space="preserve">— your thought leadership asset. Keep it public, keep it authoritative.</w:t>
      </w:r>
    </w:p>
    <w:p>
      <w:pPr>
        <w:pStyle w:val="Heading2"/>
      </w:pPr>
      <w:r>
        <w:t xml:space="preserve">What You Charge For (Paid)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Price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Community (Free)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broker + sidecar + SDK. Single-broker. Community support.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 forever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 (Hosted)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Managed broker (AgentAuth Cloud). Admin dashboard. 99.9% uptime SLA. Email support. Up to 50 agents.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$99–$499/mo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Enterprise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Multi-broker HA. SSO/OIDC bridge. Advanced audit exports (SIEM integration). Compliance packages (SOC 2, NIST mapping). Dedicated support.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$2,000–$10,000/mo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Advisory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review. Security pattern implementation consulting. Compliance gap analysis. Custom deployment.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$5,000–$20,000 per engagement</w:t>
            </w:r>
          </w:p>
        </w:tc>
      </w:tr>
    </w:tbl>
    <w:p>
      <w:pPr>
        <w:spacing w:after="200"/>
      </w:pPr>
      <w:r>
        <w:rPr>
          <w:rFonts w:ascii="Arial" w:cs="Arial" w:eastAsia="Arial" w:hAnsi="Arial"/>
          <w:b/>
          <w:bCs/>
          <w:sz w:val="24"/>
          <w:szCs w:val="24"/>
        </w:rPr>
        <w:t xml:space="preserve">Why Advisory matters: </w:t>
      </w:r>
      <w:r>
        <w:rPr>
          <w:rFonts w:ascii="Arial" w:cs="Arial" w:eastAsia="Arial" w:hAnsi="Arial"/>
          <w:sz w:val="24"/>
          <w:szCs w:val="24"/>
        </w:rPr>
        <w:t xml:space="preserve">As the pattern author, you can offer something no competitor can — authoritative guidance on implementing ephemeral agent credentialing. This is high-margin, low-volume revenue that funds product development while building relationships with enterprise buyers. Think of it as paid thought leadership.</w:t>
      </w:r>
    </w:p>
    <w:p>
      <w:r>
        <w:br w:type="page"/>
      </w:r>
    </w:p>
    <w:p>
      <w:pPr>
        <w:pStyle w:val="Heading1"/>
      </w:pPr>
      <w:r>
        <w:t xml:space="preserve">3. Thought Leadership Playbook</w:t>
      </w:r>
    </w:p>
    <w:p>
      <w:pPr>
        <w:spacing w:after="200"/>
      </w:pPr>
      <w:r>
        <w:rPr>
          <w:rFonts w:ascii="Arial" w:cs="Arial" w:eastAsia="Arial" w:hAnsi="Arial"/>
          <w:sz w:val="24"/>
          <w:szCs w:val="24"/>
        </w:rPr>
        <w:t xml:space="preserve">Your pattern authorship is the foundation. Everything in this section converts that intellectual property into market awareness, credibility, and inbound interest.</w:t>
      </w:r>
    </w:p>
    <w:p>
      <w:pPr>
        <w:pBdr>
          <w:top w:val="single" w:color="2E75B6" w:sz="6" w:space="1"/>
          <w:bottom w:val="single" w:color="2E75B6" w:sz="6" w:space="1"/>
          <w:left w:val="single" w:color="2E75B6" w:sz="6" w:space="4"/>
          <w:right w:val="single" w:color="2E75B6" w:sz="6" w:space="1"/>
        </w:pBdr>
        <w:shd w:fill="EBF0F7" w:val="clear"/>
        <w:spacing w:before="200"/>
      </w:pPr>
      <w:r>
        <w:rPr>
          <w:rFonts w:ascii="Arial" w:cs="Arial" w:eastAsia="Arial" w:hAnsi="Arial"/>
          <w:b/>
          <w:bCs/>
          <w:color w:val="1F4E79"/>
          <w:sz w:val="24"/>
          <w:szCs w:val="24"/>
        </w:rPr>
        <w:t xml:space="preserve">🚨  IMMEDIATE OPPORTUNITY: NIST Public Comment (Deadline: April 2, 2026)</w:t>
      </w:r>
    </w:p>
    <w:p>
      <w:pPr>
        <w:pBdr>
          <w:bottom w:val="single" w:color="2E75B6" w:sz="6" w:space="1"/>
          <w:left w:val="single" w:color="2E75B6" w:sz="6" w:space="4"/>
          <w:right w:val="single" w:color="2E75B6" w:sz="6" w:space="1"/>
        </w:pBdr>
        <w:shd w:fill="EBF0F7" w:val="clear"/>
        <w:spacing w:after="200"/>
      </w:pPr>
      <w:r>
        <w:rPr>
          <w:rFonts w:ascii="Arial" w:cs="Arial" w:eastAsia="Arial" w:hAnsi="Arial"/>
          <w:color w:val="333333"/>
          <w:sz w:val="22"/>
          <w:szCs w:val="22"/>
        </w:rPr>
        <w:t xml:space="preserve">NIST released a concept paper on February 5, 2026: “Accelerating the Adoption of Software and AI Agent Identity and Authorization.” They are seeking public input on exactly the problem you’ve solved. The comment period closes April 2. Submitting a detailed response as the author of the Ephemeral Agent Credentialing pattern would be a massive credibility anchor. NIST responses are public record — your name, your pattern, cited in a federal standards initiative. This is the single highest-ROI action available to you right now.</w:t>
      </w:r>
    </w:p>
    <w:p>
      <w:pPr>
        <w:pStyle w:val="Heading2"/>
      </w:pPr>
      <w:r>
        <w:t xml:space="preserve">Phase 1: Establish Authority (Weeks 1–4)</w:t>
      </w:r>
    </w:p>
    <w:p>
      <w:pPr>
        <w:pStyle w:val="ListParagraph"/>
        <w:numPr>
          <w:ilvl w:val="0"/>
          <w:numId w:val="2"/>
        </w:numPr>
      </w:pPr>
      <w:r>
        <w:rPr>
          <w:rFonts w:ascii="Arial" w:cs="Arial" w:eastAsia="Arial" w:hAnsi="Arial"/>
          <w:b/>
          <w:bCs/>
          <w:sz w:val="24"/>
          <w:szCs w:val="24"/>
        </w:rPr>
        <w:t xml:space="preserve">Submit NIST comment (by April 2). </w:t>
      </w:r>
      <w:r>
        <w:rPr>
          <w:rFonts w:ascii="Arial" w:cs="Arial" w:eastAsia="Arial" w:hAnsi="Arial"/>
          <w:sz w:val="24"/>
          <w:szCs w:val="24"/>
        </w:rPr>
        <w:t xml:space="preserve">Reference the Ephemeral Agent Credentialing pattern, cite AgentAuth as a reference implementation, and address their four focus areas (identification, authorization, access delegation, logging) with specific technical details from your implementation. This creates a permanent public record linking your name to the federal AI agent identity standards effort.</w:t>
      </w:r>
    </w:p>
    <w:p>
      <w:pPr>
        <w:pStyle w:val="ListParagraph"/>
        <w:numPr>
          <w:ilvl w:val="0"/>
          <w:numId w:val="2"/>
        </w:numPr>
      </w:pPr>
      <w:r>
        <w:rPr>
          <w:rFonts w:ascii="Arial" w:cs="Arial" w:eastAsia="Arial" w:hAnsi="Arial"/>
          <w:b/>
          <w:bCs/>
          <w:sz w:val="24"/>
          <w:szCs w:val="24"/>
        </w:rPr>
        <w:t xml:space="preserve">Publish a technical blog post: “Why OAuth Fails for AI Agents.” </w:t>
      </w:r>
      <w:r>
        <w:rPr>
          <w:rFonts w:ascii="Arial" w:cs="Arial" w:eastAsia="Arial" w:hAnsi="Arial"/>
          <w:sz w:val="24"/>
          <w:szCs w:val="24"/>
        </w:rPr>
        <w:t xml:space="preserve">Use the CVE-2025-68664 (LangGrinch) case study from your docs. Real vulnerability, real attack chain, concrete demonstration of how ephemeral credentials limit blast radius. Target: Hacker News front page, InfoSec Twitter/X, LinkedIn security community.</w:t>
      </w:r>
    </w:p>
    <w:p>
      <w:pPr>
        <w:pStyle w:val="ListParagraph"/>
        <w:numPr>
          <w:ilvl w:val="0"/>
          <w:numId w:val="2"/>
        </w:numPr>
      </w:pPr>
      <w:r>
        <w:rPr>
          <w:rFonts w:ascii="Arial" w:cs="Arial" w:eastAsia="Arial" w:hAnsi="Arial"/>
          <w:b/>
          <w:bCs/>
          <w:sz w:val="24"/>
          <w:szCs w:val="24"/>
        </w:rPr>
        <w:t xml:space="preserve">Submit CFPs to security conferences. </w:t>
      </w:r>
      <w:r>
        <w:rPr>
          <w:rFonts w:ascii="Arial" w:cs="Arial" w:eastAsia="Arial" w:hAnsi="Arial"/>
          <w:sz w:val="24"/>
          <w:szCs w:val="24"/>
        </w:rPr>
        <w:t xml:space="preserve">BSides, OWASP AppSec, KubeCon Security Day, AI Engineer Summit. Title angle: “The AI Agent Credential Crisis: A Security Pattern That Works.” Your pattern + working implementation + real CVE case study = strong proposal.</w:t>
      </w:r>
    </w:p>
    <w:p>
      <w:pPr>
        <w:pStyle w:val="ListParagraph"/>
        <w:numPr>
          <w:ilvl w:val="0"/>
          <w:numId w:val="2"/>
        </w:numPr>
      </w:pPr>
      <w:r>
        <w:rPr>
          <w:rFonts w:ascii="Arial" w:cs="Arial" w:eastAsia="Arial" w:hAnsi="Arial"/>
          <w:b/>
          <w:bCs/>
          <w:sz w:val="24"/>
          <w:szCs w:val="24"/>
        </w:rPr>
        <w:t xml:space="preserve">Engage the OWASP NHI Top 10 and Agentic Applications Top 10 projects. </w:t>
      </w:r>
      <w:r>
        <w:rPr>
          <w:rFonts w:ascii="Arial" w:cs="Arial" w:eastAsia="Arial" w:hAnsi="Arial"/>
          <w:sz w:val="24"/>
          <w:szCs w:val="24"/>
        </w:rPr>
        <w:t xml:space="preserve">Your pattern directly addresses ASI03 (Identity and Privilege Abuse) and ASI07 (Insecure Inter-Agent Communication). Contribute, get cited, build relationships.</w:t>
      </w:r>
    </w:p>
    <w:p>
      <w:pPr>
        <w:pStyle w:val="Heading2"/>
      </w:pPr>
      <w:r>
        <w:t xml:space="preserve">Phase 2: Build Distribution (Weeks 5–12)</w:t>
      </w:r>
    </w:p>
    <w:p>
      <w:pPr>
        <w:pStyle w:val="ListParagraph"/>
        <w:numPr>
          <w:ilvl w:val="0"/>
          <w:numId w:val="2"/>
        </w:numPr>
      </w:pPr>
      <w:r>
        <w:rPr>
          <w:rFonts w:ascii="Arial" w:cs="Arial" w:eastAsia="Arial" w:hAnsi="Arial"/>
          <w:b/>
          <w:bCs/>
          <w:sz w:val="24"/>
          <w:szCs w:val="24"/>
        </w:rPr>
        <w:t xml:space="preserve">Launch Python SDK with ‘pip install agentauth’. </w:t>
      </w:r>
      <w:r>
        <w:rPr>
          <w:rFonts w:ascii="Arial" w:cs="Arial" w:eastAsia="Arial" w:hAnsi="Arial"/>
          <w:sz w:val="24"/>
          <w:szCs w:val="24"/>
        </w:rPr>
        <w:t xml:space="preserve">This is the single most important product deliverable. Include a 5-minute quickstart, a LangChain integration example, and a “before/after” showing hardcoded API keys vs. AgentAuth ephemeral credentials. DeepSecure already has this — you need it yesterday.</w:t>
      </w:r>
    </w:p>
    <w:p>
      <w:pPr>
        <w:pStyle w:val="ListParagraph"/>
        <w:numPr>
          <w:ilvl w:val="0"/>
          <w:numId w:val="2"/>
        </w:numPr>
      </w:pPr>
      <w:r>
        <w:rPr>
          <w:rFonts w:ascii="Arial" w:cs="Arial" w:eastAsia="Arial" w:hAnsi="Arial"/>
          <w:b/>
          <w:bCs/>
          <w:sz w:val="24"/>
          <w:szCs w:val="24"/>
        </w:rPr>
        <w:t xml:space="preserve">Product Hunt and Hacker News launch. </w:t>
      </w:r>
      <w:r>
        <w:rPr>
          <w:rFonts w:ascii="Arial" w:cs="Arial" w:eastAsia="Arial" w:hAnsi="Arial"/>
          <w:sz w:val="24"/>
          <w:szCs w:val="24"/>
        </w:rPr>
        <w:t xml:space="preserve">Headline: “AgentAuth — Ephemeral credentials for AI agents. Stop hardcoding secrets.” Time it with the SDK launch. The Show HN post should include a GIF of the 15-line Python example working end-to-end.</w:t>
      </w:r>
    </w:p>
    <w:p>
      <w:pPr>
        <w:pStyle w:val="ListParagraph"/>
        <w:numPr>
          <w:ilvl w:val="0"/>
          <w:numId w:val="2"/>
        </w:numPr>
      </w:pPr>
      <w:r>
        <w:rPr>
          <w:rFonts w:ascii="Arial" w:cs="Arial" w:eastAsia="Arial" w:hAnsi="Arial"/>
          <w:b/>
          <w:bCs/>
          <w:sz w:val="24"/>
          <w:szCs w:val="24"/>
        </w:rPr>
        <w:t xml:space="preserve">Write comparison content. </w:t>
      </w:r>
      <w:r>
        <w:rPr>
          <w:rFonts w:ascii="Arial" w:cs="Arial" w:eastAsia="Arial" w:hAnsi="Arial"/>
          <w:sz w:val="24"/>
          <w:szCs w:val="24"/>
        </w:rPr>
        <w:t xml:space="preserve">“AgentAuth vs. DeepSecure vs. SPIFFE for AI Agents” — honest, technical, and fair. This captures search traffic from people evaluating alternatives and positions you as the authority who understands the entire landscape.</w:t>
      </w:r>
    </w:p>
    <w:p>
      <w:pPr>
        <w:pStyle w:val="ListParagraph"/>
        <w:numPr>
          <w:ilvl w:val="0"/>
          <w:numId w:val="2"/>
        </w:numPr>
      </w:pPr>
      <w:r>
        <w:rPr>
          <w:rFonts w:ascii="Arial" w:cs="Arial" w:eastAsia="Arial" w:hAnsi="Arial"/>
          <w:b/>
          <w:bCs/>
          <w:sz w:val="24"/>
          <w:szCs w:val="24"/>
        </w:rPr>
        <w:t xml:space="preserve">Engage CSA and IETF WIMSE working group. </w:t>
      </w:r>
      <w:r>
        <w:rPr>
          <w:rFonts w:ascii="Arial" w:cs="Arial" w:eastAsia="Arial" w:hAnsi="Arial"/>
          <w:sz w:val="24"/>
          <w:szCs w:val="24"/>
        </w:rPr>
        <w:t xml:space="preserve">The Cloud Security Alliance published guidance on agentic AI identity. The IETF WIMSE group is standardizing workload identity. Being present in these conversations shapes standards toward your architecture rather than away from it.</w:t>
      </w:r>
    </w:p>
    <w:p>
      <w:pPr>
        <w:pStyle w:val="Heading2"/>
      </w:pPr>
      <w:r>
        <w:t xml:space="preserve">Phase 3: Monetize (Weeks 13–24)</w:t>
      </w:r>
    </w:p>
    <w:p>
      <w:pPr>
        <w:pStyle w:val="ListParagraph"/>
        <w:numPr>
          <w:ilvl w:val="0"/>
          <w:numId w:val="2"/>
        </w:numPr>
      </w:pPr>
      <w:r>
        <w:rPr>
          <w:rFonts w:ascii="Arial" w:cs="Arial" w:eastAsia="Arial" w:hAnsi="Arial"/>
          <w:b/>
          <w:bCs/>
          <w:sz w:val="24"/>
          <w:szCs w:val="24"/>
        </w:rPr>
        <w:t xml:space="preserve">Launch AgentAuth Cloud (hosted tier). </w:t>
      </w:r>
      <w:r>
        <w:rPr>
          <w:rFonts w:ascii="Arial" w:cs="Arial" w:eastAsia="Arial" w:hAnsi="Arial"/>
          <w:sz w:val="24"/>
          <w:szCs w:val="24"/>
        </w:rPr>
        <w:t xml:space="preserve">Start with a waitlist during Phase 2. First 10 customers get founding pricing ($49/mo for 12 months). Use their feedback to shape the Pro tier.</w:t>
      </w:r>
    </w:p>
    <w:p>
      <w:pPr>
        <w:pStyle w:val="ListParagraph"/>
        <w:numPr>
          <w:ilvl w:val="0"/>
          <w:numId w:val="2"/>
        </w:numPr>
      </w:pPr>
      <w:r>
        <w:rPr>
          <w:rFonts w:ascii="Arial" w:cs="Arial" w:eastAsia="Arial" w:hAnsi="Arial"/>
          <w:b/>
          <w:bCs/>
          <w:sz w:val="24"/>
          <w:szCs w:val="24"/>
        </w:rPr>
        <w:t xml:space="preserve">Offer advisory engagements to enterprises. </w:t>
      </w:r>
      <w:r>
        <w:rPr>
          <w:rFonts w:ascii="Arial" w:cs="Arial" w:eastAsia="Arial" w:hAnsi="Arial"/>
          <w:sz w:val="24"/>
          <w:szCs w:val="24"/>
        </w:rPr>
        <w:t xml:space="preserve">Target: companies deploying AI agents that appeared in your NIST comment, conference talks, or blog post discussions. The pitch: “I wrote the pattern, I built the implementation, I can help you deploy it.”</w:t>
      </w:r>
    </w:p>
    <w:p>
      <w:pPr>
        <w:pStyle w:val="ListParagraph"/>
        <w:numPr>
          <w:ilvl w:val="0"/>
          <w:numId w:val="2"/>
        </w:numPr>
      </w:pPr>
      <w:r>
        <w:rPr>
          <w:rFonts w:ascii="Arial" w:cs="Arial" w:eastAsia="Arial" w:hAnsi="Arial"/>
          <w:b/>
          <w:bCs/>
          <w:sz w:val="24"/>
          <w:szCs w:val="24"/>
        </w:rPr>
        <w:t xml:space="preserve">Build enterprise features based on paying customer requests. </w:t>
      </w:r>
      <w:r>
        <w:rPr>
          <w:rFonts w:ascii="Arial" w:cs="Arial" w:eastAsia="Arial" w:hAnsi="Arial"/>
          <w:sz w:val="24"/>
          <w:szCs w:val="24"/>
        </w:rPr>
        <w:t xml:space="preserve">Do not guess what enterprises need. Let the first 5–10 paying customers tell you. Common requests will likely include: OIDC bridge, SIEM export, admin dashboard, multi-broker HA.</w:t>
      </w:r>
    </w:p>
    <w:p>
      <w:r>
        <w:br w:type="page"/>
      </w:r>
    </w:p>
    <w:p>
      <w:pPr>
        <w:pStyle w:val="Heading1"/>
      </w:pPr>
      <w:r>
        <w:t xml:space="preserve">4. Positioning Framework</w:t>
      </w:r>
    </w:p>
    <w:p>
      <w:pPr>
        <w:pStyle w:val="Heading2"/>
      </w:pPr>
      <w:r>
        <w:t xml:space="preserve">The Core Message</w:t>
      </w:r>
    </w:p>
    <w:p>
      <w:pPr>
        <w:spacing w:after="120"/>
      </w:pPr>
      <w:r>
        <w:rPr>
          <w:rFonts w:ascii="Arial" w:cs="Arial" w:eastAsia="Arial" w:hAnsi="Arial"/>
          <w:b/>
          <w:bCs/>
          <w:i/>
          <w:iCs/>
          <w:color w:val="1F4E79"/>
          <w:sz w:val="28"/>
          <w:szCs w:val="28"/>
        </w:rPr>
        <w:t xml:space="preserve">“OAuth was built for humans. AI agents need a different protocol.”</w:t>
      </w:r>
    </w:p>
    <w:p>
      <w:pPr>
        <w:spacing w:after="200"/>
      </w:pPr>
      <w:r>
        <w:rPr>
          <w:rFonts w:ascii="Arial" w:cs="Arial" w:eastAsia="Arial" w:hAnsi="Arial"/>
          <w:sz w:val="24"/>
          <w:szCs w:val="24"/>
        </w:rPr>
        <w:t xml:space="preserve">This is the line that opens every conversation, every talk, every blog post. It frames the entire market around a problem statement that every security engineer recognizes as true.</w:t>
      </w:r>
    </w:p>
    <w:p>
      <w:pPr>
        <w:pStyle w:val="Heading2"/>
      </w:pPr>
      <w:r>
        <w:t xml:space="preserve">Positioning by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AgentAuth Message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Security Engineers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 using shared API keys and long-lived OAuth tokens. No per-agent audit trail. No way to revoke one compromised agent without breaking everything.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AgentAuth gives every agent a unique cryptographic identity, scoped credentials that expire in minutes, and 4-level revocation. Open source, self-hostable, auditable.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Platform Engineers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Building multi-agent orchestration but no identity layer. Agents can't verify each other. Delegation chains are trust-on-first-use.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AgentAuth provides mutual authentication, signed delegation chains with scope attenuation, and hash-chained audit trails. 15 lines of Python to integrate.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Compliance / GRC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Auditors asking how AI agents are authenticated and what they accessed. No tamper-evident logs. No least-privilege enforcement.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AgentAuth implements NIST-aligned controls: unique identity per agent, task-scoped access, immutable audit trail, and automatic credential expiration. Maps to OWASP Top 10 for Agentic AI.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Startup CTOs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 to secure AI agents for enterprise customers but can't afford CyberArk. Don't want vendor lock-in.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open-source core. Self-host or use our managed cloud. No enterprise sales call required. Start in 5 minutes.</w:t>
            </w:r>
          </w:p>
        </w:tc>
      </w:tr>
    </w:tbl>
    <w:p>
      <w:pPr>
        <w:pStyle w:val="Heading2"/>
      </w:pPr>
      <w:r>
        <w:t xml:space="preserve">Against Specific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3745"/>
        <w:gridCol w:w="3745"/>
      </w:tblGrid>
      <w:tr>
        <w:tc>
          <w:tcPr>
            <w:tcW w:type="dxa" w:w="18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vs.</w:t>
            </w:r>
          </w:p>
        </w:tc>
        <w:tc>
          <w:tcPr>
            <w:tcW w:type="dxa" w:w="374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Their Argument</w:t>
            </w:r>
          </w:p>
        </w:tc>
        <w:tc>
          <w:tcPr>
            <w:tcW w:type="dxa" w:w="374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Your Counter</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CyberArk</w:t>
            </w:r>
          </w:p>
        </w:tc>
        <w:tc>
          <w:tcPr>
            <w:tcW w:type="dxa" w:w="374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 protect all identities including agents.”</w:t>
            </w:r>
          </w:p>
        </w:tc>
        <w:tc>
          <w:tcPr>
            <w:tcW w:type="dxa" w:w="374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bolt agent controls onto PAM. We built the protocol from scratch for ephemeral agent lifecycles. Also, we’re free to start.”</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Okta/Auth0</w:t>
            </w:r>
          </w:p>
        </w:tc>
        <w:tc>
          <w:tcPr>
            <w:tcW w:type="dxa" w:w="374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for GenAI in a few lines of code.”</w:t>
            </w:r>
          </w:p>
        </w:tc>
        <w:tc>
          <w:tcPr>
            <w:tcW w:type="dxa" w:w="374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 tokens last 15+ minutes. Our credentials last 5. OAuth has no delegation chains. No agent mutual auth. Different protocol for a different problem.”</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DeepSecure</w:t>
            </w:r>
          </w:p>
        </w:tc>
        <w:tc>
          <w:tcPr>
            <w:tcW w:type="dxa" w:w="374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features, already has a Python SDK.”</w:t>
            </w:r>
          </w:p>
        </w:tc>
        <w:tc>
          <w:tcPr>
            <w:tcW w:type="dxa" w:w="374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 designed the pattern they’re implementing. Our architecture has SPIFFE IDs, 4-level revocation, hash-chained audit, and mutual auth — none of which they have. We’re deeper.”</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Astrix / Entro / Oasis</w:t>
            </w:r>
          </w:p>
        </w:tc>
        <w:tc>
          <w:tcPr>
            <w:tcW w:type="dxa" w:w="374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 discover and govern all your NHIs.”</w:t>
            </w:r>
          </w:p>
        </w:tc>
        <w:tc>
          <w:tcPr>
            <w:tcW w:type="dxa" w:w="374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manage existing secrets. We replace them. We’re complementary — use us as the credential issuance layer under your governance platform.”</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SPIFFE/SPIRE</w:t>
            </w:r>
          </w:p>
        </w:tc>
        <w:tc>
          <w:tcPr>
            <w:tcW w:type="dxa" w:w="374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“CNCF standard for workload identity.”</w:t>
            </w:r>
          </w:p>
        </w:tc>
        <w:tc>
          <w:tcPr>
            <w:tcW w:type="dxa" w:w="374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“SPIFFE for identity, AgentAuth for agent-specific authorization, delegation, and audit. We use SPIFFE IDs. We add what SPIFFE doesn’t: task scoping, delegation chains, revocation levels.”</w:t>
            </w:r>
          </w:p>
        </w:tc>
      </w:tr>
    </w:tbl>
    <w:p>
      <w:r>
        <w:br w:type="page"/>
      </w:r>
    </w:p>
    <w:p>
      <w:pPr>
        <w:pStyle w:val="Heading1"/>
      </w:pPr>
      <w:r>
        <w:t xml:space="preserve">5. 90-Day Action Plan</w:t>
      </w:r>
    </w:p>
    <w:p>
      <w:pPr>
        <w:spacing w:after="200"/>
      </w:pPr>
      <w:r>
        <w:rPr>
          <w:rFonts w:ascii="Arial" w:cs="Arial" w:eastAsia="Arial" w:hAnsi="Arial"/>
          <w:sz w:val="24"/>
          <w:szCs w:val="24"/>
        </w:rPr>
        <w:t xml:space="preserve">Sequenced for a solo builder on bootstrap capital. Each action builds on the previous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560"/>
        <w:gridCol w:w="24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P0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and submit NIST public comment on agent identity standards (deadline April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in federal standards record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P0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Python SDK: pip install agentauth, 5-min quickstart, LangChain example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 on-ramp exists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20"/>
                <w:szCs w:val="20"/>
              </w:rPr>
              <w:t xml:space="preserve">P1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and publish “Why OAuth Fails for AI Agents” blog post with CVE case study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Hacker News / LinkedIn distribution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P0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Hunt + Show HN launch with SDK, demo GIF, and live playground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wave of GitHub stars and users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20"/>
                <w:szCs w:val="20"/>
              </w:rPr>
              <w:t xml:space="preserve">P1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CFPs: BSides, OWASP AppSec, AI Engineer Summit, KubeCon Security Day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Conference pipeline for H2 2026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20"/>
                <w:szCs w:val="20"/>
              </w:rPr>
              <w:t xml:space="preserve">P1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 comparison: “AgentAuth vs. DeepSecure vs. SPIFFE for AI Agents”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search traffic, position as authority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P2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 SDK + MCP gateway prototype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 JS ecosystem + MCP trend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20"/>
                <w:szCs w:val="20"/>
              </w:rPr>
              <w:t xml:space="preserve">P1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AgentAuth Cloud waitlist. Landing page with pricing tiers.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pipeline begins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D7D31"/>
                <w:sz w:val="20"/>
                <w:szCs w:val="20"/>
              </w:rPr>
              <w:t xml:space="preserve">P1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Engage OWASP NHI Top 10 and CSA Agentic AI working groups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Standards community presence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P2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 AgentAuth Cloud (hosted Pro tier) to first 10 customers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revenue</w:t>
            </w:r>
          </w:p>
        </w:tc>
      </w:tr>
    </w:tbl>
    <w:p>
      <w:r>
        <w:br w:type="page"/>
      </w:r>
    </w:p>
    <w:p>
      <w:pPr>
        <w:pStyle w:val="Heading1"/>
      </w:pPr>
      <w:r>
        <w:t xml:space="preserve">6. One-Page Pitch</w:t>
      </w:r>
    </w:p>
    <w:p>
      <w:pPr>
        <w:spacing w:after="300"/>
      </w:pPr>
      <w:r>
        <w:rPr>
          <w:rFonts w:ascii="Arial" w:cs="Arial" w:eastAsia="Arial" w:hAnsi="Arial"/>
          <w:i/>
          <w:iCs/>
          <w:color w:val="666666"/>
          <w:sz w:val="22"/>
          <w:szCs w:val="22"/>
        </w:rPr>
        <w:t xml:space="preserve">Use this as the foundation for your website hero section, investor conversations, conference talk abstracts, and sales conversations.</w:t>
      </w:r>
    </w:p>
    <w:p>
      <w:pPr>
        <w:pBdr>
          <w:top w:val="single" w:color="1F4E79" w:sz="12" w:space="8"/>
          <w:bottom w:val="single" w:color="CCCCCC" w:sz="1" w:space="4"/>
          <w:left w:val="single" w:color="1F4E79" w:sz="12" w:space="8"/>
          <w:right w:val="single" w:color="CCCCCC" w:sz="1" w:space="4"/>
        </w:pBdr>
        <w:spacing w:after="0"/>
      </w:pPr>
      <w:r>
        <w:rPr>
          <w:rFonts w:ascii="Arial" w:cs="Arial" w:eastAsia="Arial" w:hAnsi="Arial"/>
          <w:b/>
          <w:bCs/>
          <w:color w:val="1F4E79"/>
          <w:sz w:val="20"/>
          <w:szCs w:val="20"/>
        </w:rPr>
        <w:t xml:space="preserve">THE PROBLEM</w:t>
      </w:r>
    </w:p>
    <w:p>
      <w:pPr>
        <w:pBdr>
          <w:left w:val="single" w:color="1F4E79" w:sz="12" w:space="8"/>
          <w:right w:val="single" w:color="CCCCCC" w:sz="1" w:space="4"/>
        </w:pBdr>
        <w:spacing w:after="200"/>
      </w:pPr>
      <w:r>
        <w:rPr>
          <w:rFonts w:ascii="Arial" w:cs="Arial" w:eastAsia="Arial" w:hAnsi="Arial"/>
          <w:sz w:val="22"/>
          <w:szCs w:val="22"/>
        </w:rPr>
        <w:t xml:space="preserve">AI agents are the new attack surface. They spawn in milliseconds, access sensitive data, delegate to other agents, and terminate — all while carrying credentials designed for humans. 97% of non-human identities have excessive privileges. OAuth tokens last 15 minutes when the agent lives for 2. Every minute a credential exists beyond its task is a minute an attacker can use it.</w:t>
      </w:r>
    </w:p>
    <w:p>
      <w:pPr>
        <w:pBdr>
          <w:left w:val="single" w:color="1F4E79" w:sz="12" w:space="8"/>
          <w:right w:val="single" w:color="CCCCCC" w:sz="1" w:space="4"/>
        </w:pBdr>
        <w:spacing w:after="0"/>
      </w:pPr>
      <w:r>
        <w:rPr>
          <w:rFonts w:ascii="Arial" w:cs="Arial" w:eastAsia="Arial" w:hAnsi="Arial"/>
          <w:b/>
          <w:bCs/>
          <w:color w:val="1F4E79"/>
          <w:sz w:val="20"/>
          <w:szCs w:val="20"/>
        </w:rPr>
        <w:t xml:space="preserve">THE SOLUTION</w:t>
      </w:r>
    </w:p>
    <w:p>
      <w:pPr>
        <w:pBdr>
          <w:left w:val="single" w:color="1F4E79" w:sz="12" w:space="8"/>
          <w:right w:val="single" w:color="CCCCCC" w:sz="1" w:space="4"/>
        </w:pBdr>
        <w:spacing w:after="200"/>
      </w:pPr>
      <w:r>
        <w:rPr>
          <w:rFonts w:ascii="Arial" w:cs="Arial" w:eastAsia="Arial" w:hAnsi="Arial"/>
          <w:sz w:val="22"/>
          <w:szCs w:val="22"/>
        </w:rPr>
        <w:t xml:space="preserve">AgentAuth issues ephemeral, scoped credentials to AI agents through Ed25519 challenge-response authentication. Every agent gets a unique cryptographic identity (SPIFFE ID), task-scoped permissions that expire in minutes, signed delegation chains for multi-agent workflows, and a tamper-evident audit trail. No shared secrets. No long-lived tokens. No credential sprawl.</w:t>
      </w:r>
    </w:p>
    <w:p>
      <w:pPr>
        <w:pBdr>
          <w:left w:val="single" w:color="1F4E79" w:sz="12" w:space="8"/>
          <w:right w:val="single" w:color="CCCCCC" w:sz="1" w:space="4"/>
        </w:pBdr>
        <w:spacing w:after="0"/>
      </w:pPr>
      <w:r>
        <w:rPr>
          <w:rFonts w:ascii="Arial" w:cs="Arial" w:eastAsia="Arial" w:hAnsi="Arial"/>
          <w:b/>
          <w:bCs/>
          <w:color w:val="1F4E79"/>
          <w:sz w:val="20"/>
          <w:szCs w:val="20"/>
        </w:rPr>
        <w:t xml:space="preserve">WHY US</w:t>
      </w:r>
    </w:p>
    <w:p>
      <w:pPr>
        <w:pBdr>
          <w:bottom w:val="single" w:color="1F4E79" w:sz="12" w:space="8"/>
          <w:left w:val="single" w:color="1F4E79" w:sz="12" w:space="8"/>
          <w:right w:val="single" w:color="CCCCCC" w:sz="1" w:space="4"/>
        </w:pBdr>
        <w:spacing w:after="200"/>
      </w:pPr>
      <w:r>
        <w:rPr>
          <w:rFonts w:ascii="Arial" w:cs="Arial" w:eastAsia="Arial" w:hAnsi="Arial"/>
          <w:sz w:val="22"/>
          <w:szCs w:val="22"/>
        </w:rPr>
        <w:t xml:space="preserve">We wrote the security pattern. Then we built it. AgentAuth implements the Ephemeral Agent Credentialing pattern — a seven-component architecture recognized by OWASP and aligned with NIST guidance on AI agent identity. Open source, self-hostable, and ready for production. Enterprise IAM vendors are bolting agent features onto platforms designed for humans. We built the protocol from first principles for ephemeral machine identities.</w:t>
      </w:r>
    </w:p>
    <w:p>
      <w:pPr>
        <w:spacing w:before="200"/>
      </w:pPr>
    </w:p>
    <w:p>
      <w:pPr>
        <w:pBdr>
          <w:top w:val="single" w:color="2E75B6" w:sz="6" w:space="8"/>
        </w:pBdr>
        <w:spacing w:before="200"/>
      </w:pPr>
      <w:r>
        <w:rPr>
          <w:rFonts w:ascii="Arial" w:cs="Arial" w:eastAsia="Arial" w:hAnsi="Arial"/>
          <w:i/>
          <w:iCs/>
          <w:color w:val="666666"/>
          <w:sz w:val="20"/>
          <w:szCs w:val="20"/>
        </w:rPr>
        <w:t xml:space="preserve">Analysis date: March 2, 2026. Strategy should be reviewed quarterly as the market evolves rapidly.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AgentAuth GTM Strategy — March 2,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2026-03-02T01:21:27.034Z</dcterms:created>
  <dcterms:modified xsi:type="dcterms:W3CDTF">2026-03-02T01:21:27.034Z</dcterms:modified>
</cp:coreProperties>
</file>

<file path=docProps/custom.xml><?xml version="1.0" encoding="utf-8"?>
<Properties xmlns="http://schemas.openxmlformats.org/officeDocument/2006/custom-properties" xmlns:vt="http://schemas.openxmlformats.org/officeDocument/2006/docPropsVTypes"/>
</file>