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2"/>
          <w:szCs w:val="32"/>
        </w:rPr>
        <w:t xml:space="preserve">Public Comment on NIST NCCoE Concept Paper</w:t>
      </w:r>
    </w:p>
    <w:p>
      <w:pPr>
        <w:spacing w:after="200"/>
      </w:pPr>
      <w:r>
        <w:rPr>
          <w:rFonts w:ascii="Arial" w:cs="Arial" w:eastAsia="Arial" w:hAnsi="Arial"/>
          <w:i/>
          <w:iCs/>
          <w:color w:val="2E75B6"/>
          <w:sz w:val="26"/>
          <w:szCs w:val="26"/>
        </w:rPr>
        <w:t xml:space="preserve">“Accelerating the Adoption of Software and AI Agent Identity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Submitted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Devon Artis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 Ephemeral Agent Credentialing Security Pattern (v1.2, January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Affiliation: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Security Researcher and Developer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Submitted 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AI-Identity@nist.gov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Pattern: </w:t>
            </w:r>
            <w:r>
              <w:rPr>
                <w:rFonts w:ascii="Arial" w:cs="Arial" w:eastAsia="Arial" w:hAnsi="Arial"/>
                <w:sz w:val="20"/>
                <w:szCs w:val="20"/>
              </w:rPr>
              <w:t xml:space="preserve">github.com/devonartis/AI-Security-Blueprints/patterns/ephemeral-agent-credentialing/v1.2</w:t>
            </w:r>
          </w:p>
        </w:tc>
      </w:tr>
    </w:tbl>
    <w:p>
      <w:pPr>
        <w:spacing w:after="100"/>
      </w:pPr>
      <w:r>
        <w:rPr>
          <w:rFonts w:ascii="Arial" w:cs="Arial" w:eastAsia="Arial" w:hAnsi="Arial"/>
          <w:sz w:val="24"/>
          <w:szCs w:val="24"/>
        </w:rPr>
        <w:t xml:space="preserve"/>
      </w:r>
    </w:p>
    <w:p>
      <w:pPr>
        <w:pStyle w:val="Heading1"/>
      </w:pPr>
      <w:r>
        <w:t xml:space="preserve">1. Executive Summary</w:t>
      </w:r>
    </w:p>
    <w:p>
      <w:pPr>
        <w:spacing w:after="200"/>
      </w:pPr>
      <w:r>
        <w:rPr>
          <w:rFonts w:ascii="Arial" w:cs="Arial" w:eastAsia="Arial" w:hAnsi="Arial"/>
          <w:sz w:val="24"/>
          <w:szCs w:val="24"/>
        </w:rPr>
        <w:t xml:space="preserve">This comment responds to the NCCoE concept paper from the perspective of a practitioner who has designed and published a complete security pattern for AI agent identity and authorization, and is currently developing a reference implementation that validates the pattern’s architectural decisions. The Ephemeral Agent Credentialing pattern (v1.2) is a seven-component architecture that addresses the four focus areas identified in the concept paper: identification, authorization, access delegation, and logging/transparency.</w:t>
      </w:r>
    </w:p>
    <w:p>
      <w:pPr>
        <w:spacing w:after="200"/>
      </w:pPr>
      <w:r>
        <w:rPr>
          <w:rFonts w:ascii="Arial" w:cs="Arial" w:eastAsia="Arial" w:hAnsi="Arial"/>
          <w:sz w:val="24"/>
          <w:szCs w:val="24"/>
        </w:rPr>
        <w:t xml:space="preserve">The central argument of this comment is that AI agents require purpose-built identity primitives, not extensions of protocols designed for human users or long-lived services. The ephemeral, non-deterministic, and delegating nature of AI agents creates a credential lifecycle that traditional IAM systems were not designed to manage. Specifically:</w:t>
      </w:r>
    </w:p>
    <w:p>
      <w:pPr>
        <w:pStyle w:val="ListParagraph"/>
        <w:numPr>
          <w:ilvl w:val="0"/>
          <w:numId w:val="2"/>
        </w:numPr>
      </w:pPr>
      <w:r>
        <w:rPr>
          <w:rFonts w:ascii="Arial" w:cs="Arial" w:eastAsia="Arial" w:hAnsi="Arial"/>
          <w:b/>
          <w:bCs/>
          <w:sz w:val="24"/>
          <w:szCs w:val="24"/>
        </w:rPr>
        <w:t xml:space="preserve">Agents need per-instance identities, </w:t>
      </w:r>
      <w:r>
        <w:rPr>
          <w:rFonts w:ascii="Arial" w:cs="Arial" w:eastAsia="Arial" w:hAnsi="Arial"/>
          <w:sz w:val="24"/>
          <w:szCs w:val="24"/>
        </w:rPr>
        <w:t xml:space="preserve">not shared service accounts. Each agent instance should receive a unique, cryptographically-bound identity through challenge-response attestation.</w:t>
      </w:r>
    </w:p>
    <w:p>
      <w:pPr>
        <w:pStyle w:val="ListParagraph"/>
        <w:numPr>
          <w:ilvl w:val="0"/>
          <w:numId w:val="2"/>
        </w:numPr>
      </w:pPr>
      <w:r>
        <w:rPr>
          <w:rFonts w:ascii="Arial" w:cs="Arial" w:eastAsia="Arial" w:hAnsi="Arial"/>
          <w:b/>
          <w:bCs/>
          <w:sz w:val="24"/>
          <w:szCs w:val="24"/>
        </w:rPr>
        <w:t xml:space="preserve">Credentials must be task-scoped and short-lived, </w:t>
      </w:r>
      <w:r>
        <w:rPr>
          <w:rFonts w:ascii="Arial" w:cs="Arial" w:eastAsia="Arial" w:hAnsi="Arial"/>
          <w:sz w:val="24"/>
          <w:szCs w:val="24"/>
        </w:rPr>
        <w:t xml:space="preserve">not session-based. An agent completing a 2-minute task should not carry a 15-minute OAuth token.</w:t>
      </w:r>
    </w:p>
    <w:p>
      <w:pPr>
        <w:pStyle w:val="ListParagraph"/>
        <w:numPr>
          <w:ilvl w:val="0"/>
          <w:numId w:val="2"/>
        </w:numPr>
      </w:pPr>
      <w:r>
        <w:rPr>
          <w:rFonts w:ascii="Arial" w:cs="Arial" w:eastAsia="Arial" w:hAnsi="Arial"/>
          <w:b/>
          <w:bCs/>
          <w:sz w:val="24"/>
          <w:szCs w:val="24"/>
        </w:rPr>
        <w:t xml:space="preserve">Multi-agent delegation requires cryptographic chain verification, </w:t>
      </w:r>
      <w:r>
        <w:rPr>
          <w:rFonts w:ascii="Arial" w:cs="Arial" w:eastAsia="Arial" w:hAnsi="Arial"/>
          <w:sz w:val="24"/>
          <w:szCs w:val="24"/>
        </w:rPr>
        <w:t xml:space="preserve">not implicit trust propagation. When Agent A delegates to Agent B, the scope must narrow (never expand), and the chain must be tamper-evident.</w:t>
      </w:r>
    </w:p>
    <w:p>
      <w:pPr>
        <w:pStyle w:val="ListParagraph"/>
        <w:numPr>
          <w:ilvl w:val="0"/>
          <w:numId w:val="2"/>
        </w:numPr>
        <w:spacing w:after="200"/>
      </w:pPr>
      <w:r>
        <w:rPr>
          <w:rFonts w:ascii="Arial" w:cs="Arial" w:eastAsia="Arial" w:hAnsi="Arial"/>
          <w:b/>
          <w:bCs/>
          <w:sz w:val="24"/>
          <w:szCs w:val="24"/>
        </w:rPr>
        <w:t xml:space="preserve">Audit trails must be hash-chained and immutable, </w:t>
      </w:r>
      <w:r>
        <w:rPr>
          <w:rFonts w:ascii="Arial" w:cs="Arial" w:eastAsia="Arial" w:hAnsi="Arial"/>
          <w:sz w:val="24"/>
          <w:szCs w:val="24"/>
        </w:rPr>
        <w:t xml:space="preserve">not append-only logs. Post-incident forensics requires tamper-evident event chains that can prove no records were altered.</w:t>
      </w:r>
    </w:p>
    <w:p>
      <w:pPr>
        <w:pStyle w:val="Heading1"/>
      </w:pPr>
      <w:r>
        <w:t xml:space="preserve">2. Identification: Distinguishing AI Agents from Human Users</w:t>
      </w:r>
    </w:p>
    <w:p>
      <w:pPr>
        <w:spacing w:after="200"/>
      </w:pPr>
      <w:r>
        <w:rPr>
          <w:rFonts w:ascii="Arial" w:cs="Arial" w:eastAsia="Arial" w:hAnsi="Arial"/>
          <w:sz w:val="24"/>
          <w:szCs w:val="24"/>
        </w:rPr>
        <w:t xml:space="preserve">The concept paper asks how organizations can distinguish AI agents from human users and manage metadata to control agent actions. This is the foundational question, and our experience designing and implementing this capability reveals several non-obvious requirements.</w:t>
      </w:r>
    </w:p>
    <w:p>
      <w:pPr>
        <w:pStyle w:val="Heading2"/>
      </w:pPr>
      <w:r>
        <w:t xml:space="preserve">2.1 Challenge-Response Identity Issuance</w:t>
      </w:r>
    </w:p>
    <w:p>
      <w:pPr>
        <w:spacing w:after="200"/>
      </w:pPr>
      <w:r>
        <w:rPr>
          <w:rFonts w:ascii="Arial" w:cs="Arial" w:eastAsia="Arial" w:hAnsi="Arial"/>
          <w:sz w:val="24"/>
          <w:szCs w:val="24"/>
        </w:rPr>
        <w:t xml:space="preserve">The Ephemeral Agent Credentialing pattern addresses identification through Ed25519 challenge-response attestation. Each agent instance generates an ephemeral Ed25519 keypair in memory, requests a cryptographic nonce from the credential service (64-character hex, 30-second TTL, single-use), signs the nonce bytes with its private key, and submits the signature along with its public key for verification. Upon successful verification, the agent receives a SPIFFE-format identity:</w:t>
      </w:r>
    </w:p>
    <w:p>
      <w:pPr>
        <w:spacing w:after="200"/>
      </w:pPr>
      <w:r>
        <w:rPr>
          <w:rFonts w:ascii="Courier New" w:cs="Courier New" w:eastAsia="Courier New" w:hAnsi="Courier New"/>
          <w:sz w:val="22"/>
          <w:szCs w:val="22"/>
        </w:rPr>
        <w:t xml:space="preserve">spiffe://{trust_domain}/agent/{orchestration_id}/{task_id}/{instance_id}</w:t>
      </w:r>
    </w:p>
    <w:p>
      <w:pPr>
        <w:spacing w:after="200"/>
      </w:pPr>
      <w:r>
        <w:rPr>
          <w:rFonts w:ascii="Arial" w:cs="Arial" w:eastAsia="Arial" w:hAnsi="Arial"/>
          <w:sz w:val="24"/>
          <w:szCs w:val="24"/>
        </w:rPr>
        <w:t xml:space="preserve">This approach provides three properties that OAuth and SAML do not:</w:t>
      </w:r>
    </w:p>
    <w:p>
      <w:pPr>
        <w:pStyle w:val="ListParagraph"/>
        <w:numPr>
          <w:ilvl w:val="0"/>
          <w:numId w:val="2"/>
        </w:numPr>
      </w:pPr>
      <w:r>
        <w:rPr>
          <w:rFonts w:ascii="Arial" w:cs="Arial" w:eastAsia="Arial" w:hAnsi="Arial"/>
          <w:b/>
          <w:bCs/>
          <w:sz w:val="24"/>
          <w:szCs w:val="24"/>
        </w:rPr>
        <w:t xml:space="preserve">Cryptographic binding: </w:t>
      </w:r>
      <w:r>
        <w:rPr>
          <w:rFonts w:ascii="Arial" w:cs="Arial" w:eastAsia="Arial" w:hAnsi="Arial"/>
          <w:sz w:val="24"/>
          <w:szCs w:val="24"/>
        </w:rPr>
        <w:t xml:space="preserve">The agent proves it holds a private key. The identity cannot be transferred to another agent or replayed.</w:t>
      </w:r>
    </w:p>
    <w:p>
      <w:pPr>
        <w:pStyle w:val="ListParagraph"/>
        <w:numPr>
          <w:ilvl w:val="0"/>
          <w:numId w:val="2"/>
        </w:numPr>
      </w:pPr>
      <w:r>
        <w:rPr>
          <w:rFonts w:ascii="Arial" w:cs="Arial" w:eastAsia="Arial" w:hAnsi="Arial"/>
          <w:b/>
          <w:bCs/>
          <w:sz w:val="24"/>
          <w:szCs w:val="24"/>
        </w:rPr>
        <w:t xml:space="preserve">Per-instance uniqueness: </w:t>
      </w:r>
      <w:r>
        <w:rPr>
          <w:rFonts w:ascii="Arial" w:cs="Arial" w:eastAsia="Arial" w:hAnsi="Arial"/>
          <w:sz w:val="24"/>
          <w:szCs w:val="24"/>
        </w:rPr>
        <w:t xml:space="preserve">Two agents performing the same task receive different identities. Attribution is unambiguous.</w:t>
      </w:r>
    </w:p>
    <w:p>
      <w:pPr>
        <w:pStyle w:val="ListParagraph"/>
        <w:numPr>
          <w:ilvl w:val="0"/>
          <w:numId w:val="2"/>
        </w:numPr>
        <w:spacing w:after="200"/>
      </w:pPr>
      <w:r>
        <w:rPr>
          <w:rFonts w:ascii="Arial" w:cs="Arial" w:eastAsia="Arial" w:hAnsi="Arial"/>
          <w:b/>
          <w:bCs/>
          <w:sz w:val="24"/>
          <w:szCs w:val="24"/>
        </w:rPr>
        <w:t xml:space="preserve">Contextual metadata: </w:t>
      </w:r>
      <w:r>
        <w:rPr>
          <w:rFonts w:ascii="Arial" w:cs="Arial" w:eastAsia="Arial" w:hAnsi="Arial"/>
          <w:sz w:val="24"/>
          <w:szCs w:val="24"/>
        </w:rPr>
        <w:t xml:space="preserve">The SPIFFE ID encodes orchestration context, task context, and instance identity in a standardized format.</w:t>
      </w:r>
    </w:p>
    <w:p>
      <w:pPr>
        <w:pStyle w:val="Heading2"/>
      </w:pPr>
      <w:r>
        <w:t xml:space="preserve">2.2 Why SPIFFE Matters for Interoperability</w:t>
      </w:r>
    </w:p>
    <w:p>
      <w:pPr>
        <w:spacing w:after="200"/>
      </w:pPr>
      <w:r>
        <w:rPr>
          <w:rFonts w:ascii="Arial" w:cs="Arial" w:eastAsia="Arial" w:hAnsi="Arial"/>
          <w:sz w:val="24"/>
          <w:szCs w:val="24"/>
        </w:rPr>
        <w:t xml:space="preserve">Our implementation uses SPIFFE-format identities specifically because SPIFFE is a CNCF-graduated standard with broad ecosystem support. However, we intentionally do not require SPIRE (the SPIFFE reference implementation) because its infrastructure requirements (dedicated server, per-node agents, certificate authority, persistence layer) conflict with the lightweight deployment model AI agent environments require. The pattern satisfies SPIFFE’s identity semantics through a self-contained Ed25519 attestation mechanism that produces interoperable SPIFFE IDs without the infrastructure overhead.</w:t>
      </w:r>
    </w:p>
    <w:p>
      <w:pPr>
        <w:spacing w:after="200"/>
      </w:pPr>
      <w:r>
        <w:rPr>
          <w:rFonts w:ascii="Arial" w:cs="Arial" w:eastAsia="Arial" w:hAnsi="Arial"/>
          <w:b/>
          <w:bCs/>
          <w:sz w:val="24"/>
          <w:szCs w:val="24"/>
        </w:rPr>
        <w:t xml:space="preserve">Recommendation to NIST: </w:t>
      </w:r>
      <w:r>
        <w:rPr>
          <w:rFonts w:ascii="Arial" w:cs="Arial" w:eastAsia="Arial" w:hAnsi="Arial"/>
          <w:sz w:val="24"/>
          <w:szCs w:val="24"/>
        </w:rPr>
        <w:t xml:space="preserve">The demonstration should evaluate both SPIRE-based and alternative attestation mechanisms for AI agent identity. Mandating SPIRE specifically would create an unnecessary barrier for lightweight agent deployments while mandating only OAuth would miss the need for cryptographic identity binding.</w:t>
      </w:r>
    </w:p>
    <w:p>
      <w:pPr>
        <w:pStyle w:val="Heading2"/>
      </w:pPr>
      <w:r>
        <w:t xml:space="preserve">2.3 Agent-to-Agent Mutual Authentication</w:t>
      </w:r>
    </w:p>
    <w:p>
      <w:pPr>
        <w:spacing w:after="200"/>
      </w:pPr>
      <w:r>
        <w:rPr>
          <w:rFonts w:ascii="Arial" w:cs="Arial" w:eastAsia="Arial" w:hAnsi="Arial"/>
          <w:sz w:val="24"/>
          <w:szCs w:val="24"/>
        </w:rPr>
        <w:t xml:space="preserve">The concept paper’s focus on identification should extend to agent-to-agent identification, not just agent-to-service. In multi-agent workflows, Agent A may need to verify Agent B’s identity before sharing data or delegating work. Our pattern includes a 3-step mutual authentication handshake where both agents present and verify each other’s credentials cryptographically. This addresses OWASP’s ASI07 (Insecure Inter-Agent Communication) directly.</w:t>
      </w:r>
    </w:p>
    <w:p>
      <w:r>
        <w:br w:type="page"/>
      </w:r>
    </w:p>
    <w:p>
      <w:pPr>
        <w:pStyle w:val="Heading1"/>
      </w:pPr>
      <w:r>
        <w:t xml:space="preserve">3. Authorization: Defining and Enforcing AI Agent Rights</w:t>
      </w:r>
    </w:p>
    <w:p>
      <w:pPr>
        <w:spacing w:after="200"/>
      </w:pPr>
      <w:r>
        <w:rPr>
          <w:rFonts w:ascii="Arial" w:cs="Arial" w:eastAsia="Arial" w:hAnsi="Arial"/>
          <w:sz w:val="24"/>
          <w:szCs w:val="24"/>
        </w:rPr>
        <w:t xml:space="preserve">The concept paper identifies OAuth 2.0 extensions and policy-based access control as authorization approaches. Our design and implementation experience suggests that while OAuth 2.0 provides useful authorization primitives, its token lifecycle model is mismatched with AI agent behavior.</w:t>
      </w:r>
    </w:p>
    <w:p>
      <w:pPr>
        <w:pStyle w:val="Heading2"/>
      </w:pPr>
      <w:r>
        <w:t xml:space="preserve">3.1 The Token Lifetime Problem</w:t>
      </w:r>
    </w:p>
    <w:p>
      <w:pPr>
        <w:spacing w:after="200"/>
      </w:pPr>
      <w:r>
        <w:rPr>
          <w:rFonts w:ascii="Arial" w:cs="Arial" w:eastAsia="Arial" w:hAnsi="Arial"/>
          <w:sz w:val="24"/>
          <w:szCs w:val="24"/>
        </w:rPr>
        <w:t xml:space="preserve">Standard OAuth tokens have TTLs of 15–60 minutes. AI agent tasks typically complete in 1–5 minutes. This creates unnecessary credential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OAuth (15 min)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Ephemeral (5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task 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validity after task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Exposure per 100 agents/cycle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1,300 agent-minutes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agent-minutes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exposure (1,000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21,666 agent-hours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agent-hours</w:t>
            </w:r>
          </w:p>
        </w:tc>
      </w:tr>
    </w:tbl>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The Ephemeral Agent Credentialing pattern addresses this through task-scoped tokens with default 5-minute TTLs, scope format of action:resource:identifier (e.g., read:customers:12345) that enables resource-level granularity, one-way scope attenuation where permissions can only narrow through the credential lifecycle (never expand), and optional token release where agents explicitly signal task completion for immediate credential invalidation.</w:t>
      </w:r>
    </w:p>
    <w:p>
      <w:pPr>
        <w:pStyle w:val="Heading2"/>
      </w:pPr>
      <w:r>
        <w:t xml:space="preserve">3.2 Multi-Level Revocation</w:t>
      </w:r>
    </w:p>
    <w:p>
      <w:pPr>
        <w:spacing w:after="200"/>
      </w:pPr>
      <w:r>
        <w:rPr>
          <w:rFonts w:ascii="Arial" w:cs="Arial" w:eastAsia="Arial" w:hAnsi="Arial"/>
          <w:sz w:val="24"/>
          <w:szCs w:val="24"/>
        </w:rPr>
        <w:t xml:space="preserve">A critical gap in existing authorization models is the inability to revoke credentials at different granularities. Our pattern implements four revocation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Blast Radius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Token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JWT (by JTI)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credential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Leaked token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SPIFFE 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tokens for one 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Compromised agent (prompt injection)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agents in a task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Poisoned task inputs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delegator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delegation tree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Delegation chain exploitation</w:t>
            </w:r>
          </w:p>
        </w:tc>
      </w:tr>
    </w:tbl>
    <w:p>
      <w:pPr>
        <w:spacing w:after="200"/>
      </w:pPr>
      <w:r>
        <w:rPr>
          <w:rFonts w:ascii="Arial" w:cs="Arial" w:eastAsia="Arial" w:hAnsi="Arial"/>
          <w:sz w:val="24"/>
          <w:szCs w:val="24"/>
        </w:rPr>
        <w:t xml:space="preserve"/>
      </w:r>
    </w:p>
    <w:p>
      <w:pPr>
        <w:spacing w:after="200"/>
      </w:pPr>
      <w:r>
        <w:rPr>
          <w:rFonts w:ascii="Arial" w:cs="Arial" w:eastAsia="Arial" w:hAnsi="Arial"/>
          <w:b/>
          <w:bCs/>
          <w:sz w:val="24"/>
          <w:szCs w:val="24"/>
        </w:rPr>
        <w:t xml:space="preserve">Recommendation to NIST: </w:t>
      </w:r>
      <w:r>
        <w:rPr>
          <w:rFonts w:ascii="Arial" w:cs="Arial" w:eastAsia="Arial" w:hAnsi="Arial"/>
          <w:sz w:val="24"/>
          <w:szCs w:val="24"/>
        </w:rPr>
        <w:t xml:space="preserve">The demonstration should evaluate authorization models that support granular, multi-level revocation. Single-level token revocation is insufficient for multi-agent systems where the blast radius of a compromise varies significantly by attack vector.</w:t>
      </w:r>
    </w:p>
    <w:p>
      <w:r>
        <w:br w:type="page"/>
      </w:r>
    </w:p>
    <w:p>
      <w:pPr>
        <w:pStyle w:val="Heading1"/>
      </w:pPr>
      <w:r>
        <w:t xml:space="preserve">4. Access Delegation: Maintaining Accountability in Multi-Agent Workflows</w:t>
      </w:r>
    </w:p>
    <w:p>
      <w:pPr>
        <w:spacing w:after="200"/>
      </w:pPr>
      <w:r>
        <w:rPr>
          <w:rFonts w:ascii="Arial" w:cs="Arial" w:eastAsia="Arial" w:hAnsi="Arial"/>
          <w:sz w:val="24"/>
          <w:szCs w:val="24"/>
        </w:rPr>
        <w:t xml:space="preserve">The concept paper identifies access delegation — linking user identities to AI agents — as a key focus area. Our experience designing and building delegation capabilities reveals that the challenge extends beyond user-to-agent delegation to agent-to-agent delegation chains, which are increasingly common in orchestrated AI workflows.</w:t>
      </w:r>
    </w:p>
    <w:p>
      <w:pPr>
        <w:pStyle w:val="Heading2"/>
      </w:pPr>
      <w:r>
        <w:t xml:space="preserve">4.1 Signed Delegation Chains</w:t>
      </w:r>
    </w:p>
    <w:p>
      <w:pPr>
        <w:spacing w:after="200"/>
      </w:pPr>
      <w:r>
        <w:rPr>
          <w:rFonts w:ascii="Arial" w:cs="Arial" w:eastAsia="Arial" w:hAnsi="Arial"/>
          <w:sz w:val="24"/>
          <w:szCs w:val="24"/>
        </w:rPr>
        <w:t xml:space="preserve">The Ephemeral Agent Credentialing pattern implements cryptographically signed delegation chains with the following properties:</w:t>
      </w:r>
    </w:p>
    <w:p>
      <w:pPr>
        <w:pStyle w:val="ListParagraph"/>
        <w:numPr>
          <w:ilvl w:val="0"/>
          <w:numId w:val="2"/>
        </w:numPr>
      </w:pPr>
      <w:r>
        <w:rPr>
          <w:rFonts w:ascii="Arial" w:cs="Arial" w:eastAsia="Arial" w:hAnsi="Arial"/>
          <w:b/>
          <w:bCs/>
          <w:sz w:val="24"/>
          <w:szCs w:val="24"/>
        </w:rPr>
        <w:t xml:space="preserve">Scope attenuation: </w:t>
      </w:r>
      <w:r>
        <w:rPr>
          <w:rFonts w:ascii="Arial" w:cs="Arial" w:eastAsia="Arial" w:hAnsi="Arial"/>
          <w:sz w:val="24"/>
          <w:szCs w:val="24"/>
        </w:rPr>
        <w:t xml:space="preserve">Each delegation hop can only narrow permissions. An agent with read:data:* can delegate read:data:customers but never write:data:*.</w:t>
      </w:r>
    </w:p>
    <w:p>
      <w:pPr>
        <w:pStyle w:val="ListParagraph"/>
        <w:numPr>
          <w:ilvl w:val="0"/>
          <w:numId w:val="2"/>
        </w:numPr>
      </w:pPr>
      <w:r>
        <w:rPr>
          <w:rFonts w:ascii="Arial" w:cs="Arial" w:eastAsia="Arial" w:hAnsi="Arial"/>
          <w:b/>
          <w:bCs/>
          <w:sz w:val="24"/>
          <w:szCs w:val="24"/>
        </w:rPr>
        <w:t xml:space="preserve">Chain signing: </w:t>
      </w:r>
      <w:r>
        <w:rPr>
          <w:rFonts w:ascii="Arial" w:cs="Arial" w:eastAsia="Arial" w:hAnsi="Arial"/>
          <w:sz w:val="24"/>
          <w:szCs w:val="24"/>
        </w:rPr>
        <w:t xml:space="preserve">Each delegation record is signed with the credential service’s Ed25519 key. A SHA-256 hash of the serialized chain is embedded in the delegated token’s claims, making the chain tamper-evident.</w:t>
      </w:r>
    </w:p>
    <w:p>
      <w:pPr>
        <w:pStyle w:val="ListParagraph"/>
        <w:numPr>
          <w:ilvl w:val="0"/>
          <w:numId w:val="2"/>
        </w:numPr>
      </w:pPr>
      <w:r>
        <w:rPr>
          <w:rFonts w:ascii="Arial" w:cs="Arial" w:eastAsia="Arial" w:hAnsi="Arial"/>
          <w:b/>
          <w:bCs/>
          <w:sz w:val="24"/>
          <w:szCs w:val="24"/>
        </w:rPr>
        <w:t xml:space="preserve">Depth limiting: </w:t>
      </w:r>
      <w:r>
        <w:rPr>
          <w:rFonts w:ascii="Arial" w:cs="Arial" w:eastAsia="Arial" w:hAnsi="Arial"/>
          <w:sz w:val="24"/>
          <w:szCs w:val="24"/>
        </w:rPr>
        <w:t xml:space="preserve">Maximum delegation depth of 5 hops prevents unbounded chain growth.</w:t>
      </w:r>
    </w:p>
    <w:p>
      <w:pPr>
        <w:pStyle w:val="ListParagraph"/>
        <w:numPr>
          <w:ilvl w:val="0"/>
          <w:numId w:val="2"/>
        </w:numPr>
        <w:spacing w:after="200"/>
      </w:pPr>
      <w:r>
        <w:rPr>
          <w:rFonts w:ascii="Arial" w:cs="Arial" w:eastAsia="Arial" w:hAnsi="Arial"/>
          <w:b/>
          <w:bCs/>
          <w:sz w:val="24"/>
          <w:szCs w:val="24"/>
        </w:rPr>
        <w:t xml:space="preserve">Chain-level revocation: </w:t>
      </w:r>
      <w:r>
        <w:rPr>
          <w:rFonts w:ascii="Arial" w:cs="Arial" w:eastAsia="Arial" w:hAnsi="Arial"/>
          <w:sz w:val="24"/>
          <w:szCs w:val="24"/>
        </w:rPr>
        <w:t xml:space="preserve">Revoking the root delegator invalidates every token in the delegation tree.</w:t>
      </w:r>
    </w:p>
    <w:p>
      <w:pPr>
        <w:spacing w:after="200"/>
      </w:pPr>
      <w:r>
        <w:rPr>
          <w:rFonts w:ascii="Arial" w:cs="Arial" w:eastAsia="Arial" w:hAnsi="Arial"/>
          <w:sz w:val="24"/>
          <w:szCs w:val="24"/>
        </w:rPr>
        <w:t xml:space="preserve">This addresses a gap not covered by OAuth’s token exchange (RFC 8693), which provides subject_token and actor_token semantics but does not enforce scope narrowing across delegation hops, does not maintain a cryptographic chain linking each delegation step, and does not provide chain-level revocation of the full delegation tree.</w:t>
      </w:r>
    </w:p>
    <w:p>
      <w:pPr>
        <w:pStyle w:val="Heading2"/>
      </w:pPr>
      <w:r>
        <w:t xml:space="preserve">4.2 The Secret Zero Problem</w:t>
      </w:r>
    </w:p>
    <w:p>
      <w:pPr>
        <w:spacing w:after="200"/>
      </w:pPr>
      <w:r>
        <w:rPr>
          <w:rFonts w:ascii="Arial" w:cs="Arial" w:eastAsia="Arial" w:hAnsi="Arial"/>
          <w:sz w:val="24"/>
          <w:szCs w:val="24"/>
        </w:rPr>
        <w:t xml:space="preserve">A practical challenge in agent delegation is bootstrapping: how does an agent receive its first credential before it has any identity? Traditional approaches use long-lived API keys or service account passwords, creating a single point of failure.</w:t>
      </w:r>
    </w:p>
    <w:p>
      <w:pPr>
        <w:spacing w:after="200"/>
      </w:pPr>
      <w:r>
        <w:rPr>
          <w:rFonts w:ascii="Arial" w:cs="Arial" w:eastAsia="Arial" w:hAnsi="Arial"/>
          <w:sz w:val="24"/>
          <w:szCs w:val="24"/>
        </w:rPr>
        <w:t xml:space="preserve">Our pattern solves this with single-use launch tokens: an operator creates a launch token with a specific scope ceiling and short TTL (30 seconds), delivers it to the agent or orchestrator, and the agent uses it exactly once during the challenge-response registration. The launch token is consumed and cannot be reused. This eliminates the persistent “secret zero” that plagues most NHI systems.</w:t>
      </w:r>
    </w:p>
    <w:p>
      <w:pPr>
        <w:spacing w:after="200"/>
      </w:pPr>
      <w:r>
        <w:rPr>
          <w:rFonts w:ascii="Arial" w:cs="Arial" w:eastAsia="Arial" w:hAnsi="Arial"/>
          <w:b/>
          <w:bCs/>
          <w:sz w:val="24"/>
          <w:szCs w:val="24"/>
        </w:rPr>
        <w:t xml:space="preserve">Recommendation to NIST: </w:t>
      </w:r>
      <w:r>
        <w:rPr>
          <w:rFonts w:ascii="Arial" w:cs="Arial" w:eastAsia="Arial" w:hAnsi="Arial"/>
          <w:sz w:val="24"/>
          <w:szCs w:val="24"/>
        </w:rPr>
        <w:t xml:space="preserve">The demonstration should specifically evaluate delegation chain integrity in multi-agent scenarios. Simple user-to-agent delegation (OBO/token exchange) is necessary but insufficient. The demonstration should include scenarios where Agent A delegates to Agent B, which delegates to Agent C, and test whether authorization lineage is verifiable, scope attenuation is enforced at each hop, and chain-level revocation works.</w:t>
      </w:r>
    </w:p>
    <w:p>
      <w:r>
        <w:br w:type="page"/>
      </w:r>
    </w:p>
    <w:p>
      <w:pPr>
        <w:pStyle w:val="Heading1"/>
      </w:pPr>
      <w:r>
        <w:t xml:space="preserve">5. Logging and Transparency: Tamper-Evident Audit Trails</w:t>
      </w:r>
    </w:p>
    <w:p>
      <w:pPr>
        <w:spacing w:after="200"/>
      </w:pPr>
      <w:r>
        <w:rPr>
          <w:rFonts w:ascii="Arial" w:cs="Arial" w:eastAsia="Arial" w:hAnsi="Arial"/>
          <w:sz w:val="24"/>
          <w:szCs w:val="24"/>
        </w:rPr>
        <w:t xml:space="preserve">The concept paper identifies logging and transparency as essential for linking agent actions to their non-human entity. Our design and development experience highlights that standard logging is necessary but not sufficient — tamper-evidence is required for security forensics.</w:t>
      </w:r>
    </w:p>
    <w:p>
      <w:pPr>
        <w:pStyle w:val="Heading2"/>
      </w:pPr>
      <w:r>
        <w:t xml:space="preserve">5.1 Hash-Chained Audit Trail</w:t>
      </w:r>
    </w:p>
    <w:p>
      <w:pPr>
        <w:spacing w:after="200"/>
      </w:pPr>
      <w:r>
        <w:rPr>
          <w:rFonts w:ascii="Arial" w:cs="Arial" w:eastAsia="Arial" w:hAnsi="Arial"/>
          <w:sz w:val="24"/>
          <w:szCs w:val="24"/>
        </w:rPr>
        <w:t xml:space="preserve">The Ephemeral Agent Credentialing pattern implements a hash-chained audit trail where each event includes a SHA-256 hash computed over the previous event’s hash concatenated with the current event’s data. This creates a tamper-evident chain: modifying any historical event invalidates every subsequent hash. The genesis event uses 64 zeros as its previous hash.</w:t>
      </w:r>
    </w:p>
    <w:p>
      <w:pPr>
        <w:spacing w:after="200"/>
      </w:pPr>
      <w:r>
        <w:rPr>
          <w:rFonts w:ascii="Arial" w:cs="Arial" w:eastAsia="Arial" w:hAnsi="Arial"/>
          <w:sz w:val="24"/>
          <w:szCs w:val="24"/>
        </w:rPr>
        <w:t xml:space="preserve">Each audit event records: timestamp, event type, actor identity (SPIFFE ID), target resource, action performed, result (success/failure), structured fields (resource URI, outcome, delegation depth, chain hash, bytes transferred), and PII-sanitized payload.</w:t>
      </w:r>
    </w:p>
    <w:p>
      <w:pPr>
        <w:spacing w:after="200"/>
      </w:pPr>
      <w:r>
        <w:rPr>
          <w:rFonts w:ascii="Arial" w:cs="Arial" w:eastAsia="Arial" w:hAnsi="Arial"/>
          <w:sz w:val="24"/>
          <w:szCs w:val="24"/>
        </w:rPr>
        <w:t xml:space="preserve">The pattern specifies 17+ event types covering the full agent credential lifecycle: registration, token issuance, renewal, release, revocation, delegation, scope validation failures, and administrative operations. Our in-progress reference implementation validates this design.</w:t>
      </w:r>
    </w:p>
    <w:p>
      <w:pPr>
        <w:pStyle w:val="Heading2"/>
      </w:pPr>
      <w:r>
        <w:t xml:space="preserve">5.2 Why Standard Logs Are Insufficient</w:t>
      </w:r>
    </w:p>
    <w:p>
      <w:pPr>
        <w:spacing w:after="200"/>
      </w:pPr>
      <w:r>
        <w:rPr>
          <w:rFonts w:ascii="Arial" w:cs="Arial" w:eastAsia="Arial" w:hAnsi="Arial"/>
          <w:sz w:val="24"/>
          <w:szCs w:val="24"/>
        </w:rPr>
        <w:t xml:space="preserve">Standard application logs (even structured JSON logs shipped to a SIEM) have three weaknesses for AI agent forensics:</w:t>
      </w:r>
    </w:p>
    <w:p>
      <w:pPr>
        <w:pStyle w:val="ListParagraph"/>
        <w:numPr>
          <w:ilvl w:val="0"/>
          <w:numId w:val="2"/>
        </w:numPr>
      </w:pPr>
      <w:r>
        <w:rPr>
          <w:rFonts w:ascii="Arial" w:cs="Arial" w:eastAsia="Arial" w:hAnsi="Arial"/>
          <w:b/>
          <w:bCs/>
          <w:sz w:val="24"/>
          <w:szCs w:val="24"/>
        </w:rPr>
        <w:t xml:space="preserve">No tamper evidence: </w:t>
      </w:r>
      <w:r>
        <w:rPr>
          <w:rFonts w:ascii="Arial" w:cs="Arial" w:eastAsia="Arial" w:hAnsi="Arial"/>
          <w:sz w:val="24"/>
          <w:szCs w:val="24"/>
        </w:rPr>
        <w:t xml:space="preserve">Log entries can be modified or deleted after the fact. Hash chaining makes any modification detectable.</w:t>
      </w:r>
    </w:p>
    <w:p>
      <w:pPr>
        <w:pStyle w:val="ListParagraph"/>
        <w:numPr>
          <w:ilvl w:val="0"/>
          <w:numId w:val="2"/>
        </w:numPr>
      </w:pPr>
      <w:r>
        <w:rPr>
          <w:rFonts w:ascii="Arial" w:cs="Arial" w:eastAsia="Arial" w:hAnsi="Arial"/>
          <w:b/>
          <w:bCs/>
          <w:sz w:val="24"/>
          <w:szCs w:val="24"/>
        </w:rPr>
        <w:t xml:space="preserve">No per-agent attribution: </w:t>
      </w:r>
      <w:r>
        <w:rPr>
          <w:rFonts w:ascii="Arial" w:cs="Arial" w:eastAsia="Arial" w:hAnsi="Arial"/>
          <w:sz w:val="24"/>
          <w:szCs w:val="24"/>
        </w:rPr>
        <w:t xml:space="preserve">Shared service accounts make it impossible to determine which agent performed an action. Per-instance SPIFFE IDs solve this.</w:t>
      </w:r>
    </w:p>
    <w:p>
      <w:pPr>
        <w:pStyle w:val="ListParagraph"/>
        <w:numPr>
          <w:ilvl w:val="0"/>
          <w:numId w:val="2"/>
        </w:numPr>
        <w:spacing w:after="200"/>
      </w:pPr>
      <w:r>
        <w:rPr>
          <w:rFonts w:ascii="Arial" w:cs="Arial" w:eastAsia="Arial" w:hAnsi="Arial"/>
          <w:b/>
          <w:bCs/>
          <w:sz w:val="24"/>
          <w:szCs w:val="24"/>
        </w:rPr>
        <w:t xml:space="preserve">No delegation context: </w:t>
      </w:r>
      <w:r>
        <w:rPr>
          <w:rFonts w:ascii="Arial" w:cs="Arial" w:eastAsia="Arial" w:hAnsi="Arial"/>
          <w:sz w:val="24"/>
          <w:szCs w:val="24"/>
        </w:rPr>
        <w:t xml:space="preserve">Standard logs don’t record why an agent had permission to perform an action. Our structured audit fields include delegation depth and chain hash, enabling reconstruction of the authorization lineage.</w:t>
      </w:r>
    </w:p>
    <w:p>
      <w:pPr>
        <w:spacing w:after="200"/>
      </w:pPr>
      <w:r>
        <w:rPr>
          <w:rFonts w:ascii="Arial" w:cs="Arial" w:eastAsia="Arial" w:hAnsi="Arial"/>
          <w:b/>
          <w:bCs/>
          <w:sz w:val="24"/>
          <w:szCs w:val="24"/>
        </w:rPr>
        <w:t xml:space="preserve">Recommendation to NIST: </w:t>
      </w:r>
      <w:r>
        <w:rPr>
          <w:rFonts w:ascii="Arial" w:cs="Arial" w:eastAsia="Arial" w:hAnsi="Arial"/>
          <w:sz w:val="24"/>
          <w:szCs w:val="24"/>
        </w:rPr>
        <w:t xml:space="preserve">The demonstration should evaluate audit trail integrity mechanisms, not just audit trail completeness. The difference matters for incident response and compliance: knowing what happened is useful; proving what happened (and that the record has not been tampered with) is essential.</w:t>
      </w:r>
    </w:p>
    <w:p>
      <w:r>
        <w:br w:type="page"/>
      </w:r>
    </w:p>
    <w:p>
      <w:pPr>
        <w:pStyle w:val="Heading1"/>
      </w:pPr>
      <w:r>
        <w:t xml:space="preserve">6. Mapping to Existing Standards and Protocols</w:t>
      </w:r>
    </w:p>
    <w:p>
      <w:pPr>
        <w:spacing w:after="200"/>
      </w:pPr>
      <w:r>
        <w:rPr>
          <w:rFonts w:ascii="Arial" w:cs="Arial" w:eastAsia="Arial" w:hAnsi="Arial"/>
          <w:sz w:val="24"/>
          <w:szCs w:val="24"/>
        </w:rPr>
        <w:t xml:space="preserve">The concept paper references several standards. The following table maps the Ephemeral Agent Credentialing pattern’s components to the standards mentioned in the concept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We Extend 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Addressed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SPIFFE / SPIRE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SPIFFE ID format for agent identities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Self-contained Ed25519 attestation instead of SPIRE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agent identity without infrastructure overhead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OAuth 2.0 / 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token format and Bearer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Task-scoped tokens with 5-min TTL; 4-level revocation; delegation chain signing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lifetime, revocation granularity, delegation integrity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RFC 8693 (Token Exchange)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of subject/actor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attenuation enforcement; cryptographic chain hash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Preventing privilege escalation in delegation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Agent-to-tool access pattern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injection at MCP gateway layer (planned)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management for MCP tool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OWASP Top 10 Agentic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ASI03 (Identity Abuse), ASI07 (Inter-Agent Comms)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implementation of mitigations for both risks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deployable solution for identified risks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NIST AI RMF / IR 8596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AI identity issuance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lifecycle: issuance, scoping, delegation, revocation, audit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Moving beyond “issue unique credentials” to implementation</w:t>
            </w:r>
          </w:p>
        </w:tc>
      </w:tr>
    </w:tbl>
    <w:p>
      <w:pPr>
        <w:spacing w:after="200"/>
      </w:pPr>
      <w:r>
        <w:rPr>
          <w:rFonts w:ascii="Arial" w:cs="Arial" w:eastAsia="Arial" w:hAnsi="Arial"/>
          <w:sz w:val="24"/>
          <w:szCs w:val="24"/>
        </w:rPr>
        <w:t xml:space="preserve"/>
      </w:r>
    </w:p>
    <w:p>
      <w:pPr>
        <w:pStyle w:val="Heading1"/>
      </w:pPr>
      <w:r>
        <w:t xml:space="preserve">7. Recommendations for the NCCoE Demonstration</w:t>
      </w:r>
    </w:p>
    <w:p>
      <w:pPr>
        <w:spacing w:after="200"/>
      </w:pPr>
      <w:r>
        <w:rPr>
          <w:rFonts w:ascii="Arial" w:cs="Arial" w:eastAsia="Arial" w:hAnsi="Arial"/>
          <w:sz w:val="24"/>
          <w:szCs w:val="24"/>
        </w:rPr>
        <w:t xml:space="preserve">Based on our experience designing the Ephemeral Agent Credentialing pattern and developing a reference implementation, we offer the following recommendations for the proposed NCCoE demonstration:</w:t>
      </w:r>
    </w:p>
    <w:p>
      <w:pPr>
        <w:pStyle w:val="ListParagraph"/>
        <w:numPr>
          <w:ilvl w:val="0"/>
          <w:numId w:val="3"/>
        </w:numPr>
      </w:pPr>
      <w:r>
        <w:rPr>
          <w:rFonts w:ascii="Arial" w:cs="Arial" w:eastAsia="Arial" w:hAnsi="Arial"/>
          <w:b/>
          <w:bCs/>
          <w:sz w:val="24"/>
          <w:szCs w:val="24"/>
        </w:rPr>
        <w:t xml:space="preserve">Include ephemeral credential issuance as a demonstration scenario. </w:t>
      </w:r>
      <w:r>
        <w:rPr>
          <w:rFonts w:ascii="Arial" w:cs="Arial" w:eastAsia="Arial" w:hAnsi="Arial"/>
          <w:sz w:val="24"/>
          <w:szCs w:val="24"/>
        </w:rPr>
        <w:t xml:space="preserve">The demonstration should evaluate credential lifecycle models beyond OAuth token exchange, including challenge-response attestation with task-scoped tokens that expire in minutes rather than hours.</w:t>
      </w:r>
    </w:p>
    <w:p>
      <w:pPr>
        <w:pStyle w:val="ListParagraph"/>
        <w:numPr>
          <w:ilvl w:val="0"/>
          <w:numId w:val="3"/>
        </w:numPr>
      </w:pPr>
      <w:r>
        <w:rPr>
          <w:rFonts w:ascii="Arial" w:cs="Arial" w:eastAsia="Arial" w:hAnsi="Arial"/>
          <w:b/>
          <w:bCs/>
          <w:sz w:val="24"/>
          <w:szCs w:val="24"/>
        </w:rPr>
        <w:t xml:space="preserve">Test multi-agent delegation chains. </w:t>
      </w:r>
      <w:r>
        <w:rPr>
          <w:rFonts w:ascii="Arial" w:cs="Arial" w:eastAsia="Arial" w:hAnsi="Arial"/>
          <w:sz w:val="24"/>
          <w:szCs w:val="24"/>
        </w:rPr>
        <w:t xml:space="preserve">The most complex and realistic AI agent scenario is not a single agent accessing a single resource, but a chain of agents delegating work to each other. The demonstration should include scenarios with 3+ delegation hops and verify scope attenuation, chain integrity, and chain-level revocation.</w:t>
      </w:r>
    </w:p>
    <w:p>
      <w:pPr>
        <w:pStyle w:val="ListParagraph"/>
        <w:numPr>
          <w:ilvl w:val="0"/>
          <w:numId w:val="3"/>
        </w:numPr>
      </w:pPr>
      <w:r>
        <w:rPr>
          <w:rFonts w:ascii="Arial" w:cs="Arial" w:eastAsia="Arial" w:hAnsi="Arial"/>
          <w:b/>
          <w:bCs/>
          <w:sz w:val="24"/>
          <w:szCs w:val="24"/>
        </w:rPr>
        <w:t xml:space="preserve">Evaluate both infrastructure-heavy and lightweight approaches. </w:t>
      </w:r>
      <w:r>
        <w:rPr>
          <w:rFonts w:ascii="Arial" w:cs="Arial" w:eastAsia="Arial" w:hAnsi="Arial"/>
          <w:sz w:val="24"/>
          <w:szCs w:val="24"/>
        </w:rPr>
        <w:t xml:space="preserve">SPIRE + OPA provides a robust but infrastructure-heavy identity and policy stack. Self-contained approaches (like our Ed25519 attestation) provide the same security properties with lower operational complexity. Both have valid use cases; the demonstration should compare them.</w:t>
      </w:r>
    </w:p>
    <w:p>
      <w:pPr>
        <w:pStyle w:val="ListParagraph"/>
        <w:numPr>
          <w:ilvl w:val="0"/>
          <w:numId w:val="3"/>
        </w:numPr>
      </w:pPr>
      <w:r>
        <w:rPr>
          <w:rFonts w:ascii="Arial" w:cs="Arial" w:eastAsia="Arial" w:hAnsi="Arial"/>
          <w:b/>
          <w:bCs/>
          <w:sz w:val="24"/>
          <w:szCs w:val="24"/>
        </w:rPr>
        <w:t xml:space="preserve">Require tamper-evident audit trails, not just logging. </w:t>
      </w:r>
      <w:r>
        <w:rPr>
          <w:rFonts w:ascii="Arial" w:cs="Arial" w:eastAsia="Arial" w:hAnsi="Arial"/>
          <w:sz w:val="24"/>
          <w:szCs w:val="24"/>
        </w:rPr>
        <w:t xml:space="preserve">The demonstration should evaluate whether audit mechanisms can detect post-hoc tampering, not just whether they record events.</w:t>
      </w:r>
    </w:p>
    <w:p>
      <w:pPr>
        <w:pStyle w:val="ListParagraph"/>
        <w:numPr>
          <w:ilvl w:val="0"/>
          <w:numId w:val="3"/>
        </w:numPr>
      </w:pPr>
      <w:r>
        <w:rPr>
          <w:rFonts w:ascii="Arial" w:cs="Arial" w:eastAsia="Arial" w:hAnsi="Arial"/>
          <w:b/>
          <w:bCs/>
          <w:sz w:val="24"/>
          <w:szCs w:val="24"/>
        </w:rPr>
        <w:t xml:space="preserve">Include the “secret zero” problem. </w:t>
      </w:r>
      <w:r>
        <w:rPr>
          <w:rFonts w:ascii="Arial" w:cs="Arial" w:eastAsia="Arial" w:hAnsi="Arial"/>
          <w:sz w:val="24"/>
          <w:szCs w:val="24"/>
        </w:rPr>
        <w:t xml:space="preserve">How does an agent get its first credential? This bootstrapping challenge is often overlooked but is critical in production. The demonstration should evaluate initial credential provisioning mechanisms.</w:t>
      </w:r>
    </w:p>
    <w:p>
      <w:pPr>
        <w:pStyle w:val="ListParagraph"/>
        <w:numPr>
          <w:ilvl w:val="0"/>
          <w:numId w:val="3"/>
        </w:numPr>
      </w:pPr>
      <w:r>
        <w:rPr>
          <w:rFonts w:ascii="Arial" w:cs="Arial" w:eastAsia="Arial" w:hAnsi="Arial"/>
          <w:b/>
          <w:bCs/>
          <w:sz w:val="24"/>
          <w:szCs w:val="24"/>
        </w:rPr>
        <w:t xml:space="preserve">Evaluate open-source solutions alongside commercial products. </w:t>
      </w:r>
      <w:r>
        <w:rPr>
          <w:rFonts w:ascii="Arial" w:cs="Arial" w:eastAsia="Arial" w:hAnsi="Arial"/>
          <w:sz w:val="24"/>
          <w:szCs w:val="24"/>
        </w:rPr>
        <w:t xml:space="preserve">Small and medium businesses, regulated industries with air-gapped environments, and organizations that cannot send credential metadata to third-party SaaS platforms need self-hostable solutions. The demonstration should include open-source, self-deployable options.</w:t>
      </w:r>
    </w:p>
    <w:p>
      <w:pPr>
        <w:pStyle w:val="ListParagraph"/>
        <w:numPr>
          <w:ilvl w:val="0"/>
          <w:numId w:val="3"/>
        </w:numPr>
        <w:spacing w:after="200"/>
      </w:pPr>
      <w:r>
        <w:rPr>
          <w:rFonts w:ascii="Arial" w:cs="Arial" w:eastAsia="Arial" w:hAnsi="Arial"/>
          <w:b/>
          <w:bCs/>
          <w:sz w:val="24"/>
          <w:szCs w:val="24"/>
        </w:rPr>
        <w:t xml:space="preserve">Address prompt injection as a credential-relevant threat. </w:t>
      </w:r>
      <w:r>
        <w:rPr>
          <w:rFonts w:ascii="Arial" w:cs="Arial" w:eastAsia="Arial" w:hAnsi="Arial"/>
          <w:sz w:val="24"/>
          <w:szCs w:val="24"/>
        </w:rPr>
        <w:t xml:space="preserve">CVE-2025-68664 (LangGrinch) demonstrated that prompt injection can be used to exfiltrate credentials from agent environments. Ephemeral, task-scoped credentials limit the blast radius of such attacks. The demonstration should include this threat vector.</w:t>
      </w:r>
    </w:p>
    <w:p>
      <w:pPr>
        <w:pStyle w:val="Heading1"/>
      </w:pPr>
      <w:r>
        <w:t xml:space="preserve">8. Availability for Collaboration</w:t>
      </w:r>
    </w:p>
    <w:p>
      <w:pPr>
        <w:spacing w:after="200"/>
      </w:pPr>
      <w:r>
        <w:rPr>
          <w:rFonts w:ascii="Arial" w:cs="Arial" w:eastAsia="Arial" w:hAnsi="Arial"/>
          <w:sz w:val="24"/>
          <w:szCs w:val="24"/>
        </w:rPr>
        <w:t xml:space="preserve">The Ephemeral Agent Credentialing pattern is available for use in the proposed NCCoE demonstration, and a reference implementation is under active development:</w:t>
      </w:r>
    </w:p>
    <w:p>
      <w:pPr>
        <w:pStyle w:val="ListParagraph"/>
        <w:numPr>
          <w:ilvl w:val="0"/>
          <w:numId w:val="2"/>
        </w:numPr>
      </w:pPr>
      <w:r>
        <w:rPr>
          <w:rFonts w:ascii="Arial" w:cs="Arial" w:eastAsia="Arial" w:hAnsi="Arial"/>
          <w:b/>
          <w:bCs/>
          <w:sz w:val="24"/>
          <w:szCs w:val="24"/>
        </w:rPr>
        <w:t xml:space="preserve">Pattern: </w:t>
      </w:r>
      <w:r>
        <w:rPr>
          <w:rFonts w:ascii="Arial" w:cs="Arial" w:eastAsia="Arial" w:hAnsi="Arial"/>
          <w:sz w:val="24"/>
          <w:szCs w:val="24"/>
        </w:rPr>
        <w:t xml:space="preserve">Published under CC BY-SA 4.0 at github.com/devonartis/AI-Security-Blueprints. The pattern defines all seven components, threat model, and implementation considerations.</w:t>
      </w:r>
    </w:p>
    <w:p>
      <w:pPr>
        <w:pStyle w:val="ListParagraph"/>
        <w:numPr>
          <w:ilvl w:val="0"/>
          <w:numId w:val="2"/>
        </w:numPr>
      </w:pPr>
      <w:r>
        <w:rPr>
          <w:rFonts w:ascii="Arial" w:cs="Arial" w:eastAsia="Arial" w:hAnsi="Arial"/>
          <w:b/>
          <w:bCs/>
          <w:sz w:val="24"/>
          <w:szCs w:val="24"/>
        </w:rPr>
        <w:t xml:space="preserve">Reference implementation: </w:t>
      </w:r>
      <w:r>
        <w:rPr>
          <w:rFonts w:ascii="Arial" w:cs="Arial" w:eastAsia="Arial" w:hAnsi="Arial"/>
          <w:sz w:val="24"/>
          <w:szCs w:val="24"/>
        </w:rPr>
        <w:t xml:space="preserve">AgentAuth, a Go-based credential broker, is under active development and validates the pattern’s architectural decisions. The implementation covers Ed25519 challenge-response identity, task-scoped JWT issuance, 4-level revocation, delegation chain signing, hash-chained audit, and a sidecar proxy for agent bootstrap/renewal. The source will be published as open-source (Apache 2.0) upon completion.</w:t>
      </w:r>
    </w:p>
    <w:p>
      <w:pPr>
        <w:pStyle w:val="ListParagraph"/>
        <w:numPr>
          <w:ilvl w:val="0"/>
          <w:numId w:val="2"/>
        </w:numPr>
      </w:pPr>
      <w:r>
        <w:rPr>
          <w:rFonts w:ascii="Arial" w:cs="Arial" w:eastAsia="Arial" w:hAnsi="Arial"/>
          <w:b/>
          <w:bCs/>
          <w:sz w:val="24"/>
          <w:szCs w:val="24"/>
        </w:rPr>
        <w:t xml:space="preserve">Standards body experience: </w:t>
      </w:r>
      <w:r>
        <w:rPr>
          <w:rFonts w:ascii="Arial" w:cs="Arial" w:eastAsia="Arial" w:hAnsi="Arial"/>
          <w:sz w:val="24"/>
          <w:szCs w:val="24"/>
        </w:rPr>
        <w:t xml:space="preserve">Co-author, CSA AI Controls Matrix (AICM) v1.0 Implementation Guidelines; Contributor, AICM v1.0 core controls matrix.</w:t>
      </w:r>
    </w:p>
    <w:p>
      <w:pPr>
        <w:pStyle w:val="ListParagraph"/>
        <w:numPr>
          <w:ilvl w:val="0"/>
          <w:numId w:val="2"/>
        </w:numPr>
        <w:spacing w:after="200"/>
      </w:pPr>
      <w:r>
        <w:rPr>
          <w:rFonts w:ascii="Arial" w:cs="Arial" w:eastAsia="Arial" w:hAnsi="Arial"/>
          <w:b/>
          <w:bCs/>
          <w:sz w:val="24"/>
          <w:szCs w:val="24"/>
        </w:rPr>
        <w:t xml:space="preserve">Author availability: </w:t>
      </w:r>
      <w:r>
        <w:rPr>
          <w:rFonts w:ascii="Arial" w:cs="Arial" w:eastAsia="Arial" w:hAnsi="Arial"/>
          <w:sz w:val="24"/>
          <w:szCs w:val="24"/>
        </w:rPr>
        <w:t xml:space="preserve">Available to participate in the NCCoE demonstration as a technology collaborator, provide technical guidance on ephemeral credential implementation, and contribute to the practical guide development.</w:t>
      </w:r>
    </w:p>
    <w:p>
      <w:pPr>
        <w:spacing w:after="200"/>
      </w:pPr>
      <w:r>
        <w:rPr>
          <w:rFonts w:ascii="Arial" w:cs="Arial" w:eastAsia="Arial" w:hAnsi="Arial"/>
          <w:sz w:val="24"/>
          <w:szCs w:val="24"/>
        </w:rPr>
        <w:t xml:space="preserve">I welcome the opportunity to contribute to this important initiative and am available at the contact information below for follow-up discussion.</w:t>
      </w:r>
    </w:p>
    <w:p>
      <w:pPr>
        <w:spacing w:after="200"/>
      </w:pPr>
      <w:r>
        <w:rPr>
          <w:rFonts w:ascii="Arial" w:cs="Arial" w:eastAsia="Arial" w:hAnsi="Arial"/>
          <w:sz w:val="24"/>
          <w:szCs w:val="24"/>
        </w:rPr>
        <w:t xml:space="preserve"/>
      </w:r>
    </w:p>
    <w:p>
      <w:pPr>
        <w:pBdr>
          <w:top w:val="single" w:color="1F4E79" w:sz="6" w:space="8"/>
        </w:pBdr>
        <w:spacing w:before="300"/>
      </w:pPr>
      <w:r>
        <w:rPr>
          <w:rFonts w:ascii="Arial" w:cs="Arial" w:eastAsia="Arial" w:hAnsi="Arial"/>
          <w:b/>
          <w:bCs/>
          <w:sz w:val="24"/>
          <w:szCs w:val="24"/>
        </w:rPr>
        <w:t xml:space="preserve">Devon Artis</w:t>
      </w:r>
    </w:p>
    <w:p>
      <w:pPr>
        <w:spacing w:after="60"/>
      </w:pPr>
      <w:r>
        <w:rPr>
          <w:rFonts w:ascii="Arial" w:cs="Arial" w:eastAsia="Arial" w:hAnsi="Arial"/>
          <w:color w:val="666666"/>
          <w:sz w:val="22"/>
          <w:szCs w:val="22"/>
        </w:rPr>
        <w:t xml:space="preserve">Author, Ephemeral Agent Credentialing Security Pattern</w:t>
      </w:r>
    </w:p>
    <w:p>
      <w:pPr>
        <w:spacing w:after="60"/>
      </w:pPr>
      <w:r>
        <w:rPr>
          <w:rFonts w:ascii="Arial" w:cs="Arial" w:eastAsia="Arial" w:hAnsi="Arial"/>
          <w:color w:val="666666"/>
          <w:sz w:val="22"/>
          <w:szCs w:val="22"/>
        </w:rPr>
        <w:t xml:space="preserve">github.com/devonartis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NIST NCCoE Public Comment — AI Agent Identity and Authorization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2026-03-02T02:06:33.003Z</dcterms:created>
  <dcterms:modified xsi:type="dcterms:W3CDTF">2026-03-02T02:06:33.003Z</dcterms:modified>
</cp:coreProperties>
</file>

<file path=docProps/custom.xml><?xml version="1.0" encoding="utf-8"?>
<Properties xmlns="http://schemas.openxmlformats.org/officeDocument/2006/custom-properties" xmlns:vt="http://schemas.openxmlformats.org/officeDocument/2006/docPropsVTypes"/>
</file>