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3A6B"/>
          <w:sz w:val="22"/>
          <w:szCs w:val="22"/>
        </w:rPr>
        <w:t xml:space="preserve">NAAMPATA (SMC-PRIVATE) LIMITED</w:t>
      </w:r>
    </w:p>
    <w:p>
      <w:pPr>
        <w:spacing w:after="30" w:before="0"/>
        <w:jc w:val="center"/>
      </w:pPr>
      <w:r>
        <w:rPr>
          <w:rFonts w:ascii="Arial" w:cs="Arial" w:eastAsia="Arial" w:hAnsi="Arial"/>
          <w:color w:val="475569"/>
          <w:sz w:val="17"/>
          <w:szCs w:val="17"/>
        </w:rPr>
        <w:t xml:space="preserve">Corporate ID: 0330350  |  NTN: I739330  |  PSEB: Z-25-19606/26</w:t>
      </w:r>
    </w:p>
    <w:p>
      <w:pPr>
        <w:spacing w:after="30" w:before="0"/>
        <w:jc w:val="center"/>
      </w:pPr>
      <w:r>
        <w:rPr>
          <w:rFonts w:ascii="Arial" w:cs="Arial" w:eastAsia="Arial" w:hAnsi="Arial"/>
          <w:color w:val="475569"/>
          <w:sz w:val="17"/>
          <w:szCs w:val="17"/>
        </w:rPr>
        <w:t xml:space="preserve">Office No. 4, Taj Market, Neewan Bazaar, Ghakhar, Wazirabad, Gujranwala, Punjab, Pakistan</w:t>
      </w:r>
    </w:p>
    <w:p>
      <w:pPr>
        <w:spacing w:after="80" w:before="0"/>
        <w:jc w:val="center"/>
      </w:pPr>
      <w:r>
        <w:rPr>
          <w:rFonts w:ascii="Arial" w:cs="Arial" w:eastAsia="Arial" w:hAnsi="Arial"/>
          <w:color w:val="475569"/>
          <w:sz w:val="17"/>
          <w:szCs w:val="17"/>
        </w:rPr>
        <w:t xml:space="preserve">legal@naampata.com  |  support@naampata.com  |  +92 321 111 6966</w:t>
      </w:r>
    </w:p>
    <w:p>
      <w:pPr>
        <w:pBdr>
          <w:bottom w:val="single" w:color="1B3A6B" w:sz="10" w:space="4"/>
        </w:pBdr>
        <w:spacing w:after="50" w:before="160"/>
        <w:jc w:val="center"/>
      </w:pPr>
      <w:r>
        <w:rPr>
          <w:rFonts w:ascii="Arial" w:cs="Arial" w:eastAsia="Arial" w:hAnsi="Arial"/>
          <w:b/>
          <w:bCs/>
          <w:color w:val="1B3A6B"/>
          <w:sz w:val="42"/>
          <w:szCs w:val="42"/>
        </w:rPr>
        <w:t xml:space="preserve">Privacy Policy</w:t>
      </w:r>
    </w:p>
    <w:p>
      <w:pPr>
        <w:spacing w:after="40" w:before="70"/>
        <w:jc w:val="center"/>
      </w:pPr>
      <w:r>
        <w:rPr>
          <w:rFonts w:ascii="Arial" w:cs="Arial" w:eastAsia="Arial" w:hAnsi="Arial"/>
          <w:color w:val="475569"/>
          <w:sz w:val="19"/>
          <w:szCs w:val="19"/>
        </w:rPr>
        <w:t xml:space="preserve">Document 1 of 9  ·  NAAMPATA (SMC-PRIVATE) LIMITED  ·  All Users</w:t>
      </w:r>
    </w:p>
    <w:p>
      <w:pPr>
        <w:spacing w:after="240" w:before="0"/>
        <w:jc w:val="center"/>
      </w:pPr>
      <w:r>
        <w:rPr>
          <w:rFonts w:ascii="Arial" w:cs="Arial" w:eastAsia="Arial" w:hAnsi="Arial"/>
          <w:i/>
          <w:iCs/>
          <w:color w:val="475569"/>
          <w:sz w:val="18"/>
          <w:szCs w:val="18"/>
        </w:rPr>
        <w:t xml:space="preserve">Effective: June 2026  ·  www.naampata.com/legal</w:t>
      </w:r>
    </w:p>
    <w:p>
      <w:pPr>
        <w:pBdr>
          <w:left w:val="single" w:color="0D9488" w:sz="16"/>
        </w:pBdr>
        <w:shd w:fill="EFF6FF" w:val="clear"/>
        <w:spacing w:after="180" w:before="100"/>
        <w:ind w:left="120" w:right="60"/>
      </w:pPr>
      <w:r>
        <w:rPr>
          <w:rFonts w:ascii="Arial" w:cs="Arial" w:eastAsia="Arial" w:hAnsi="Arial"/>
          <w:b/>
          <w:bCs/>
          <w:color w:val="0D9488"/>
          <w:sz w:val="20"/>
          <w:szCs w:val="20"/>
        </w:rPr>
        <w:t xml:space="preserve">Legal Suite Reference — Document 1 of 9: </w:t>
      </w:r>
      <w:r>
        <w:rPr>
          <w:rFonts w:ascii="Arial" w:cs="Arial" w:eastAsia="Arial" w:hAnsi="Arial"/>
          <w:sz w:val="20"/>
          <w:szCs w:val="20"/>
        </w:rPr>
        <w:t xml:space="preserve">Privacy Policy. Audience: All Users, Business Owners, and Affiliate Participants. This document forms part of the NAAMPATA Legal Suite (9 documents). All documents are published at www.naampata.com/legal and are incorporated into one integrated legal framework. Governs collection, processing, storage, sharing, and protection of all Personal Data. Supplemented by the Cookie Policy (Document 6) for web-tracking technologies.</w:t>
      </w:r>
    </w:p>
    <w:p>
      <w:pPr>
        <w:spacing w:after="80" w:before="60"/>
        <w:jc w:val="both"/>
      </w:pPr>
      <w:r>
        <w:rPr>
          <w:rFonts w:ascii="Arial" w:cs="Arial" w:eastAsia="Arial" w:hAnsi="Arial"/>
          <w:sz w:val="20"/>
          <w:szCs w:val="20"/>
        </w:rPr>
        <w:t xml:space="preserve">NAAMPATA (SMC-PRIVATE) LIMITED ("NAAMPATA", "we", "us", "our") is committed to protecting your privacy and handling your personal information responsibly, lawfully, and transparently. This Privacy Policy explains how we collect, use, store, share, and protect your personal information when you access or use the NAAMPATA Platform — including our iOS app, Android app, and web application (www.naampata.com) — and what rights you have. By using the Platform in any way, you accept this Privacy Policy. If you do not agree, do not use the Platform.</w:t>
      </w:r>
    </w:p>
    <w:p>
      <w:pPr>
        <w:pBdr>
          <w:left w:val="single" w:color="2563EB" w:sz="18"/>
        </w:pBdr>
        <w:shd w:fill="EFF6FF" w:val="clear"/>
        <w:spacing w:after="120" w:before="120"/>
        <w:ind w:left="120" w:right="120"/>
      </w:pPr>
      <w:r>
        <w:rPr>
          <w:rFonts w:ascii="Arial" w:cs="Arial" w:eastAsia="Arial" w:hAnsi="Arial"/>
          <w:b/>
          <w:bCs/>
          <w:color w:val="2563EB"/>
          <w:sz w:val="20"/>
          <w:szCs w:val="20"/>
        </w:rPr>
        <w:t xml:space="preserve">NOTE: </w:t>
      </w:r>
      <w:r>
        <w:rPr>
          <w:rFonts w:ascii="Arial" w:cs="Arial" w:eastAsia="Arial" w:hAnsi="Arial"/>
          <w:sz w:val="19"/>
          <w:szCs w:val="19"/>
        </w:rPr>
        <w:t xml:space="preserve">This Policy complies with: Pakistan Prevention of Electronic Crimes Act 2016 (PECA 2016); Electronic Transactions Ordinance 2002 (ETO 2002); Consumer Rights Act 2020; EU General Data Protection Regulation (GDPR 2016/679); UK GDPR and Data Protection Act 2018; California Consumer Privacy Act / CPRA (CCPA/CPRA); and applicable Apple App Store and Google Play privacy requirements.</w:t>
      </w:r>
    </w:p>
    <w:p>
      <w:pPr>
        <w:pStyle w:val="Heading1"/>
      </w:pPr>
      <w:r>
        <w:rPr>
          <w:rFonts w:ascii="Arial" w:cs="Arial" w:eastAsia="Arial" w:hAnsi="Arial"/>
          <w:sz w:val="20"/>
          <w:szCs w:val="20"/>
        </w:rPr>
        <w:t xml:space="preserve">1. Who We Are — Data Controller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Detail</w:t>
            </w:r>
          </w:p>
        </w:tc>
        <w:tc>
          <w:tcPr>
            <w:tcW w:type="dxa" w:w="7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Information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Name</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(SMC-PRIVATE) LIMITED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SECP Corporate ID</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0330350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NTN (FBR)</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I739330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PSEB Registration</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Z-25-19606/26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Registered Address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Office No. 4, Taj Market, Neewan Bazaar, Ghakhar, Wazirabad, Gujranwala, Punjab, Pakistan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Privacy Enquiries</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 | Subject: "Privacy Query"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General Support</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support@naampata.com | +92 321 111 6966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Documents</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www.naampata.com/legal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Cookie Preferences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www.naampata.com/cookie-settings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Data Protection Officer (DPO)</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To be appointed as required by applicable law. Current queries: legal@naampata.com | Subject: "DPO Query"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EU/EEA Representative (GDPR Art. 27)</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To be appointed as required by applicable law. NAAMPATA does not systematically target EU/EEA residents. Reviewed quarterly.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UK Representative (UK GDPR Art. 27)</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To be appointed as required by applicable law. Reviewed quarterly.</w:t>
            </w:r>
          </w:p>
        </w:tc>
      </w:tr>
    </w:tbl>
    <w:p>
      <w:pPr>
        <w:pStyle w:val="Heading1"/>
      </w:pPr>
      <w:r>
        <w:rPr>
          <w:rFonts w:ascii="Arial" w:cs="Arial" w:eastAsia="Arial" w:hAnsi="Arial"/>
          <w:sz w:val="20"/>
          <w:szCs w:val="20"/>
        </w:rPr>
        <w:t xml:space="preserve">2. Personal Data We Collect</w:t>
      </w:r>
    </w:p>
    <w:p>
      <w:pPr>
        <w:pStyle w:val="Heading2"/>
      </w:pPr>
      <w:r>
        <w:rPr>
          <w:rFonts w:ascii="Arial" w:cs="Arial" w:eastAsia="Arial" w:hAnsi="Arial"/>
          <w:sz w:val="20"/>
          <w:szCs w:val="20"/>
        </w:rPr>
        <w:t xml:space="preserve">2.1 Data You Provide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580"/>
      </w:tblGrid>
      <w:tr>
        <w:trPr>
          <w:tblHeader/>
        </w:trPr>
        <w:tc>
          <w:tcPr>
            <w:tcW w:type="dxa" w:w="2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Category</w:t>
            </w:r>
          </w:p>
        </w:tc>
        <w:tc>
          <w:tcPr>
            <w:tcW w:type="dxa" w:w="5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Data Points Collected</w:t>
            </w:r>
          </w:p>
        </w:tc>
        <w:tc>
          <w:tcPr>
            <w:tcW w:type="dxa" w:w="25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Who Provides It</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Account Registration</w:t>
            </w:r>
          </w:p>
        </w:tc>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Full name; email address; password (stored as bcrypt hash — never in plaintext); country of residence; age declaration (13+)</w:t>
            </w:r>
          </w:p>
        </w:tc>
        <w:tc>
          <w:tcPr>
            <w:tcW w:type="dxa" w:w="2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 at sign-up</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Social / OAuth Sign-In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Name, email, profile photo from Google OAuth, Facebook OAuth, or Apple Sign-In (as permitted by your settings on those platforms)</w:t>
            </w:r>
          </w:p>
        </w:tc>
        <w:tc>
          <w:tcPr>
            <w:tcW w:type="dxa" w:w="2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Users choosing OAuth registration</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Phone Number</w:t>
            </w:r>
          </w:p>
        </w:tc>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Mobile number in E.164 international format, verified via SMS OTP</w:t>
            </w:r>
          </w:p>
        </w:tc>
        <w:tc>
          <w:tcPr>
            <w:tcW w:type="dxa" w:w="2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Mandatory for Business accounts; optional for User accounts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Listing Data</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name; tagline; primary category; up to 3 subcategories (Paid Plan); address; GPS map pin coordinates; operating hours; business description; contact details (email, phone, WhatsApp, website); social media URLs (Paid Plan); languages spoken; employee count; year established; amenities &amp; facilities; payment methods accepted; industry sub-type; keywords (up to 5, Paid Plan); FAQs (up to 10, Paid Plan); franchise &amp; dealership details (Paid Plan); logo; cover image; gallery images (all auto-compressed to WebP)</w:t>
            </w:r>
          </w:p>
        </w:tc>
        <w:tc>
          <w:tcPr>
            <w:tcW w:type="dxa" w:w="2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Owners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Reviews &amp; Ratings</w:t>
            </w:r>
          </w:p>
        </w:tc>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Star rating (1–5 stars); review text; up to 5 review photographs (auto-compressed to WebP; originals not retained after compression)</w:t>
            </w:r>
          </w:p>
        </w:tc>
        <w:tc>
          <w:tcPr>
            <w:tcW w:type="dxa" w:w="2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Verified Registered Users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Broadcast Inquiries</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Service/job category; description; location preference; budget range; urgency level; contact preference</w:t>
            </w:r>
          </w:p>
        </w:tc>
        <w:tc>
          <w:tcPr>
            <w:tcW w:type="dxa" w:w="2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Registered Users and Paid Plan Business Owners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In-App Chat Messages</w:t>
            </w:r>
          </w:p>
        </w:tc>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Full message content and timestamps — retained for moderation, fraud prevention, compliance, and dispute resolution. Chat is NOT end-to-end encrypted.</w:t>
            </w:r>
          </w:p>
        </w:tc>
        <w:tc>
          <w:tcPr>
            <w:tcW w:type="dxa" w:w="2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chat participants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Payment Data</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Billing information processed via Apple IAP (StoreKit 2), Google Play Billing Library, or web payment gateway (PCI-DSS compliant). NAAMPATA never stores full card numbers, CVV codes, or raw payment credentials. We receive subscription status, transaction IDs, and chargeback notifications only.</w:t>
            </w:r>
          </w:p>
        </w:tc>
        <w:tc>
          <w:tcPr>
            <w:tcW w:type="dxa" w:w="2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Paying Business Owners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Support Communications</w:t>
            </w:r>
          </w:p>
        </w:tc>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email, in-app ticket, phone, and WhatsApp support interactions, logged for quality assurance, fraud prevention, and legal compliance</w:t>
            </w:r>
          </w:p>
        </w:tc>
        <w:tc>
          <w:tcPr>
            <w:tcW w:type="dxa" w:w="2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 who contact support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Customer Notes</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Private notes entered by Business Owners on user interactions — visible only to the Business Owner and NAAMPATA admin staff; never to consumers</w:t>
            </w:r>
          </w:p>
        </w:tc>
        <w:tc>
          <w:tcPr>
            <w:tcW w:type="dxa" w:w="2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Paid Plan Business Owners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Affiliate &amp; KYC Data</w:t>
            </w:r>
          </w:p>
        </w:tc>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Referral codes entered at signup; KYC documents (CNIC/NICOP front and back; address proof; bank account details; selfie) submitted exclusively via the secure in-Platform KYC portal</w:t>
            </w:r>
          </w:p>
        </w:tc>
        <w:tc>
          <w:tcPr>
            <w:tcW w:type="dxa" w:w="2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Affiliate Programme participants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Feedback &amp; Suggestions</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ideas, bug reports, feature requests, or feedback submitted through any channel</w:t>
            </w:r>
          </w:p>
        </w:tc>
        <w:tc>
          <w:tcPr>
            <w:tcW w:type="dxa" w:w="2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w:t>
            </w:r>
          </w:p>
        </w:tc>
      </w:tr>
    </w:tbl>
    <w:p>
      <w:pPr>
        <w:pStyle w:val="Heading2"/>
      </w:pPr>
      <w:r>
        <w:rPr>
          <w:rFonts w:ascii="Arial" w:cs="Arial" w:eastAsia="Arial" w:hAnsi="Arial"/>
          <w:sz w:val="20"/>
          <w:szCs w:val="20"/>
        </w:rPr>
        <w:t xml:space="preserve">2.2 Data Collected Automatically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8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Category</w:t>
            </w:r>
          </w:p>
        </w:tc>
        <w:tc>
          <w:tcPr>
            <w:tcW w:type="dxa" w:w="4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Device Data</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Device type and model; operating system and version; device identifiers (IDFV on iOS, Android ID on Android)</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Account security; fraud prevention; platform analytics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Usage Data</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Features accessed; listings viewed; searches performed; reviews submitted; chat activity; check-ins; saves; follows; Q&amp;A interactions; broadcast activity</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Product improvement; fraud detection; admin analytics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Log Data</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IP address; browser type and version; access timestamps; session identifiers; error logs; referrer URLs</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Security monitoring; fraud detection; abuse prevention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GPS / Location Data</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PRECISE GPS captured on-demand only — NEVER at app launch and NEVER in the background.</w:t>
            </w:r>
          </w:p>
          <w:p>
            <w:pPr>
              <w:spacing w:after="20" w:before="20"/>
              <w:jc w:val="both"/>
            </w:pPr>
            <w:r>
              <w:rPr>
                <w:rFonts w:ascii="Arial" w:cs="Arial" w:eastAsia="Arial" w:hAnsi="Arial"/>
                <w:sz w:val="19"/>
                <w:szCs w:val="19"/>
              </w:rPr>
              <w:t xml:space="preserve"/>
            </w:r>
          </w:p>
          <w:p>
            <w:pPr>
              <w:spacing w:after="20" w:before="20"/>
              <w:jc w:val="both"/>
            </w:pPr>
            <w:r>
              <w:rPr>
                <w:rFonts w:ascii="Arial" w:cs="Arial" w:eastAsia="Arial" w:hAnsi="Arial"/>
                <w:sz w:val="19"/>
                <w:szCs w:val="19"/>
              </w:rPr>
              <w:t xml:space="preserve">Business Registration: one-time GPS capture for map pin placement → stored permanently.</w:t>
            </w:r>
          </w:p>
          <w:p>
            <w:pPr>
              <w:spacing w:after="20" w:before="20"/>
              <w:jc w:val="both"/>
            </w:pPr>
            <w:r>
              <w:rPr>
                <w:rFonts w:ascii="Arial" w:cs="Arial" w:eastAsia="Arial" w:hAnsi="Arial"/>
                <w:sz w:val="19"/>
                <w:szCs w:val="19"/>
              </w:rPr>
              <w:t xml:space="preserve"/>
            </w:r>
          </w:p>
          <w:p>
            <w:pPr>
              <w:spacing w:after="20" w:before="20"/>
              <w:jc w:val="both"/>
            </w:pPr>
            <w:r>
              <w:rPr>
                <w:rFonts w:ascii="Arial" w:cs="Arial" w:eastAsia="Arial" w:hAnsi="Arial"/>
                <w:sz w:val="19"/>
                <w:szCs w:val="19"/>
              </w:rPr>
              <w:t xml:space="preserve">User Proximity Search: session-only GPS for distance calculation → NOT stored after the session ends.</w:t>
            </w:r>
          </w:p>
          <w:p>
            <w:pPr>
              <w:spacing w:after="20" w:before="20"/>
              <w:jc w:val="both"/>
            </w:pPr>
            <w:r>
              <w:rPr>
                <w:rFonts w:ascii="Arial" w:cs="Arial" w:eastAsia="Arial" w:hAnsi="Arial"/>
                <w:sz w:val="19"/>
                <w:szCs w:val="19"/>
              </w:rPr>
              <w:t xml:space="preserve"/>
            </w:r>
          </w:p>
          <w:p>
            <w:pPr>
              <w:spacing w:after="20" w:before="20"/>
              <w:jc w:val="both"/>
            </w:pPr>
            <w:r>
              <w:rPr>
                <w:rFonts w:ascii="Arial" w:cs="Arial" w:eastAsia="Arial" w:hAnsi="Arial"/>
                <w:sz w:val="19"/>
                <w:szCs w:val="19"/>
              </w:rPr>
              <w:t xml:space="preserve">Broadcast Inquiries: location preference entered by user → stored as part of the inquiry record.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Listing map placement; proximity search; inquiry distribution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Search &amp; Analytics Data</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Search terms; category selections; filter usage; result interaction data — ALL accessible to NAAMPATA admin roles ONLY. This data is NEVER provided to individual Business Owners.</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Platform analytics; product improvement (admin-exclusive)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Trust &amp; Fraud Signals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 velocity; IP clustering; device fingerprint signals; affiliate attribution signals; behavioural anomaly patterns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Fraud detection; Trust Scoring; review integrity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Notification Tokens</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APNs device tokens (iOS); FCM registration tokens (Android)</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Delivering transactional and service push notifications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Consent Logging Records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UTC timestamp; IP address; device identifier; session ID; version hash of each document accepted — recorded at every consent event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evidence of contract formation; retained minimum 7 years per ETO 2002</w:t>
            </w:r>
          </w:p>
        </w:tc>
      </w:tr>
    </w:tbl>
    <w:p>
      <w:pPr>
        <w:pStyle w:val="Heading2"/>
      </w:pPr>
      <w:r>
        <w:rPr>
          <w:rFonts w:ascii="Arial" w:cs="Arial" w:eastAsia="Arial" w:hAnsi="Arial"/>
          <w:sz w:val="20"/>
          <w:szCs w:val="20"/>
        </w:rPr>
        <w:t xml:space="preserve">2.3 Data Received From Third Parties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8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Source</w:t>
            </w:r>
          </w:p>
        </w:tc>
        <w:tc>
          <w:tcPr>
            <w:tcW w:type="dxa" w:w="4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Data Received</w:t>
            </w:r>
          </w:p>
        </w:tc>
        <w:tc>
          <w:tcPr>
            <w:tcW w:type="dxa" w:w="3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OAuth / Firebase Authentication</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Name; email address; verification status; profile photo URL</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Account creation; sign-in authentication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Facebook OAuth</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Name; email address (where permitted); profile photo URL</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Account creation; sign-in authentication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Apple Sign-In</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Name; email address (including Apple relay email if chosen)</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Account creation; sign-in authentication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Maps &amp; Places API</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Geocoded coordinates; address components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listing placement; map display; address autocomplete during registration only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Apple IAP (StoreKit 2)</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Subscription status; transaction IDs; renewal events; refund notifications. No raw payment data received.</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iOS subscription management; billing status tracking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Play Billing Library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Subscription status; transaction IDs; real-time developer notifications (RTDN). No raw payment data received.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Android subscription management; billing status tracking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SECP / FBR Public Registers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Publicly available company or tax registration data where used for Business verification</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legitimacy checks</w:t>
            </w:r>
          </w:p>
        </w:tc>
      </w:tr>
    </w:tbl>
    <w:p>
      <w:pPr>
        <w:pStyle w:val="Heading1"/>
      </w:pPr>
      <w:r>
        <w:rPr>
          <w:rFonts w:ascii="Arial" w:cs="Arial" w:eastAsia="Arial" w:hAnsi="Arial"/>
          <w:sz w:val="20"/>
          <w:szCs w:val="20"/>
        </w:rPr>
        <w:t xml:space="preserve">3. How We Use Your Personal Data — Lawful Bases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3480"/>
      </w:tblGrid>
      <w:tr>
        <w:trPr>
          <w:tblHeader/>
        </w:trPr>
        <w:tc>
          <w:tcPr>
            <w:tcW w:type="dxa" w:w="3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Processing Purpose</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Lawful Basis (GDPR Art. 6)</w:t>
            </w:r>
          </w:p>
        </w:tc>
        <w:tc>
          <w:tcPr>
            <w:tcW w:type="dxa" w:w="3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Who It Applies To</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Account creation, management, and authentication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Contract — Art. 6(1)(b)</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listing creation, display, search indexing, and discovery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Contract — Art. 6(1)(b)</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Owners</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Processing subscription payments and managing billing cycles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Contract — Art. 6(1)(b)</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Paying Business Owners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In-app chat and real-time messaging service delivery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Contract — Art. 6(1)(b)</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Paid Plan Businesses and their Users</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Broadcast Inquiry distribution, matching, and lead generation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Contract — Art. 6(1)(b)</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Fraud detection, Trust Scoring, and platform abuse prevention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 Art. 6(1)(f) [LIA documented]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Search ranking, relevance scoring, and discovery algorithms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 Art. 6(1)(f) [LIA documented]</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Platform analytics, performance monitoring, and product development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 Art. 6(1)(f) [LIA documented]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 (data aggregated/anonymised)</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Sending transactional push notifications (billing, leads, security, approvals)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Contract — Art. 6(1)(b)</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 (cannot be disabled)</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Sending marketing and promotional communications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Consent — Art. 6(1)(a) [opt-in only, withdrawable]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Users and Businesses who explicitly opt in</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and regulatory compliance obligations (PECA, ETO, tax, AML)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Obligation — Art. 6(1)(c)</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Affiliate programme management, KYC verification, commission processing, payout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Contract / Legal Obligation — Art. 6(1)(b)/(c)</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Affiliate Participants</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Consent logging and record-keeping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Obligation — Art. 6(1)(c)</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moderation, legal enforcement, and platform integrity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 Legal Obligation — Art. 6(1)(f)/(c) [LIA documented]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AI/ML model training on anonymised and aggregated data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 Art. 6(1)(f) [LIA documented — anonymised only; no personal re-identification]</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 (anonymised)</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Sanctions screening and export compliance monitoring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Obligation / Legitimate Interests — Art. 6(1)(c)/(f)</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OTP authentication and critical security SMS delivery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Contract — Art. 6(1)(b)</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 (mandatory; cannot be opted out)</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Support communications logging for quality and compliance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 Art. 6(1)(f) [LIA documented]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users who contact support</w:t>
            </w:r>
          </w:p>
        </w:tc>
      </w:tr>
    </w:tbl>
    <w:p>
      <w:pPr>
        <w:spacing w:after="80" w:before="60"/>
        <w:jc w:val="both"/>
      </w:pPr>
      <w:r>
        <w:rPr>
          <w:rFonts w:ascii="Arial" w:cs="Arial" w:eastAsia="Arial" w:hAnsi="Arial"/>
          <w:sz w:val="20"/>
          <w:szCs w:val="20"/>
        </w:rPr>
        <w:t xml:space="preserve">Legitimate Interests Assessments (LIAs): Where we rely on Legitimate Interests, we have conducted and documented LIAs confirming our interests are not overridden by your rights and freedoms. LIA documentation available on request from legal@naampata.com.</w:t>
      </w:r>
    </w:p>
    <w:p>
      <w:pPr>
        <w:pStyle w:val="Heading1"/>
      </w:pPr>
      <w:r>
        <w:rPr>
          <w:rFonts w:ascii="Arial" w:cs="Arial" w:eastAsia="Arial" w:hAnsi="Arial"/>
          <w:sz w:val="20"/>
          <w:szCs w:val="20"/>
        </w:rPr>
        <w:t xml:space="preserve">4. AI Systems &amp; Automated Processing</w:t>
      </w:r>
    </w:p>
    <w:p>
      <w:pPr>
        <w:pBdr>
          <w:left w:val="single" w:color="D97706" w:sz="18"/>
        </w:pBdr>
        <w:shd w:fill="FFFBEB" w:val="clear"/>
        <w:spacing w:after="120" w:before="120"/>
        <w:ind w:left="120" w:right="120"/>
      </w:pPr>
      <w:r>
        <w:rPr>
          <w:rFonts w:ascii="Arial" w:cs="Arial" w:eastAsia="Arial" w:hAnsi="Arial"/>
          <w:b/>
          <w:bCs/>
          <w:color w:val="D97706"/>
          <w:sz w:val="20"/>
          <w:szCs w:val="20"/>
        </w:rPr>
        <w:t xml:space="preserve">IMPORTANT: </w:t>
      </w:r>
      <w:r>
        <w:rPr>
          <w:rFonts w:ascii="Arial" w:cs="Arial" w:eastAsia="Arial" w:hAnsi="Arial"/>
          <w:sz w:val="19"/>
          <w:szCs w:val="19"/>
        </w:rPr>
        <w:t xml:space="preserve">NAAMPATA deploys AI and automated systems. None make decisions producing significant legal effects based SOLELY on automated processing (GDPR Article 22 compliant). Human review is mandatory before all enforcement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248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AI / Automated System</w:t>
            </w:r>
          </w:p>
        </w:tc>
        <w:tc>
          <w:tcPr>
            <w:tcW w:type="dxa" w:w="4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 &amp; Description</w:t>
            </w:r>
          </w:p>
        </w:tc>
        <w:tc>
          <w:tcPr>
            <w:tcW w:type="dxa" w:w="2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Human Review Required?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Search Ranking Algorithm</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Dynamically scores and ranks listings based on: profile completeness; engagement signals; review quality and Trust Score weighting; response speed; category relevance; geographic proximity. Rankings change continuously — no guaranteed position at any plan tier.</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 quality-review available; not sole enforcement basis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Category Suggestion (NLP)</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Analyses the business description text to suggest up to 3 matching categories from the platform catalogue. The Business Owner may accept, modify, or reject any suggestion.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Owner always overrides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Fraud Detection Engine</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Analyses review patterns, affiliate attribution signals, account behaviour, IP clustering, and device signals to flag suspicious activity for admin review.</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mandatory human review before any enforcement action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 Trust Score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Internal per-User algorithmic score (0–100) derived from account history, verification status, review patterns, and behavioural signals. Weights how much influence a User's reviews carry in search ranking signals. Score is NOT disclosed to Users or Businesses. NOT the sole basis for any enforcement action.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Human review mandatory for enforcement; score alone is not grounds for action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Spam &amp; Duplicate Detection</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Detects duplicate content submissions, keyword stuffing, prohibited content patterns, and automated posting behaviour.</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human moderator review required before enforcement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Broadcast Inquiry Matching</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Matches Broadcast Inquiries to relevant Businesses by primary category and geographic radius. Informational matching only.</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 — informational; no enforcement consequence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Predictive Search Autocomplete</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Generates search suggestions based on the platform's business catalogue and popular search terms.</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 — informational only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Future: AI Personalisation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Personalised recommendations and content curation. Full disclosure, DPIA, and opt-out mechanism will be provided before introduction.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with mandatory opt-out mechanism</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Future: AI-Assisted Content Moderation</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AI assistance in content moderation workflow to improve accuracy and speed. Human review remains mandatory at all times.</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human review mandatory at all times</w:t>
            </w:r>
          </w:p>
        </w:tc>
      </w:tr>
    </w:tbl>
    <w:p>
      <w:pPr>
        <w:spacing w:after="80" w:before="60"/>
        <w:jc w:val="both"/>
      </w:pPr>
      <w:r>
        <w:rPr>
          <w:rFonts w:ascii="Arial" w:cs="Arial" w:eastAsia="Arial" w:hAnsi="Arial"/>
          <w:sz w:val="20"/>
          <w:szCs w:val="20"/>
        </w:rPr>
        <w:t xml:space="preserve">Right to Human Review: To request human review of any automated determination affecting your account, email legal@naampata.com (Subject: "Automated Decision Review"). We respond within 30 calendar days. Right to Object to Profiling based on Legitimate Interests: email legal@naampata.com (Subject: "Profiling Objection"). We respond within 30 calendar days.</w:t>
      </w:r>
    </w:p>
    <w:p>
      <w:pPr>
        <w:pStyle w:val="Heading1"/>
      </w:pPr>
      <w:r>
        <w:rPr>
          <w:rFonts w:ascii="Arial" w:cs="Arial" w:eastAsia="Arial" w:hAnsi="Arial"/>
          <w:sz w:val="20"/>
          <w:szCs w:val="20"/>
        </w:rPr>
        <w:t xml:space="preserve">5. Device Permissions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00"/>
        <w:gridCol w:w="3780"/>
        <w:gridCol w:w="290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Permission</w:t>
            </w:r>
          </w:p>
        </w:tc>
        <w:tc>
          <w:tcPr>
            <w:tcW w:type="dxa" w:w="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iOS</w:t>
            </w:r>
          </w:p>
        </w:tc>
        <w:tc>
          <w:tcPr>
            <w:tcW w:type="dxa" w:w="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Android</w:t>
            </w:r>
          </w:p>
        </w:tc>
        <w:tc>
          <w:tcPr>
            <w:tcW w:type="dxa" w:w="37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c>
          <w:tcPr>
            <w:tcW w:type="dxa" w:w="29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Mandatory?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Location — When In Use ONLY</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w:t>
            </w:r>
          </w:p>
        </w:tc>
        <w:tc>
          <w:tcPr>
            <w:tcW w:type="dxa" w:w="3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On-demand GPS for: (1) Business registration — one-time map pin placement only; (2) User proximity search — session duration only, never stored after session. NEVER requested at app launch. NEVER requested for background use. NEVER requested as Always-On.</w:t>
            </w:r>
          </w:p>
        </w:tc>
        <w:tc>
          <w:tcPr>
            <w:tcW w:type="dxa" w:w="2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Optional — manual location entry always available as full alternative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Camera</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Capturing photographs for business profiles, gallery images, and review photo uploads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Optional — device library upload always available as alternative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Photo Library / Media Storage</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w:t>
            </w:r>
          </w:p>
        </w:tc>
        <w:tc>
          <w:tcPr>
            <w:tcW w:type="dxa" w:w="3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Selecting and uploading photographs from device photo library</w:t>
            </w:r>
          </w:p>
        </w:tc>
        <w:tc>
          <w:tcPr>
            <w:tcW w:type="dxa" w:w="2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Optional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Notifications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Delivering transactional alerts: new messages; lead alerts; billing reminders; listing approvals/rejections; account security alerts; moderation notices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Optional but strongly recommended — disabling may cause missed leads and security alerts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Network Access (Internet)</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w:t>
            </w:r>
          </w:p>
        </w:tc>
        <w:tc>
          <w:tcPr>
            <w:tcW w:type="dxa" w:w="3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Core connectivity — all Platform features require an active internet connection</w:t>
            </w:r>
          </w:p>
        </w:tc>
        <w:tc>
          <w:tcPr>
            <w:tcW w:type="dxa" w:w="2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Required for any Platform use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Microphone</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REQUESTED by NAAMPATA at any time</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applicable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Contacts / Address Book</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w:t>
            </w:r>
          </w:p>
        </w:tc>
        <w:tc>
          <w:tcPr>
            <w:tcW w:type="dxa" w:w="3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REQUESTED by NAAMPATA at any time</w:t>
            </w:r>
          </w:p>
        </w:tc>
        <w:tc>
          <w:tcPr>
            <w:tcW w:type="dxa" w:w="2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applicable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Background / Always-On Location</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REQUESTED by NAAMPATA at any time</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applicable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Biometrics (Face ID / Touch ID)</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w:t>
            </w:r>
          </w:p>
        </w:tc>
        <w:tc>
          <w:tcPr>
            <w:tcW w:type="dxa" w:w="3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COLLECTED. NAAMPATA does not collect biometric identifiers of any kind. See Section 11.</w:t>
            </w:r>
          </w:p>
        </w:tc>
        <w:tc>
          <w:tcPr>
            <w:tcW w:type="dxa" w:w="2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applicable</w:t>
            </w:r>
          </w:p>
        </w:tc>
      </w:tr>
    </w:tbl>
    <w:p>
      <w:pPr>
        <w:pStyle w:val="Heading1"/>
      </w:pPr>
      <w:r>
        <w:rPr>
          <w:rFonts w:ascii="Arial" w:cs="Arial" w:eastAsia="Arial" w:hAnsi="Arial"/>
          <w:sz w:val="20"/>
          <w:szCs w:val="20"/>
        </w:rPr>
        <w:t xml:space="preserve">6. Sharing &amp; Disclosure of Personal Data</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We do NOT sell your personal data. We do not share personal data for cross-context behavioural advertising without your explicit consent.</w:t>
      </w:r>
    </w:p>
    <w:p>
      <w:pPr>
        <w:pStyle w:val="Heading2"/>
      </w:pPr>
      <w:r>
        <w:rPr>
          <w:rFonts w:ascii="Arial" w:cs="Arial" w:eastAsia="Arial" w:hAnsi="Arial"/>
          <w:sz w:val="20"/>
          <w:szCs w:val="20"/>
        </w:rPr>
        <w:t xml:space="preserve">6.1 Publicly Displayed Information</w:t>
      </w:r>
    </w:p>
    <w:p>
      <w:pPr>
        <w:spacing w:after="80" w:before="60"/>
        <w:jc w:val="both"/>
      </w:pPr>
      <w:r>
        <w:rPr>
          <w:rFonts w:ascii="Arial" w:cs="Arial" w:eastAsia="Arial" w:hAnsi="Arial"/>
          <w:sz w:val="20"/>
          <w:szCs w:val="20"/>
        </w:rPr>
        <w:t xml:space="preserve">The following Business information is publicly visible on the Platform: business name, category, address, operating hours, description, photographs, reviews, ratings, Q&amp;A responses, and social media links (Paid Plan). By submitting this data, you consent to its public display to all Platform visitors, including unauthenticated guests. Reviews are displayed under your Platform display name.</w:t>
      </w:r>
    </w:p>
    <w:p>
      <w:pPr>
        <w:pStyle w:val="Heading2"/>
      </w:pPr>
      <w:r>
        <w:rPr>
          <w:rFonts w:ascii="Arial" w:cs="Arial" w:eastAsia="Arial" w:hAnsi="Arial"/>
          <w:sz w:val="20"/>
          <w:szCs w:val="20"/>
        </w:rPr>
        <w:t xml:space="preserve">6.2 Sub-Processors &amp; Service Providers</w:t>
      </w:r>
    </w:p>
    <w:p>
      <w:pPr>
        <w:spacing w:after="80" w:before="60"/>
        <w:jc w:val="both"/>
      </w:pPr>
      <w:r>
        <w:rPr>
          <w:rFonts w:ascii="Arial" w:cs="Arial" w:eastAsia="Arial" w:hAnsi="Arial"/>
          <w:sz w:val="20"/>
          <w:szCs w:val="20"/>
        </w:rPr>
        <w:t xml:space="preserve">We engage third-party sub-processors under written data processing agreements requiring: processing only on our documented instructions; equivalent technical and organisational security measures; no further sub-processing without our authorisation; and compliance with applicable data protection law.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Sub-Processor</w:t>
            </w:r>
          </w:p>
        </w:tc>
        <w:tc>
          <w:tcPr>
            <w:tcW w:type="dxa" w:w="4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 &amp; Services</w:t>
            </w:r>
          </w:p>
        </w:tc>
        <w:tc>
          <w:tcPr>
            <w:tcW w:type="dxa" w:w="3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Data Categories Processed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Amazon Web Services (AWS) Inc.</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Cloud hosting infrastructure; PostgreSQL/PostGIS database; AWS S3 file storage; AWS CloudFront CDN delivery</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platform data — primary cloud infrastructure provider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 — Firebase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Authentication (Google OAuth sign-in); Firebase Cloud Messaging (FCM — Android push notifications); Firebase Realtime Database / Firestore (in-app chat); Firebase Analytics; Firebase Crash Reporting</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Authentication tokens; device push tokens; chat message content; crash and usage analytics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 — Maps &amp; Places API</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Address geocoding (once per business registration); map display on listing profiles; address autocomplete during registration only</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address query; geocoded coordinates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Apple Inc.</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Apple Push Notification Service (APNs — iOS push notifications); Apple Sign-In; Apple In-App Purchase (StoreKit 2 — iOS subscription billing)</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tokens; authentication data; subscription status and transaction IDs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Elasticsearch (self-hosted on AWS)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Full-text search indexing and retrieval powering Platform discovery</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listing content; search query analytics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Redis / BullMQ (self-hosted)</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In-memory caching; background job queue processing for notifications, billing events, and lead distribution</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Ephemeral job metadata only — not retained after job completion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Web Payment Gateway (provider disclosed in account dashboard)</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Secure web platform subscription billing and payment processing (PCI-DSS Level 1 compliant)</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Payment tokens; subscription status; billing metadata. No raw card data accessible to NAAMPATA.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Transactional Email Service Provider (as configured)</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Transactional email delivery: billing receipts; OTP; security alerts; listing notifications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addresses; email content; delivery metadata</w:t>
            </w:r>
          </w:p>
        </w:tc>
      </w:tr>
    </w:tbl>
    <w:p>
      <w:pPr>
        <w:spacing w:after="80" w:before="60"/>
        <w:jc w:val="both"/>
      </w:pPr>
      <w:r>
        <w:rPr>
          <w:rFonts w:ascii="Arial" w:cs="Arial" w:eastAsia="Arial" w:hAnsi="Arial"/>
          <w:sz w:val="20"/>
          <w:szCs w:val="20"/>
        </w:rPr>
        <w:t xml:space="preserve">Full and current sub-processor list: www.naampata.com/legal/sub-processors. Enterprise Clients under the Data Processing Agreement (Document 7) receive 30 calendar days' advance written notice before engagement of new sub-processors who will process their data.</w:t>
      </w:r>
    </w:p>
    <w:p>
      <w:pPr>
        <w:pStyle w:val="Heading2"/>
      </w:pPr>
      <w:r>
        <w:rPr>
          <w:rFonts w:ascii="Arial" w:cs="Arial" w:eastAsia="Arial" w:hAnsi="Arial"/>
          <w:sz w:val="20"/>
          <w:szCs w:val="20"/>
        </w:rPr>
        <w:t xml:space="preserve">6.3 Legal Disclosures</w:t>
      </w:r>
    </w:p>
    <w:p>
      <w:pPr>
        <w:spacing w:after="80" w:before="60"/>
        <w:jc w:val="both"/>
      </w:pPr>
      <w:r>
        <w:rPr>
          <w:rFonts w:ascii="Arial" w:cs="Arial" w:eastAsia="Arial" w:hAnsi="Arial"/>
          <w:sz w:val="20"/>
          <w:szCs w:val="20"/>
        </w:rPr>
        <w:t xml:space="preserve">We may disclose your personal data to competent law enforcement, judicial, and regulatory authorities — including Pakistan's FIA Cybercrime Wing, Pakistan Police, SECP, FBR, NAB, NCMEC, and applicable international bodies — where: (a) required by valid legal process, court order, or mandatory law; (b) necessary to protect against imminent risk to the life or physical safety of any person; or (c) required under applicable AML/CTF or sanctions law. Where law enforcement instructs us not to notify a subject, we will comply. NAAMPATA proactively reports CSAM and direct threats to life regardless of any formal legal process.</w:t>
      </w:r>
    </w:p>
    <w:p>
      <w:pPr>
        <w:pStyle w:val="Heading2"/>
      </w:pPr>
      <w:r>
        <w:rPr>
          <w:rFonts w:ascii="Arial" w:cs="Arial" w:eastAsia="Arial" w:hAnsi="Arial"/>
          <w:sz w:val="20"/>
          <w:szCs w:val="20"/>
        </w:rPr>
        <w:t xml:space="preserve">6.4 Business Transfers</w:t>
      </w:r>
    </w:p>
    <w:p>
      <w:pPr>
        <w:spacing w:after="80" w:before="60"/>
        <w:jc w:val="both"/>
      </w:pPr>
      <w:r>
        <w:rPr>
          <w:rFonts w:ascii="Arial" w:cs="Arial" w:eastAsia="Arial" w:hAnsi="Arial"/>
          <w:sz w:val="20"/>
          <w:szCs w:val="20"/>
        </w:rPr>
        <w:t xml:space="preserve">In a merger, acquisition, reorganisation, or asset sale, your personal data may transfer to the successor entity subject to equivalent privacy protections. We will notify you as required by applicable law and provide you with choices where mandated.</w:t>
      </w:r>
    </w:p>
    <w:p>
      <w:pPr>
        <w:pStyle w:val="Heading2"/>
      </w:pPr>
      <w:r>
        <w:rPr>
          <w:rFonts w:ascii="Arial" w:cs="Arial" w:eastAsia="Arial" w:hAnsi="Arial"/>
          <w:sz w:val="20"/>
          <w:szCs w:val="20"/>
        </w:rPr>
        <w:t xml:space="preserve">6.5 Aggregated &amp; Anonymised Data</w:t>
      </w:r>
    </w:p>
    <w:p>
      <w:pPr>
        <w:spacing w:after="80" w:before="60"/>
        <w:jc w:val="both"/>
      </w:pPr>
      <w:r>
        <w:rPr>
          <w:rFonts w:ascii="Arial" w:cs="Arial" w:eastAsia="Arial" w:hAnsi="Arial"/>
          <w:sz w:val="20"/>
          <w:szCs w:val="20"/>
        </w:rPr>
        <w:t xml:space="preserve">We may freely share aggregated, anonymised, or de-identified data that cannot reasonably be used to re-identify any individual, for purposes including business analytics, investor reporting, industry research, and product development, without any restriction.</w:t>
      </w:r>
    </w:p>
    <w:p>
      <w:pPr>
        <w:pStyle w:val="Heading1"/>
      </w:pPr>
      <w:r>
        <w:rPr>
          <w:rFonts w:ascii="Arial" w:cs="Arial" w:eastAsia="Arial" w:hAnsi="Arial"/>
          <w:sz w:val="20"/>
          <w:szCs w:val="20"/>
        </w:rPr>
        <w:t xml:space="preserve">7. International Data Transfers</w:t>
      </w:r>
    </w:p>
    <w:p>
      <w:pPr>
        <w:spacing w:after="80" w:before="60"/>
        <w:jc w:val="both"/>
      </w:pPr>
      <w:r>
        <w:rPr>
          <w:rFonts w:ascii="Arial" w:cs="Arial" w:eastAsia="Arial" w:hAnsi="Arial"/>
          <w:sz w:val="20"/>
          <w:szCs w:val="20"/>
        </w:rPr>
        <w:t xml:space="preserve">Your personal data may be transferred to and processed in countries other than your country of residence, including Pakistan, the United States, and other countries where our sub-processors operate. For transfers of EU/EEA personal data to countries without a European Commission adequacy decision, and for UK personal data transfers, we implement: (i) Standard Contractual Clauses (SCCs) — European Commission Decision 2021/914, Module 2 (Controller-to-Processor), updated as required; (ii) UK International Data Transfer Agreements (IDTAs) approved by the UK ICO for UK GDPR transfers; and (iii) Transfer Impact Assessments (TIAs) where required by applicable regulatory guidance. Copies of applicable transfer mechanisms are available on request from legal@naampata.com within 10 business days.</w:t>
      </w:r>
    </w:p>
    <w:p>
      <w:pPr>
        <w:pStyle w:val="Heading1"/>
      </w:pPr>
      <w:r>
        <w:rPr>
          <w:rFonts w:ascii="Arial" w:cs="Arial" w:eastAsia="Arial" w:hAnsi="Arial"/>
          <w:sz w:val="20"/>
          <w:szCs w:val="20"/>
        </w:rPr>
        <w:t xml:space="preserve">8. Data Retention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3380"/>
      </w:tblGrid>
      <w:tr>
        <w:trPr>
          <w:tblHeader/>
        </w:trPr>
        <w:tc>
          <w:tcPr>
            <w:tcW w:type="dxa" w:w="3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Data Category</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Retention Period</w:t>
            </w:r>
          </w:p>
        </w:tc>
        <w:tc>
          <w:tcPr>
            <w:tcW w:type="dxa" w:w="33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Legal Basis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Account registration and profile data (active accounts)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Duration of active account + 7 years after permanent deletion</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obligation (ETO 2002); contract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listing data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Duration of listing + 7 years after permanent removal</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obligation; contract</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Consent Logging Records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Minimum 7 years from each acceptance event — irrespective of account deletion</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obligation — binding contract evidence under ETO 2002</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In-app chat messages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24 months from creation. Extended if subject to an active dispute, legal hold, or law enforcement request.</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legal obligation</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Reviews and ratings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Active until removed by moderator. Anonymised (NOT deleted) upon account deletion to preserve platform review integrity.</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 platform integrity</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Broadcast Inquiries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Active until admin-configured expiry; archived for 12 months thereafter</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Payment and billing records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Minimum 7 years from transaction date</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FBR tax legal obligation; Contract Act 1872</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Fraud detection and security event logs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24 months from event date</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PECA 2016 obligations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Server access and API logs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12 months from creation</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Analytics and engagement data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Aggregated/anonymised after 26 months; anonymised data retained indefinitely</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Moderation and enforcement records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5 years from action date</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legal obligation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Support communications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 years from resolution of each interaction</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GPS coordinates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Permanent — required for proximity search and map display functionality</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Contract; legitimate interests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Affiliate commission and KYC records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7 years from commission event or programme exit</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obligation (AML/CTF; FBR; Contract Act)</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Data breach and security incident records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5 years from incident date</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obligation (GDPR Art. 33(5); PECA 2016)</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Deleted account personal data (post soft-delete)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30-day soft delete grace period, then permanent irreversible deletion</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GDPR Art. 17; legal obligation</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Sanctions screening records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5 years from screening date</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AML/CTF legal obligation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hold data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Duration of legal proceedings + applicable statutory retention period, overriding all standard schedules</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obligation — overrides all other retention periods</w:t>
            </w:r>
          </w:p>
        </w:tc>
      </w:tr>
    </w:tbl>
    <w:p>
      <w:pPr>
        <w:pStyle w:val="Heading1"/>
      </w:pPr>
      <w:r>
        <w:rPr>
          <w:rFonts w:ascii="Arial" w:cs="Arial" w:eastAsia="Arial" w:hAnsi="Arial"/>
          <w:sz w:val="20"/>
          <w:szCs w:val="20"/>
        </w:rPr>
        <w:t xml:space="preserve">9. Your Privacy Rights</w:t>
      </w:r>
    </w:p>
    <w:p>
      <w:pPr>
        <w:pStyle w:val="Heading2"/>
      </w:pPr>
      <w:r>
        <w:rPr>
          <w:rFonts w:ascii="Arial" w:cs="Arial" w:eastAsia="Arial" w:hAnsi="Arial"/>
          <w:sz w:val="20"/>
          <w:szCs w:val="20"/>
        </w:rPr>
        <w:t xml:space="preserve">9.1 GDPR &amp; UK GDPR Rights — EU/EEA and UK Residents</w:t>
      </w:r>
    </w:p>
    <w:p>
      <w:pPr>
        <w:spacing w:after="80" w:before="60"/>
        <w:jc w:val="both"/>
      </w:pPr>
      <w:r>
        <w:rPr>
          <w:rFonts w:ascii="Arial" w:cs="Arial" w:eastAsia="Arial" w:hAnsi="Arial"/>
          <w:sz w:val="20"/>
          <w:szCs w:val="20"/>
        </w:rPr>
        <w:t xml:space="preserve">Submit all data rights requests to legal@naampata.com (Subject: "Data Rights Request — [Right Type]"). We respond within 30 calendar days (extendable by a further 30 days for complex or numerous requests, with prior notice and explanation). We may require identity verification. You may lodge a complaint with your national supervisory authority at any time, including before or during our response.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Right</w:t>
            </w:r>
          </w:p>
        </w:tc>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GDPR Article</w:t>
            </w:r>
          </w:p>
        </w:tc>
        <w:tc>
          <w:tcPr>
            <w:tcW w:type="dxa" w:w="6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Scope &amp; Notes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Right of Access (SAR)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Art. 15</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Request a copy of personal data we hold about you, processing purposes, categories, recipients, retention periods, and transfer safeguards (including copies of applicable SCCs/IDTAs).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Right to Rectification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Art. 16</w:t>
            </w:r>
          </w:p>
        </w:tc>
        <w:tc>
          <w:tcPr>
            <w:tcW w:type="dxa" w:w="6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Request correction of inaccurate or incomplete personal data. Many fields can be corrected directly via account settings without a formal request.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Right to Erasure ("Right to be Forgotten")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Art. 17</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Request deletion in specified circumstances — subject to legal retention obligations and legitimate interests overrides. Reviews are anonymised rather than deleted to preserve platform review integrity.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Right to Data Portability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Art. 20</w:t>
            </w:r>
          </w:p>
        </w:tc>
        <w:tc>
          <w:tcPr>
            <w:tcW w:type="dxa" w:w="6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Receive personal data you provided in a structured, commonly used, machine-readable format (CSV or JSON). Transfer to another controller where technically feasible.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Right to Restriction of Processing</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Art. 18</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Request suspension of processing in specified circumstances (e.g. while accuracy of data is contested).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Right to Object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Art. 21</w:t>
            </w:r>
          </w:p>
        </w:tc>
        <w:tc>
          <w:tcPr>
            <w:tcW w:type="dxa" w:w="6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Object to processing based on Legitimate Interests. We must cease unless we demonstrate compelling legitimate grounds that override your interests.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Right to Object to Profiling for Direct Marketing</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Art. 21(2)</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Absolute right — NAAMPATA will immediately cease profiling for direct marketing purposes upon your objection, with no requirement to demonstrate grounds.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Right Not to Be Subject to Solely Automated Decisions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Art. 22</w:t>
            </w:r>
          </w:p>
        </w:tc>
        <w:tc>
          <w:tcPr>
            <w:tcW w:type="dxa" w:w="6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Request human review of any automated determination producing significant effects. Provide explanation and opportunity to contest. See Section 4.</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Right to Withdraw Consent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Art. 7(3)</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Withdraw consent at any time without affecting the lawfulness of processing before withdrawal. Marketing emails: unsubscribe link in each email or via account settings.</w:t>
            </w:r>
          </w:p>
        </w:tc>
      </w:tr>
    </w:tbl>
    <w:p>
      <w:pPr>
        <w:pStyle w:val="Heading2"/>
      </w:pPr>
      <w:r>
        <w:rPr>
          <w:rFonts w:ascii="Arial" w:cs="Arial" w:eastAsia="Arial" w:hAnsi="Arial"/>
          <w:sz w:val="20"/>
          <w:szCs w:val="20"/>
        </w:rPr>
        <w:t xml:space="preserve">9.2 CCPA / CPRA Rights — California Residents</w:t>
      </w:r>
    </w:p>
    <w:p>
      <w:pPr>
        <w:spacing w:after="80" w:before="60"/>
        <w:jc w:val="both"/>
      </w:pPr>
      <w:r>
        <w:rPr>
          <w:rFonts w:ascii="Arial" w:cs="Arial" w:eastAsia="Arial" w:hAnsi="Arial"/>
          <w:sz w:val="20"/>
          <w:szCs w:val="20"/>
        </w:rPr>
        <w:t xml:space="preserve">Submit requests to legal@naampata.com (Subject: "CCPA Rights Request"). We respond to verified requests within 45 calendar days (extendable by a further 45 days for complex requests, with prior notice). Rights include:</w:t>
      </w:r>
    </w:p>
    <w:p>
      <w:pPr>
        <w:pStyle w:val="ListParagraph"/>
        <w:numPr>
          <w:ilvl w:val="0"/>
          <w:numId w:val="2"/>
        </w:numPr>
        <w:spacing w:after="40" w:before="40"/>
        <w:jc w:val="both"/>
      </w:pPr>
      <w:r>
        <w:rPr>
          <w:rFonts w:ascii="Arial" w:cs="Arial" w:eastAsia="Arial" w:hAnsi="Arial"/>
          <w:sz w:val="20"/>
          <w:szCs w:val="20"/>
        </w:rPr>
        <w:t xml:space="preserve">Right to Know: categories and specific pieces of personal data collected, used, disclosed, or "sold" in the preceding 12 months.</w:t>
      </w:r>
    </w:p>
    <w:p>
      <w:pPr>
        <w:pStyle w:val="ListParagraph"/>
        <w:numPr>
          <w:ilvl w:val="0"/>
          <w:numId w:val="2"/>
        </w:numPr>
        <w:spacing w:after="40" w:before="40"/>
        <w:jc w:val="both"/>
      </w:pPr>
      <w:r>
        <w:rPr>
          <w:rFonts w:ascii="Arial" w:cs="Arial" w:eastAsia="Arial" w:hAnsi="Arial"/>
          <w:sz w:val="20"/>
          <w:szCs w:val="20"/>
        </w:rPr>
        <w:t xml:space="preserve">Right to Delete: deletion of personal data collected from you, subject to statutory exceptions.</w:t>
      </w:r>
    </w:p>
    <w:p>
      <w:pPr>
        <w:pStyle w:val="ListParagraph"/>
        <w:numPr>
          <w:ilvl w:val="0"/>
          <w:numId w:val="2"/>
        </w:numPr>
        <w:spacing w:after="40" w:before="40"/>
        <w:jc w:val="both"/>
      </w:pPr>
      <w:r>
        <w:rPr>
          <w:rFonts w:ascii="Arial" w:cs="Arial" w:eastAsia="Arial" w:hAnsi="Arial"/>
          <w:sz w:val="20"/>
          <w:szCs w:val="20"/>
        </w:rPr>
        <w:t xml:space="preserve">Right to Correct: correction of inaccurate personal data.</w:t>
      </w:r>
    </w:p>
    <w:p>
      <w:pPr>
        <w:pStyle w:val="ListParagraph"/>
        <w:numPr>
          <w:ilvl w:val="0"/>
          <w:numId w:val="2"/>
        </w:numPr>
        <w:spacing w:after="40" w:before="40"/>
        <w:jc w:val="both"/>
      </w:pPr>
      <w:r>
        <w:rPr>
          <w:rFonts w:ascii="Arial" w:cs="Arial" w:eastAsia="Arial" w:hAnsi="Arial"/>
          <w:sz w:val="20"/>
          <w:szCs w:val="20"/>
        </w:rPr>
        <w:t xml:space="preserve">Right to Opt-Out of Sale or Sharing: We do NOT sell personal data and do not share it for cross-context behavioural advertising. If this changes, a "Do Not Sell or Share" link will be displayed at www.naampata.com.</w:t>
      </w:r>
    </w:p>
    <w:p>
      <w:pPr>
        <w:pStyle w:val="ListParagraph"/>
        <w:numPr>
          <w:ilvl w:val="0"/>
          <w:numId w:val="2"/>
        </w:numPr>
        <w:spacing w:after="40" w:before="40"/>
        <w:jc w:val="both"/>
      </w:pPr>
      <w:r>
        <w:rPr>
          <w:rFonts w:ascii="Arial" w:cs="Arial" w:eastAsia="Arial" w:hAnsi="Arial"/>
          <w:sz w:val="20"/>
          <w:szCs w:val="20"/>
        </w:rPr>
        <w:t xml:space="preserve">Right to Limit Use of Sensitive Personal Information: limit processing to purposes necessary for service delivery.</w:t>
      </w:r>
    </w:p>
    <w:p>
      <w:pPr>
        <w:pStyle w:val="ListParagraph"/>
        <w:numPr>
          <w:ilvl w:val="0"/>
          <w:numId w:val="2"/>
        </w:numPr>
        <w:spacing w:after="40" w:before="40"/>
        <w:jc w:val="both"/>
      </w:pPr>
      <w:r>
        <w:rPr>
          <w:rFonts w:ascii="Arial" w:cs="Arial" w:eastAsia="Arial" w:hAnsi="Arial"/>
          <w:sz w:val="20"/>
          <w:szCs w:val="20"/>
        </w:rPr>
        <w:t xml:space="preserve">Right to Non-Discrimination: we will not discriminate against you for exercising any CCPA/CPRA right.</w:t>
      </w:r>
    </w:p>
    <w:p>
      <w:pPr>
        <w:pStyle w:val="Heading2"/>
      </w:pPr>
      <w:r>
        <w:rPr>
          <w:rFonts w:ascii="Arial" w:cs="Arial" w:eastAsia="Arial" w:hAnsi="Arial"/>
          <w:sz w:val="20"/>
          <w:szCs w:val="20"/>
        </w:rPr>
        <w:t xml:space="preserve">9.3 Pakistan Data Rights</w:t>
      </w:r>
    </w:p>
    <w:p>
      <w:pPr>
        <w:spacing w:after="80" w:before="60"/>
        <w:jc w:val="both"/>
      </w:pPr>
      <w:r>
        <w:rPr>
          <w:rFonts w:ascii="Arial" w:cs="Arial" w:eastAsia="Arial" w:hAnsi="Arial"/>
          <w:sz w:val="20"/>
          <w:szCs w:val="20"/>
        </w:rPr>
        <w:t xml:space="preserve">Pakistani residents may exercise equivalent data rights under PECA 2016, ETO 2002, and the Consumer Rights Act 2020 by contacting legal@naampata.com. NAAMPATA applies GDPR-equivalent standards to all such requests as a matter of policy.</w:t>
      </w:r>
    </w:p>
    <w:p>
      <w:pPr>
        <w:pStyle w:val="Heading1"/>
      </w:pPr>
      <w:r>
        <w:rPr>
          <w:rFonts w:ascii="Arial" w:cs="Arial" w:eastAsia="Arial" w:hAnsi="Arial"/>
          <w:sz w:val="20"/>
          <w:szCs w:val="20"/>
        </w:rPr>
        <w:t xml:space="preserve">10. Security Measures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Security Control</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Data Encryption at Rest</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AES-256 encryption for all personal data in production databases and AWS S3 file storage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Data Encryption in Transit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TLS 1.2 minimum enforced on all endpoints and API calls; TLS 1.0 and TLS 1.1 explicitly disabled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Access Control Architecture</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Role-Based Access Control (RBAC); principle of least privilege; mandatory two-factor authentication (2FA) for all admin accounts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 Panel Security</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Accessible only from pre-approved, whitelisted IP addresses; automatic session timeout enforced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Web Application Firewall (WAF)</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OWASP Core Rule Set deployed and enabled on all public-facing endpoints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Password Storage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passwords stored as bcrypt one-way cryptographic hashes — never stored in plaintext under any circumstance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Penetration Testing</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Third-party penetration test conducted prior to public launch and at least annually thereafter. Critical findings remediated within 5 business days; high-severity within 30 business days.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Audit Logs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Immutable, tamper-evident audit logs for all administrative actions, retained for a minimum of 24 months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Rate Limiting &amp; DDoS Protection</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Global rate limiting on all API endpoints; DDoS mitigation on all public infrastructure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Fraud Detection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Behavioural fraud detection engine with automated flagging and mandatory human review before any enforcement action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Backup &amp; Disaster Recovery</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Daily automated backups with tested quarterly restoration procedures; defined Recovery Time Objective (RTO) and Recovery Point Objective (RPO)</w:t>
            </w:r>
          </w:p>
        </w:tc>
      </w:tr>
    </w:tbl>
    <w:p>
      <w:pPr>
        <w:spacing w:after="80" w:before="60"/>
        <w:jc w:val="both"/>
      </w:pPr>
      <w:r>
        <w:rPr>
          <w:rFonts w:ascii="Arial" w:cs="Arial" w:eastAsia="Arial" w:hAnsi="Arial"/>
          <w:sz w:val="20"/>
          <w:szCs w:val="20"/>
        </w:rPr>
        <w:t xml:space="preserve">No security system is absolutely impenetrable. We cannot guarantee that our security measures will be entirely effective against all threats. In the event of a personal data breach likely to result in high risk to your rights and freedoms, we will notify you as required by GDPR Article 34 without undue delay. Data breach notifications are published at www.naampata.com/security.</w:t>
      </w:r>
    </w:p>
    <w:p>
      <w:pPr>
        <w:pStyle w:val="Heading1"/>
      </w:pPr>
      <w:r>
        <w:rPr>
          <w:rFonts w:ascii="Arial" w:cs="Arial" w:eastAsia="Arial" w:hAnsi="Arial"/>
          <w:sz w:val="20"/>
          <w:szCs w:val="20"/>
        </w:rPr>
        <w:t xml:space="preserve">11. Special Categories &amp; Biometric Data</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NAAMPATA DOES NOT COLLECT BIOMETRIC DATA of any kind — including fingerprints, facial recognition data, retinal scans, voiceprints, palm prints, or any other unique biological identifier. If this ever changes, we will update this Policy and obtain required explicit written consent before commencing any biometric collection.</w:t>
      </w:r>
    </w:p>
    <w:p>
      <w:pPr>
        <w:spacing w:after="80" w:before="60"/>
        <w:jc w:val="both"/>
      </w:pPr>
      <w:r>
        <w:rPr>
          <w:rFonts w:ascii="Arial" w:cs="Arial" w:eastAsia="Arial" w:hAnsi="Arial"/>
          <w:sz w:val="20"/>
          <w:szCs w:val="20"/>
        </w:rPr>
        <w:t xml:space="preserve">We do not intentionally collect special category personal data under GDPR Article 9, including racial or ethnic origin, political opinions, religious or philosophical beliefs, trade union membership, genetic data, health data, sex life, or sexual orientation. If you voluntarily include such information in free-text fields, we process it only in the context of general content moderation. We strongly recommend you do not include special category data in Platform submissions.</w:t>
      </w:r>
    </w:p>
    <w:p>
      <w:pPr>
        <w:pStyle w:val="Heading1"/>
      </w:pPr>
      <w:r>
        <w:rPr>
          <w:rFonts w:ascii="Arial" w:cs="Arial" w:eastAsia="Arial" w:hAnsi="Arial"/>
          <w:sz w:val="20"/>
          <w:szCs w:val="20"/>
        </w:rPr>
        <w:t xml:space="preserve">12. Children's Privacy</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The NAAMPATA Platform is NOT directed at children under 13 years of age. We do not knowingly collect personal data from children under 13.</w:t>
      </w:r>
    </w:p>
    <w:p>
      <w:pPr>
        <w:spacing w:after="80" w:before="60"/>
        <w:jc w:val="both"/>
      </w:pPr>
      <w:r>
        <w:rPr>
          <w:rFonts w:ascii="Arial" w:cs="Arial" w:eastAsia="Arial" w:hAnsi="Arial"/>
          <w:sz w:val="20"/>
          <w:szCs w:val="20"/>
        </w:rPr>
        <w:t xml:space="preserve">Users must be at least 13 years of age. Users aged 13–17 require verifiable parental or guardian consent, with a parent or guardian accepting the Legal Suite on their behalf. In EU/EEA member states where GDPR Article 8 or applicable national law sets the digital services age at 16 (or another age above 13), that higher age applies to residents of those states. If we discover an account belonging to a child under 13 without valid parental consent, we will: (i) immediately suspend the account; and (ii) permanently delete all associated personal data within 30 calendar days. To report a suspected under-13 account: legal@naampata.com (Subject: "Minor Account Report") — treated as highest priority. We do not direct advertising or promotional content at users we know or have reasonable grounds to believe are under 18 years of age.</w:t>
      </w:r>
    </w:p>
    <w:p>
      <w:pPr>
        <w:pStyle w:val="Heading1"/>
      </w:pPr>
      <w:r>
        <w:rPr>
          <w:rFonts w:ascii="Arial" w:cs="Arial" w:eastAsia="Arial" w:hAnsi="Arial"/>
          <w:sz w:val="20"/>
          <w:szCs w:val="20"/>
        </w:rPr>
        <w:t xml:space="preserve">13. Device Fingerprinting for Fraud Prevention</w:t>
      </w:r>
    </w:p>
    <w:p>
      <w:pPr>
        <w:spacing w:after="80" w:before="60"/>
        <w:jc w:val="both"/>
      </w:pPr>
      <w:r>
        <w:rPr>
          <w:rFonts w:ascii="Arial" w:cs="Arial" w:eastAsia="Arial" w:hAnsi="Arial"/>
          <w:sz w:val="20"/>
          <w:szCs w:val="20"/>
        </w:rPr>
        <w:t xml:space="preserve">For fraud prevention, enforcement of permanent account bans against re-registration, and detection of coordinated abuse patterns, our web application may collect browser and device signals to generate a probabilistic device identifier ("device fingerprint"). Signals may include: browser type and version; operating system and version; screen resolution and colour depth; time zone; language preferences; and network connectivity type. Device fingerprinting is used exclusively for: (i) detecting fake reviews, fake accounts, and affiliate fraud; (ii) enforcing permanent bans against re-registration by banned users; and (iii) identifying coordinated abusive behaviour. It is NOT used for advertising targeting, commercial profiling, or sharing with third parties other than fraud-prevention sub-processors under strict data processing obligations. Lawful basis: Legitimate Interests (GDPR Art. 6(1)(f)) — LIA documented.</w:t>
      </w:r>
    </w:p>
    <w:p>
      <w:pPr>
        <w:pStyle w:val="Heading1"/>
      </w:pPr>
      <w:r>
        <w:rPr>
          <w:rFonts w:ascii="Arial" w:cs="Arial" w:eastAsia="Arial" w:hAnsi="Arial"/>
          <w:sz w:val="20"/>
          <w:szCs w:val="20"/>
        </w:rPr>
        <w:t xml:space="preserve">14. Cookies &amp; Web Tracking</w:t>
      </w:r>
    </w:p>
    <w:p>
      <w:pPr>
        <w:spacing w:after="80" w:before="60"/>
        <w:jc w:val="both"/>
      </w:pPr>
      <w:r>
        <w:rPr>
          <w:rFonts w:ascii="Arial" w:cs="Arial" w:eastAsia="Arial" w:hAnsi="Arial"/>
          <w:sz w:val="20"/>
          <w:szCs w:val="20"/>
        </w:rPr>
        <w:t xml:space="preserve">Cookies, web beacons, pixel tags, and similar tracking technologies used on our web application (www.naampata.com) are governed separately and in detail by our Cookie Policy (Document 6), available at www.naampata.com/legal and at www.naampata.com/cookie-settings. Non-essential Tracking Technologies are never placed without your active consent through our Consent Management Platform (CMP). Mobile app tracking is governed by this Privacy Policy (see Sections 5 and 8 above).</w:t>
      </w:r>
    </w:p>
    <w:p>
      <w:pPr>
        <w:pStyle w:val="Heading1"/>
      </w:pPr>
      <w:r>
        <w:rPr>
          <w:rFonts w:ascii="Arial" w:cs="Arial" w:eastAsia="Arial" w:hAnsi="Arial"/>
          <w:sz w:val="20"/>
          <w:szCs w:val="20"/>
        </w:rPr>
        <w:t xml:space="preserve">15. Marketing Communications</w:t>
      </w:r>
    </w:p>
    <w:p>
      <w:pPr>
        <w:spacing w:after="80" w:before="60"/>
        <w:jc w:val="both"/>
      </w:pPr>
      <w:r>
        <w:rPr>
          <w:rFonts w:ascii="Arial" w:cs="Arial" w:eastAsia="Arial" w:hAnsi="Arial"/>
          <w:sz w:val="20"/>
          <w:szCs w:val="20"/>
        </w:rPr>
        <w:t xml:space="preserve">Transactional notifications (billing alerts, lead alerts, chat messages, listing approvals/rejections, security alerts, OTP codes) are a core component of service delivery and cannot be disabled from within the Platform, though you may disable push notification permissions at the device operating system level. Marketing emails are sent only with your separate, explicit opt-in consent and may be unsubscribed at any time via the unsubscribe link in each email or via account settings. Unsubscribing from marketing does not affect transactional communications. OTP SMS is required for account authentication and cannot be opted out of.</w:t>
      </w:r>
    </w:p>
    <w:p>
      <w:pPr>
        <w:pStyle w:val="Heading1"/>
      </w:pPr>
      <w:r>
        <w:rPr>
          <w:rFonts w:ascii="Arial" w:cs="Arial" w:eastAsia="Arial" w:hAnsi="Arial"/>
          <w:sz w:val="20"/>
          <w:szCs w:val="20"/>
        </w:rPr>
        <w:t xml:space="preserve">16. Data Breach Notification Procedures</w:t>
      </w:r>
    </w:p>
    <w:p>
      <w:pPr>
        <w:pStyle w:val="ListParagraph"/>
        <w:numPr>
          <w:ilvl w:val="0"/>
          <w:numId w:val="2"/>
        </w:numPr>
        <w:spacing w:after="40" w:before="40"/>
        <w:jc w:val="both"/>
      </w:pPr>
      <w:r>
        <w:rPr>
          <w:rFonts w:ascii="Arial" w:cs="Arial" w:eastAsia="Arial" w:hAnsi="Arial"/>
          <w:sz w:val="20"/>
          <w:szCs w:val="20"/>
        </w:rPr>
        <w:t xml:space="preserve">We maintain a complete record of all personal data breaches per GDPR Article 33(5).</w:t>
      </w:r>
    </w:p>
    <w:p>
      <w:pPr>
        <w:pStyle w:val="ListParagraph"/>
        <w:numPr>
          <w:ilvl w:val="0"/>
          <w:numId w:val="2"/>
        </w:numPr>
        <w:spacing w:after="40" w:before="40"/>
        <w:jc w:val="both"/>
      </w:pPr>
      <w:r>
        <w:rPr>
          <w:rFonts w:ascii="Arial" w:cs="Arial" w:eastAsia="Arial" w:hAnsi="Arial"/>
          <w:sz w:val="20"/>
          <w:szCs w:val="20"/>
        </w:rPr>
        <w:t xml:space="preserve">We notify the relevant supervisory authority within 72 hours of becoming aware of a notifiable personal data breach affecting EU/EEA or UK data subjects (GDPR Art. 33 / UK GDPR).</w:t>
      </w:r>
    </w:p>
    <w:p>
      <w:pPr>
        <w:pStyle w:val="ListParagraph"/>
        <w:numPr>
          <w:ilvl w:val="0"/>
          <w:numId w:val="2"/>
        </w:numPr>
        <w:spacing w:after="40" w:before="40"/>
        <w:jc w:val="both"/>
      </w:pPr>
      <w:r>
        <w:rPr>
          <w:rFonts w:ascii="Arial" w:cs="Arial" w:eastAsia="Arial" w:hAnsi="Arial"/>
          <w:sz w:val="20"/>
          <w:szCs w:val="20"/>
        </w:rPr>
        <w:t xml:space="preserve">We notify affected individuals without undue delay where a breach is likely to result in high risk to their rights and freedoms (GDPR Art. 34).</w:t>
      </w:r>
    </w:p>
    <w:p>
      <w:pPr>
        <w:pStyle w:val="ListParagraph"/>
        <w:numPr>
          <w:ilvl w:val="0"/>
          <w:numId w:val="2"/>
        </w:numPr>
        <w:spacing w:after="40" w:before="40"/>
        <w:jc w:val="both"/>
      </w:pPr>
      <w:r>
        <w:rPr>
          <w:rFonts w:ascii="Arial" w:cs="Arial" w:eastAsia="Arial" w:hAnsi="Arial"/>
          <w:sz w:val="20"/>
          <w:szCs w:val="20"/>
        </w:rPr>
        <w:t xml:space="preserve">Breach notifications and security incident updates are published at www.naampata.com/security.</w:t>
      </w:r>
    </w:p>
    <w:p>
      <w:pPr>
        <w:pStyle w:val="Heading1"/>
      </w:pPr>
      <w:r>
        <w:rPr>
          <w:rFonts w:ascii="Arial" w:cs="Arial" w:eastAsia="Arial" w:hAnsi="Arial"/>
          <w:sz w:val="20"/>
          <w:szCs w:val="20"/>
        </w:rPr>
        <w:t xml:space="preserve">17. Supervisory Authorities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Jurisdiction</w:t>
            </w:r>
          </w:p>
        </w:tc>
        <w:tc>
          <w:tcPr>
            <w:tcW w:type="dxa" w:w="7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Authority &amp; Contact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EU/EEA (GDPR)</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Your competent national Data Protection Authority. Full list: https://edpb.europa.eu/about-edpb/about-edpb/members_en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United Kingdom (UK GDPR)</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Information Commissioner's Office (ICO) — www.ico.org.uk | Wycliffe House, Water Lane, Wilmslow, SK9 5AF</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Pakistan (PECA / Consumer Rights)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FIA Cybercrime Wing — reportcyber.fia.gov.pk | Consumer Rights Commission of Pakistan (CRCP)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EU Online Dispute Resolution</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https://ec.europa.eu/consumers/odr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SECP (Company Law / Investor Matters)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Securities &amp; Exchange Commission of Pakistan — www.secp.gov.pk | Corporate ID: 0330350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FBR (Tax Matters)</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Federal Board of Revenue — www.fbr.gov.pk | NTN: I739330</w:t>
            </w:r>
          </w:p>
        </w:tc>
      </w:tr>
    </w:tbl>
    <w:p>
      <w:pPr>
        <w:pStyle w:val="Heading1"/>
      </w:pPr>
      <w:r>
        <w:rPr>
          <w:rFonts w:ascii="Arial" w:cs="Arial" w:eastAsia="Arial" w:hAnsi="Arial"/>
          <w:sz w:val="20"/>
          <w:szCs w:val="20"/>
        </w:rPr>
        <w:t xml:space="preserve">18. Changes to This Privacy Policy</w:t>
      </w:r>
    </w:p>
    <w:p>
      <w:pPr>
        <w:spacing w:after="80" w:before="60"/>
        <w:jc w:val="both"/>
      </w:pPr>
      <w:r>
        <w:rPr>
          <w:rFonts w:ascii="Arial" w:cs="Arial" w:eastAsia="Arial" w:hAnsi="Arial"/>
          <w:sz w:val="20"/>
          <w:szCs w:val="20"/>
        </w:rPr>
        <w:t xml:space="preserve">We may update this Privacy Policy at any time. Material changes affecting your rights will be notified at least 14 calendar days in advance by email to your registered address and by prominent in-Platform notice. Non-material changes (typographical corrections, clarifications) are indicated by an updated Effective Date. Previous versions are archived at www.naampata.com/legal and available on request from legal@naampata.com. Continued use of the Platform after the effective date of any change constitutes your acceptance of the updated Policy.</w:t>
      </w:r>
    </w:p>
    <w:p>
      <w:pPr>
        <w:pStyle w:val="Heading2"/>
      </w:pPr>
      <w:r>
        <w:rPr>
          <w:rFonts w:ascii="Arial" w:cs="Arial" w:eastAsia="Arial" w:hAnsi="Arial"/>
          <w:sz w:val="20"/>
          <w:szCs w:val="20"/>
        </w:rPr>
        <w:t xml:space="preserve">Governing Law &amp; Dispute Resolution</w:t>
      </w:r>
    </w:p>
    <w:p>
      <w:pPr>
        <w:spacing w:after="80" w:before="60"/>
        <w:jc w:val="both"/>
      </w:pPr>
      <w:r>
        <w:rPr>
          <w:rFonts w:ascii="Arial" w:cs="Arial" w:eastAsia="Arial" w:hAnsi="Arial"/>
          <w:sz w:val="20"/>
          <w:szCs w:val="20"/>
        </w:rPr>
        <w:t xml:space="preserve">These Terms and all disputes, claims, or proceedings arising out of or in connection with them — including non-contractual disputes — are governed by and construed in accordance with the laws of the Islamic Republic of Pakistan, including the Companies Act 2017, Contract Act 1872, Electronic Transactions Ordinance 2002 (ETO 2002), Prevention of Electronic Crimes Act 2016 (PECA 2016), Consumer Rights Act 2020, and Competition Act 2010, without regard to conflict-of-law principles.</w:t>
      </w:r>
    </w:p>
    <w:p>
      <w:pPr>
        <w:spacing w:after="80" w:before="60"/>
        <w:jc w:val="both"/>
      </w:pPr>
      <w:r>
        <w:rPr>
          <w:rFonts w:ascii="Arial" w:cs="Arial" w:eastAsia="Arial" w:hAnsi="Arial"/>
          <w:sz w:val="20"/>
          <w:szCs w:val="20"/>
        </w:rPr>
        <w:t xml:space="preserve">Mandatory pre-litigation resolution: Before commencing any formal proceedings, you must submit a written Dispute Notice to legal@naampata.com (Subject: "Dispute Notice"). The parties shall attempt good-faith resolution for thirty (30) calendar days. If unresolved, disputes shall be submitted to the exclusive jurisdiction of the courts of Lahore, Punjab, Pakistan, except that EU/EEA and UK consumers retain the non-waivable right to bring proceedings before courts in their country of residence under applicable mandatory consumer protection law.</w:t>
      </w:r>
    </w:p>
    <w:p>
      <w:pPr>
        <w:spacing w:after="80" w:before="60"/>
        <w:jc w:val="both"/>
      </w:pPr>
      <w:r>
        <w:rPr>
          <w:rFonts w:ascii="Arial" w:cs="Arial" w:eastAsia="Arial" w:hAnsi="Arial"/>
          <w:sz w:val="20"/>
          <w:szCs w:val="20"/>
        </w:rPr>
        <w:t xml:space="preserve">EU/EEA consumers: EU Online Dispute Resolution — https://ec.europa.eu/consumers/odr. UK consumers: applicable ADR scheme. Pakistani consumers: Consumer Rights Commission of Pakistan (CRCP) or relevant provincial consumer authority. NAAMPATA is not obligated to participate in any alternative dispute resolution scheme except where required by applicable mandatory law.</w:t>
      </w:r>
    </w:p>
    <w:p>
      <w:pPr>
        <w:pStyle w:val="Heading2"/>
      </w:pPr>
      <w:r>
        <w:rPr>
          <w:rFonts w:ascii="Arial" w:cs="Arial" w:eastAsia="Arial" w:hAnsi="Arial"/>
          <w:sz w:val="20"/>
          <w:szCs w:val="20"/>
        </w:rPr>
        <w:t xml:space="preserve">General Provisions</w:t>
      </w:r>
    </w:p>
    <w:p>
      <w:pPr>
        <w:spacing w:after="80" w:before="60"/>
        <w:jc w:val="both"/>
      </w:pPr>
      <w:r>
        <w:rPr>
          <w:rFonts w:ascii="Arial" w:cs="Arial" w:eastAsia="Arial" w:hAnsi="Arial"/>
          <w:b/>
          <w:bCs/>
          <w:sz w:val="20"/>
          <w:szCs w:val="20"/>
        </w:rPr>
        <w:t xml:space="preserve">Entire Agreement.</w:t>
      </w:r>
    </w:p>
    <w:p>
      <w:pPr>
        <w:spacing w:after="80" w:before="60"/>
        <w:jc w:val="both"/>
      </w:pPr>
      <w:r>
        <w:rPr>
          <w:rFonts w:ascii="Arial" w:cs="Arial" w:eastAsia="Arial" w:hAnsi="Arial"/>
          <w:sz w:val="20"/>
          <w:szCs w:val="20"/>
        </w:rPr>
        <w:t xml:space="preserve">The NAAMPATA Legal Suite (all 9 documents) constitutes the entire agreement between you and NAAMPATA concerning the Platform and supersedes all prior agreements, understandings, representations, and communications, written or oral, including all prior versions of any Legal Suite document.</w:t>
      </w:r>
    </w:p>
    <w:p>
      <w:pPr>
        <w:spacing w:after="80" w:before="60"/>
        <w:jc w:val="both"/>
      </w:pPr>
      <w:r>
        <w:rPr>
          <w:rFonts w:ascii="Arial" w:cs="Arial" w:eastAsia="Arial" w:hAnsi="Arial"/>
          <w:b/>
          <w:bCs/>
          <w:sz w:val="20"/>
          <w:szCs w:val="20"/>
        </w:rPr>
        <w:t xml:space="preserve">Severability.</w:t>
      </w:r>
    </w:p>
    <w:p>
      <w:pPr>
        <w:spacing w:after="80" w:before="60"/>
        <w:jc w:val="both"/>
      </w:pPr>
      <w:r>
        <w:rPr>
          <w:rFonts w:ascii="Arial" w:cs="Arial" w:eastAsia="Arial" w:hAnsi="Arial"/>
          <w:sz w:val="20"/>
          <w:szCs w:val="20"/>
        </w:rPr>
        <w:t xml:space="preserve">If any provision of these Terms is found invalid, illegal, or unenforceable by a court of competent jurisdiction, it shall be modified to the minimum extent necessary to make it valid, legal, and enforceable, or severed if modification is not possible, without affecting the validity and enforceability of the remaining provisions.</w:t>
      </w:r>
    </w:p>
    <w:p>
      <w:pPr>
        <w:spacing w:after="80" w:before="60"/>
        <w:jc w:val="both"/>
      </w:pPr>
      <w:r>
        <w:rPr>
          <w:rFonts w:ascii="Arial" w:cs="Arial" w:eastAsia="Arial" w:hAnsi="Arial"/>
          <w:b/>
          <w:bCs/>
          <w:sz w:val="20"/>
          <w:szCs w:val="20"/>
        </w:rPr>
        <w:t xml:space="preserve">No Waiver.</w:t>
      </w:r>
    </w:p>
    <w:p>
      <w:pPr>
        <w:spacing w:after="80" w:before="60"/>
        <w:jc w:val="both"/>
      </w:pPr>
      <w:r>
        <w:rPr>
          <w:rFonts w:ascii="Arial" w:cs="Arial" w:eastAsia="Arial" w:hAnsi="Arial"/>
          <w:sz w:val="20"/>
          <w:szCs w:val="20"/>
        </w:rPr>
        <w:t xml:space="preserve">Failure to enforce any provision of these Terms does not constitute a waiver of that provision or any other provision. Any waiver must be in writing and signed by an authorised NAAMPATA representative to be effective.</w:t>
      </w:r>
    </w:p>
    <w:p>
      <w:pPr>
        <w:spacing w:after="80" w:before="60"/>
        <w:jc w:val="both"/>
      </w:pPr>
      <w:r>
        <w:rPr>
          <w:rFonts w:ascii="Arial" w:cs="Arial" w:eastAsia="Arial" w:hAnsi="Arial"/>
          <w:b/>
          <w:bCs/>
          <w:sz w:val="20"/>
          <w:szCs w:val="20"/>
        </w:rPr>
        <w:t xml:space="preserve">Assignment.</w:t>
      </w:r>
    </w:p>
    <w:p>
      <w:pPr>
        <w:spacing w:after="80" w:before="60"/>
        <w:jc w:val="both"/>
      </w:pPr>
      <w:r>
        <w:rPr>
          <w:rFonts w:ascii="Arial" w:cs="Arial" w:eastAsia="Arial" w:hAnsi="Arial"/>
          <w:sz w:val="20"/>
          <w:szCs w:val="20"/>
        </w:rPr>
        <w:t xml:space="preserve">You may not assign, transfer, novate, or sub-licence any of your rights or obligations under these Terms without NAAMPATA's prior written consent. Any purported assignment without consent is void. NAAMPATA may freely assign all of its rights and obligations, including in connection with corporate restructuring, merger, acquisition, or asset sale, with reasonable prior notice of any material change to the contracting entity.</w:t>
      </w:r>
    </w:p>
    <w:p>
      <w:pPr>
        <w:spacing w:after="80" w:before="60"/>
        <w:jc w:val="both"/>
      </w:pPr>
      <w:r>
        <w:rPr>
          <w:rFonts w:ascii="Arial" w:cs="Arial" w:eastAsia="Arial" w:hAnsi="Arial"/>
          <w:b/>
          <w:bCs/>
          <w:sz w:val="20"/>
          <w:szCs w:val="20"/>
        </w:rPr>
        <w:t xml:space="preserve">No Third-Party Rights.</w:t>
      </w:r>
    </w:p>
    <w:p>
      <w:pPr>
        <w:spacing w:after="80" w:before="60"/>
        <w:jc w:val="both"/>
      </w:pPr>
      <w:r>
        <w:rPr>
          <w:rFonts w:ascii="Arial" w:cs="Arial" w:eastAsia="Arial" w:hAnsi="Arial"/>
          <w:sz w:val="20"/>
          <w:szCs w:val="20"/>
        </w:rPr>
        <w:t xml:space="preserve">These Terms are for the benefit of the contracting parties only. No third party has any right to enforce any provision under applicable third-party rights legislation.</w:t>
      </w:r>
    </w:p>
    <w:p>
      <w:pPr>
        <w:spacing w:after="80" w:before="60"/>
        <w:jc w:val="both"/>
      </w:pPr>
      <w:r>
        <w:rPr>
          <w:rFonts w:ascii="Arial" w:cs="Arial" w:eastAsia="Arial" w:hAnsi="Arial"/>
          <w:b/>
          <w:bCs/>
          <w:sz w:val="20"/>
          <w:szCs w:val="20"/>
        </w:rPr>
        <w:t xml:space="preserve">Survival.</w:t>
      </w:r>
    </w:p>
    <w:p>
      <w:pPr>
        <w:spacing w:after="80" w:before="60"/>
        <w:jc w:val="both"/>
      </w:pPr>
      <w:r>
        <w:rPr>
          <w:rFonts w:ascii="Arial" w:cs="Arial" w:eastAsia="Arial" w:hAnsi="Arial"/>
          <w:sz w:val="20"/>
          <w:szCs w:val="20"/>
        </w:rPr>
        <w:t xml:space="preserve">All provisions that by their nature should survive termination of these Terms shall survive, including: intellectual property ownership, content licences, limitation of liability, exclusion of indirect damages, warranty disclaimer, class action waiver, indemnification, sanctions compliance, governing law, dispute resolution, and these general provisions.</w:t>
      </w:r>
    </w:p>
    <w:p>
      <w:pPr>
        <w:spacing w:after="80" w:before="60"/>
        <w:jc w:val="both"/>
      </w:pPr>
      <w:r>
        <w:rPr>
          <w:rFonts w:ascii="Arial" w:cs="Arial" w:eastAsia="Arial" w:hAnsi="Arial"/>
          <w:b/>
          <w:bCs/>
          <w:sz w:val="20"/>
          <w:szCs w:val="20"/>
        </w:rPr>
        <w:t xml:space="preserve">Relationship of the Parties.</w:t>
      </w:r>
    </w:p>
    <w:p>
      <w:pPr>
        <w:spacing w:after="80" w:before="60"/>
        <w:jc w:val="both"/>
      </w:pPr>
      <w:r>
        <w:rPr>
          <w:rFonts w:ascii="Arial" w:cs="Arial" w:eastAsia="Arial" w:hAnsi="Arial"/>
          <w:sz w:val="20"/>
          <w:szCs w:val="20"/>
        </w:rPr>
        <w:t xml:space="preserve">Nothing in these Terms creates any employment, agency, partnership, joint venture, franchise, or fiduciary relationship. The parties are independent contracting parties.</w:t>
      </w:r>
    </w:p>
    <w:p>
      <w:pPr>
        <w:spacing w:after="80" w:before="60"/>
        <w:jc w:val="both"/>
      </w:pPr>
      <w:r>
        <w:rPr>
          <w:rFonts w:ascii="Arial" w:cs="Arial" w:eastAsia="Arial" w:hAnsi="Arial"/>
          <w:b/>
          <w:bCs/>
          <w:sz w:val="20"/>
          <w:szCs w:val="20"/>
        </w:rPr>
        <w:t xml:space="preserve">Electronic Notices.</w:t>
      </w:r>
    </w:p>
    <w:p>
      <w:pPr>
        <w:spacing w:after="80" w:before="60"/>
        <w:jc w:val="both"/>
      </w:pPr>
      <w:r>
        <w:rPr>
          <w:rFonts w:ascii="Arial" w:cs="Arial" w:eastAsia="Arial" w:hAnsi="Arial"/>
          <w:sz w:val="20"/>
          <w:szCs w:val="20"/>
        </w:rPr>
        <w:t xml:space="preserve">All notices under these Terms shall be delivered electronically. Notices to you are sent to your registered email address or delivered as in-Platform notifications. Electronic delivery constitutes legally effective written notice for all purposes under these Terms, including under ETO 2002. Notices to NAAMPATA shall be sent to legal@naampata.com with an appropriate subject line as specified in the relevant provision.</w:t>
      </w:r>
    </w:p>
    <w:p>
      <w:pPr>
        <w:spacing w:after="80" w:before="60"/>
        <w:jc w:val="both"/>
      </w:pPr>
      <w:r>
        <w:rPr>
          <w:rFonts w:ascii="Arial" w:cs="Arial" w:eastAsia="Arial" w:hAnsi="Arial"/>
          <w:b/>
          <w:bCs/>
          <w:sz w:val="20"/>
          <w:szCs w:val="20"/>
        </w:rPr>
        <w:t xml:space="preserve">Language.</w:t>
      </w:r>
    </w:p>
    <w:p>
      <w:pPr>
        <w:spacing w:after="80" w:before="60"/>
        <w:jc w:val="both"/>
      </w:pPr>
      <w:r>
        <w:rPr>
          <w:rFonts w:ascii="Arial" w:cs="Arial" w:eastAsia="Arial" w:hAnsi="Arial"/>
          <w:sz w:val="20"/>
          <w:szCs w:val="20"/>
        </w:rPr>
        <w:t xml:space="preserve">These Terms are written in English. Where translations are provided for convenience, the English version prevails in all cases of conflict or ambiguity.</w:t>
      </w:r>
    </w:p>
    <w:p>
      <w:pPr>
        <w:spacing w:after="80" w:before="60"/>
        <w:jc w:val="both"/>
      </w:pPr>
      <w:r>
        <w:rPr>
          <w:rFonts w:ascii="Arial" w:cs="Arial" w:eastAsia="Arial" w:hAnsi="Arial"/>
          <w:b/>
          <w:bCs/>
          <w:sz w:val="20"/>
          <w:szCs w:val="20"/>
        </w:rPr>
        <w:t xml:space="preserve">Future Documents.</w:t>
      </w:r>
    </w:p>
    <w:p>
      <w:pPr>
        <w:spacing w:after="80" w:before="60"/>
        <w:jc w:val="both"/>
      </w:pPr>
      <w:r>
        <w:rPr>
          <w:rFonts w:ascii="Arial" w:cs="Arial" w:eastAsia="Arial" w:hAnsi="Arial"/>
          <w:sz w:val="20"/>
          <w:szCs w:val="20"/>
        </w:rPr>
        <w:t xml:space="preserve">NAAMPATA may publish additional legal documents (Document 10 onwards) at any time, including without limitation: Payments &amp; Escrow Terms; Enterprise Licence Agreement; Advertising &amp; Sponsored Content Policy; and AI Services Terms. Upon publication at www.naampata.com/legal, each additional document is incorporated into and subject to the Legal Suite conflict hierarchy. Material changes take effect no earlier than 14 calendar days after notification.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B3A6B" w:sz="8" w:space="4"/>
      </w:pBdr>
      <w:spacing w:after="120" w:before="400"/>
      <w:outlineLvl w:val="0"/>
    </w:pPr>
    <w:rPr>
      <w:rFonts w:ascii="Arial" w:cs="Arial" w:eastAsia="Arial" w:hAnsi="Arial"/>
      <w:b/>
      <w:bCs/>
      <w:color w:val="1B3A6B"/>
      <w:sz w:val="30"/>
      <w:szCs w:val="30"/>
    </w:rPr>
  </w:style>
  <w:style w:type="paragraph" w:styleId="Heading2">
    <w:name w:val="Heading 2"/>
    <w:basedOn w:val="Normal"/>
    <w:next w:val="Normal"/>
    <w:pPr>
      <w:spacing w:after="80" w:before="280"/>
      <w:outlineLvl w:val="1"/>
    </w:pPr>
    <w:rPr>
      <w:rFonts w:ascii="Arial" w:cs="Arial" w:eastAsia="Arial" w:hAnsi="Arial"/>
      <w:b/>
      <w:bCs/>
      <w:color w:val="1B3A6B"/>
      <w:sz w:val="24"/>
      <w:szCs w:val="24"/>
    </w:rPr>
  </w:style>
  <w:style w:type="paragraph" w:styleId="Heading3">
    <w:name w:val="Heading 3"/>
    <w:basedOn w:val="Normal"/>
    <w:next w:val="Normal"/>
    <w:pPr>
      <w:spacing w:after="60" w:before="200"/>
      <w:outlineLvl w:val="2"/>
    </w:pPr>
    <w:rPr>
      <w:rFonts w:ascii="Arial" w:cs="Arial" w:eastAsia="Arial" w:hAnsi="Arial"/>
      <w:b/>
      <w:bCs/>
      <w:color w:val="1B3A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2026-05-27T18:39:02.516Z</dcterms:created>
  <dcterms:modified xsi:type="dcterms:W3CDTF">2026-05-27T18:39:02.527Z</dcterms:modified>
</cp:coreProperties>
</file>

<file path=docProps/custom.xml><?xml version="1.0" encoding="utf-8"?>
<Properties xmlns="http://schemas.openxmlformats.org/officeDocument/2006/custom-properties" xmlns:vt="http://schemas.openxmlformats.org/officeDocument/2006/docPropsVTypes"/>
</file>