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B3A6B"/>
          <w:sz w:val="22"/>
          <w:szCs w:val="22"/>
        </w:rPr>
        <w:t xml:space="preserve">NAAMPATA (SMC-PRIVATE) LIMITED</w:t>
      </w:r>
    </w:p>
    <w:p>
      <w:pPr>
        <w:spacing w:after="30" w:before="0"/>
        <w:jc w:val="center"/>
      </w:pPr>
      <w:r>
        <w:rPr>
          <w:rFonts w:ascii="Arial" w:cs="Arial" w:eastAsia="Arial" w:hAnsi="Arial"/>
          <w:color w:val="475569"/>
          <w:sz w:val="17"/>
          <w:szCs w:val="17"/>
        </w:rPr>
        <w:t xml:space="preserve">Corporate ID: 0330350  |  NTN: I739330  |  PSEB: Z-25-19606/26</w:t>
      </w:r>
    </w:p>
    <w:p>
      <w:pPr>
        <w:spacing w:after="30" w:before="0"/>
        <w:jc w:val="center"/>
      </w:pPr>
      <w:r>
        <w:rPr>
          <w:rFonts w:ascii="Arial" w:cs="Arial" w:eastAsia="Arial" w:hAnsi="Arial"/>
          <w:color w:val="475569"/>
          <w:sz w:val="17"/>
          <w:szCs w:val="17"/>
        </w:rPr>
        <w:t xml:space="preserve">Office No. 4, Taj Market, Neewan Bazaar, Ghakhar, Wazirabad, Gujranwala, Punjab, Pakistan</w:t>
      </w:r>
    </w:p>
    <w:p>
      <w:pPr>
        <w:spacing w:after="80" w:before="0"/>
        <w:jc w:val="center"/>
      </w:pPr>
      <w:r>
        <w:rPr>
          <w:rFonts w:ascii="Arial" w:cs="Arial" w:eastAsia="Arial" w:hAnsi="Arial"/>
          <w:color w:val="475569"/>
          <w:sz w:val="17"/>
          <w:szCs w:val="17"/>
        </w:rPr>
        <w:t xml:space="preserve">legal@naampata.com  |  support@naampata.com  |  +92 321 111 6966</w:t>
      </w:r>
    </w:p>
    <w:p>
      <w:pPr>
        <w:pBdr>
          <w:bottom w:val="single" w:color="1B3A6B" w:sz="10" w:space="4"/>
        </w:pBdr>
        <w:spacing w:after="50" w:before="160"/>
        <w:jc w:val="center"/>
      </w:pPr>
      <w:r>
        <w:rPr>
          <w:rFonts w:ascii="Arial" w:cs="Arial" w:eastAsia="Arial" w:hAnsi="Arial"/>
          <w:b/>
          <w:bCs/>
          <w:color w:val="1B3A6B"/>
          <w:sz w:val="42"/>
          <w:szCs w:val="42"/>
        </w:rPr>
        <w:t xml:space="preserve">Cookie Policy</w:t>
      </w:r>
    </w:p>
    <w:p>
      <w:pPr>
        <w:spacing w:after="40" w:before="70"/>
        <w:jc w:val="center"/>
      </w:pPr>
      <w:r>
        <w:rPr>
          <w:rFonts w:ascii="Arial" w:cs="Arial" w:eastAsia="Arial" w:hAnsi="Arial"/>
          <w:color w:val="475569"/>
          <w:sz w:val="19"/>
          <w:szCs w:val="19"/>
        </w:rPr>
        <w:t xml:space="preserve">Document 6 of 9  ·  NAAMPATA (SMC-PRIVATE) LIMITED  ·  Web Application Users</w:t>
      </w:r>
    </w:p>
    <w:p>
      <w:pPr>
        <w:spacing w:after="240" w:before="0"/>
        <w:jc w:val="center"/>
      </w:pPr>
      <w:r>
        <w:rPr>
          <w:rFonts w:ascii="Arial" w:cs="Arial" w:eastAsia="Arial" w:hAnsi="Arial"/>
          <w:i/>
          <w:iCs/>
          <w:color w:val="475569"/>
          <w:sz w:val="18"/>
          <w:szCs w:val="18"/>
        </w:rPr>
        <w:t xml:space="preserve">Effective: June 2026  ·  www.naampata.com/legal</w:t>
      </w:r>
    </w:p>
    <w:p>
      <w:pPr>
        <w:pBdr>
          <w:left w:val="single" w:color="0D9488" w:sz="16"/>
        </w:pBdr>
        <w:shd w:fill="EFF6FF" w:val="clear"/>
        <w:spacing w:after="180" w:before="100"/>
        <w:ind w:left="120" w:right="60"/>
      </w:pPr>
      <w:r>
        <w:rPr>
          <w:rFonts w:ascii="Arial" w:cs="Arial" w:eastAsia="Arial" w:hAnsi="Arial"/>
          <w:b/>
          <w:bCs/>
          <w:color w:val="0D9488"/>
          <w:sz w:val="20"/>
          <w:szCs w:val="20"/>
        </w:rPr>
        <w:t xml:space="preserve">Legal Suite Reference — Document 6 of 9: </w:t>
      </w:r>
      <w:r>
        <w:rPr>
          <w:rFonts w:ascii="Arial" w:cs="Arial" w:eastAsia="Arial" w:hAnsi="Arial"/>
          <w:sz w:val="20"/>
          <w:szCs w:val="20"/>
        </w:rPr>
        <w:t xml:space="preserve">Cookie Policy. Audience: All web application users (www.naampata.com). This document forms part of the NAAMPATA Legal Suite (9 documents). All documents are published at www.naampata.com/legal and are incorporated into one integrated legal framework. Governs cookies and web tracking technologies on NAAMPATA web properties. Mobile app tracking is governed by the Privacy Policy (Document 1). Consent is managed via CMP at www.naampata.com/cookie-settings.</w:t>
      </w:r>
    </w:p>
    <w:p>
      <w:pPr>
        <w:spacing w:after="80" w:before="60"/>
        <w:jc w:val="both"/>
      </w:pPr>
      <w:r>
        <w:rPr>
          <w:rFonts w:ascii="Arial" w:cs="Arial" w:eastAsia="Arial" w:hAnsi="Arial"/>
          <w:sz w:val="20"/>
          <w:szCs w:val="20"/>
        </w:rPr>
        <w:t xml:space="preserve">This Cookie Policy explains how NAAMPATA (SMC-PRIVATE) LIMITED uses cookies, web beacons, pixel tags, local storage, session storage, and similar tracking technologies ("Tracking Technologies") on the NAAMPATA web application (www.naampata.com and all subdomains). Mobile application tracking is governed separately by the Privacy Policy (Document 1), Sections 5 and 8.</w:t>
      </w:r>
    </w:p>
    <w:p>
      <w:pPr>
        <w:spacing w:after="80" w:before="60"/>
        <w:jc w:val="both"/>
      </w:pPr>
      <w:r>
        <w:rPr>
          <w:rFonts w:ascii="Arial" w:cs="Arial" w:eastAsia="Arial" w:hAnsi="Arial"/>
          <w:b/>
          <w:bCs/>
          <w:sz w:val="20"/>
          <w:szCs w:val="20"/>
        </w:rPr>
        <w:t xml:space="preserve">Cookie Preference Centre: </w:t>
      </w:r>
      <w:r>
        <w:rPr>
          <w:rFonts w:ascii="Arial" w:cs="Arial" w:eastAsia="Arial" w:hAnsi="Arial"/>
          <w:sz w:val="20"/>
          <w:szCs w:val="20"/>
        </w:rPr>
        <w:t xml:space="preserve">Manage your cookie and tracking preferences at any time: www.naampata.com/cookie-settings. Non-essential Tracking Technologies are NEVER placed on your device until you provide an active, informed, specific choice through our Consent Management Platform (CMP).</w:t>
      </w:r>
    </w:p>
    <w:p>
      <w:pPr>
        <w:pStyle w:val="Heading1"/>
      </w:pPr>
      <w:r>
        <w:rPr>
          <w:rFonts w:ascii="Arial" w:cs="Arial" w:eastAsia="Arial" w:hAnsi="Arial"/>
          <w:sz w:val="20"/>
          <w:szCs w:val="20"/>
        </w:rPr>
        <w:t xml:space="preserve">1.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w:t>
            </w:r>
          </w:p>
        </w:tc>
        <w:tc>
          <w:tcPr>
            <w:tcW w:type="dxa" w:w="7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"Cookies"</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Small text files placed on your device or browser when you visit a website. Used for session management, preference storage, analytics tracking, and advertising purposes.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"Tracking Technologies"</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Cookies and all similar web tracking methods, including web beacons (tracking pixels), pixel tags, local storage objects (LSOs), session storage, IndexedDB, Canvas fingerprinting, and JavaScript-based trackers.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"Strictly Necessary"</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Tracking Technologies that are technically essential for the web application to function. May be placed without prior consent under applicable law.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"Non-Essential"</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All Tracking Technologies that are not Strictly Necessary — including analytics, functional preference, marketing/remarketing, and affiliate attribution technologies. All require prior informed active consent.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"CMP"</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Consent Management Platform — the cookie consent banner and Preference Centre at www.naampata.com/cookie-settings through which you manage all Tracking Technology preferences.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"First-Party"</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Tracking Technologies set directly by NAAMPATA from the naampata.com domain or its subdomains.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"Third-Party"</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Tracking Technologies set by third-party domains embedded within the NAAMPATA web application (e.g. Google Analytics, Firebase).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"Session Cookie"</w:t>
            </w:r>
          </w:p>
        </w:tc>
        <w:tc>
          <w:tcPr>
            <w:tcW w:type="dxa" w:w="7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Expires automatically when you close your browser or end your browsing session.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"Persistent Cookie"</w:t>
            </w:r>
          </w:p>
        </w:tc>
        <w:tc>
          <w:tcPr>
            <w:tcW w:type="dxa" w:w="7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Remains on your device until its specified expiry date or until you manually delete it.</w:t>
            </w:r>
          </w:p>
        </w:tc>
      </w:tr>
    </w:tbl>
    <w:p>
      <w:pPr>
        <w:pStyle w:val="Heading1"/>
      </w:pPr>
      <w:r>
        <w:rPr>
          <w:rFonts w:ascii="Arial" w:cs="Arial" w:eastAsia="Arial" w:hAnsi="Arial"/>
          <w:sz w:val="20"/>
          <w:szCs w:val="20"/>
        </w:rPr>
        <w:t xml:space="preserve">2. Core Principle: Consent Before Placement</w:t>
      </w:r>
    </w:p>
    <w:p>
      <w:pPr>
        <w:pBdr>
          <w:left w:val="single" w:color="C0392B" w:sz="18"/>
        </w:pBdr>
        <w:shd w:fill="FEF2F2" w:val="clear"/>
        <w:spacing w:after="120" w:before="120"/>
        <w:ind w:left="120" w:right="120"/>
      </w:pPr>
      <w:r>
        <w:rPr>
          <w:rFonts w:ascii="Arial" w:cs="Arial" w:eastAsia="Arial" w:hAnsi="Arial"/>
          <w:b/>
          <w:bCs/>
          <w:color w:val="C0392B"/>
          <w:sz w:val="20"/>
          <w:szCs w:val="20"/>
        </w:rPr>
        <w:t xml:space="preserve">NOTICE: </w:t>
      </w:r>
      <w:r>
        <w:rPr>
          <w:rFonts w:ascii="Arial" w:cs="Arial" w:eastAsia="Arial" w:hAnsi="Arial"/>
          <w:sz w:val="19"/>
          <w:szCs w:val="19"/>
        </w:rPr>
        <w:t xml:space="preserve">Non-Essential Tracking Technologies are NEVER placed on your device unless and until you provide an active, specific, informed choice through our CMP. Consent is not assumed from continued browsing or inaction. Each category of non-essential technology requires separate consent.</w:t>
      </w:r>
    </w:p>
    <w:p>
      <w:pPr>
        <w:spacing w:after="80" w:before="60"/>
        <w:jc w:val="both"/>
      </w:pPr>
      <w:r>
        <w:rPr>
          <w:rFonts w:ascii="Arial" w:cs="Arial" w:eastAsia="Arial" w:hAnsi="Arial"/>
          <w:sz w:val="20"/>
          <w:szCs w:val="20"/>
        </w:rPr>
        <w:t xml:space="preserve">On your first visit to the NAAMPATA web application, you will see our CMP consent banner. Your options are: (a) ACCEPT ALL — consent to all categories including analytics, functional preferences, and affiliate attribution; (b) REJECT ALL / ESSENTIAL ONLY — decline all non-essential technologies (the site remains fully functional); or (c) MANAGE PREFERENCES — choose specific categories individually via the Preference Centre at www.naampata.com/cookie-settings. Your choices are stored in a first-party consent record cookie (naampata_consent) and honoured on all subsequent visits. You may change your preferences at any time by returning to www.naampata.com/cookie-settings. Withdrawing consent does not affect the lawfulness of processing conducted before withdrawal.</w:t>
      </w:r>
    </w:p>
    <w:p>
      <w:pPr>
        <w:spacing w:after="80" w:before="60"/>
        <w:jc w:val="both"/>
      </w:pPr>
      <w:r>
        <w:rPr>
          <w:rFonts w:ascii="Arial" w:cs="Arial" w:eastAsia="Arial" w:hAnsi="Arial"/>
          <w:sz w:val="20"/>
          <w:szCs w:val="20"/>
        </w:rPr>
        <w:t xml:space="preserve">Strictly Necessary Tracking Technologies (authentication session tokens, CSRF protection tokens, load balancer persistence cookies, fraud prevention signals, and consent record storage) are placed automatically as they are technically required for the web application to function. These do not require prior consent under applicable law including GDPR Recital 25.</w:t>
      </w:r>
    </w:p>
    <w:p>
      <w:pPr>
        <w:pStyle w:val="Heading1"/>
      </w:pPr>
      <w:r>
        <w:rPr>
          <w:rFonts w:ascii="Arial" w:cs="Arial" w:eastAsia="Arial" w:hAnsi="Arial"/>
          <w:sz w:val="20"/>
          <w:szCs w:val="20"/>
        </w:rPr>
        <w:t xml:space="preserve">3. Cookie Categories, Purposes &amp; Legal Bases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000"/>
        <w:gridCol w:w="1600"/>
        <w:gridCol w:w="1380"/>
      </w:tblGrid>
      <w:tr>
        <w:trPr>
          <w:tblHeader/>
        </w:trPr>
        <w:tc>
          <w:tcPr>
            <w:tcW w:type="dxa" w:w="19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Category</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Purpose &amp; Examples</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Legal Basis</w:t>
            </w:r>
          </w:p>
        </w:tc>
        <w:tc>
          <w:tcPr>
            <w:tcW w:type="dxa" w:w="1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Expiry Range</w:t>
            </w:r>
          </w:p>
        </w:tc>
        <w:tc>
          <w:tcPr>
            <w:tcW w:type="dxa" w:w="13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Opt-Out?</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Strictly Necessary</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Session authentication; CSRF protection; load balancer persistence; consent record storage (naampata_consent); security rate limiting; core fraud prevention. Examples: naampata_session, naampata_csrf, naampata_consent.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 / Legal Obligation — consent not required (GDPR Recital 25)</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Session to 12 months depending on type</w:t>
            </w:r>
          </w:p>
        </w:tc>
        <w:tc>
          <w:tcPr>
            <w:tcW w:type="dxa" w:w="1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technically essential; blocking prevents login and core functionality</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Functional / Preference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Language preference; display mode (light/dark theme); form field retention; notification preference settings. Example: naampata_pref.</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Consent — GDPR Art. 6(1)(a)</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Up to 12 months</w:t>
            </w:r>
          </w:p>
        </w:tc>
        <w:tc>
          <w:tcPr>
            <w:tcW w:type="dxa" w:w="1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via Preference Centre (www.naampata.com/cookie-settings)</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Analytics &amp; Performance</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Web traffic measurement; page performance monitoring; feature adoption rates; error frequency; user flow analysis; conversion funnel tracking. Current tools: Google Analytics 4 (GA4), Firebase Analytics.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Consent — GDPR Art. 6(1)(a)</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GA4: up to 26 months (default configuration). Firebase: per session.</w:t>
            </w:r>
          </w:p>
        </w:tc>
        <w:tc>
          <w:tcPr>
            <w:tcW w:type="dxa" w:w="1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via Preference Centre; also via GA4 Browser Opt-Out Add-On</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Marketing &amp; Remarketing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Advertising conversion tracking; remarketing audience creation; ad performance measurement. NOT CURRENTLY ACTIVE on the Platform. Pre-authorised in the Legal Suite for future introduction only. FRESH INDIVIDUAL CMP CONSENT is required before any marketing cookie is placed — pre-authorisation in the Legal Suite does NOT constitute advance consent from individuals.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Consent — GDPR Art. 6(1)(a). Fresh, explicit, individual consent required before any activation. The consent banner will be re-presented for this category.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TBD at introduction</w:t>
            </w:r>
          </w:p>
        </w:tc>
        <w:tc>
          <w:tcPr>
            <w:tcW w:type="dxa" w:w="1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YES — via Preference Centre before and after activation</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Affiliate Attribution</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First-party attribution cookie recording the referral link click event for commission calculation under the Affiliate &amp; Commission Policy (Document 8). 30-day attribution window from click. Example: naampata_aff.</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 / Contract — Art. 6(1)(b)/(f)</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30 calendar days from qualifying click event</w:t>
            </w:r>
          </w:p>
        </w:tc>
        <w:tc>
          <w:tcPr>
            <w:tcW w:type="dxa" w:w="13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Limited — required for affiliate commission processing per Document 8; override available via manual referral code entry</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Security &amp; Fraud Prevention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Bot detection; suspicious behaviour pattern analysis; CSRF token management; API rate limiting enforcement; security incident correlation and anomaly detection.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Legitimate Interests / Legal Obligation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Session to 90 days depending on signal type</w:t>
            </w:r>
          </w:p>
        </w:tc>
        <w:tc>
          <w:tcPr>
            <w:tcW w:type="dxa" w:w="13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NO — required for Platform security and fraud prevention</w:t>
            </w:r>
          </w:p>
        </w:tc>
      </w:tr>
    </w:tbl>
    <w:p>
      <w:pPr>
        <w:pStyle w:val="Heading1"/>
      </w:pPr>
      <w:r>
        <w:rPr>
          <w:rFonts w:ascii="Arial" w:cs="Arial" w:eastAsia="Arial" w:hAnsi="Arial"/>
          <w:sz w:val="20"/>
          <w:szCs w:val="20"/>
        </w:rPr>
        <w:t xml:space="preserve">4. Cookie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700"/>
        <w:gridCol w:w="3280"/>
        <w:gridCol w:w="1000"/>
      </w:tblGrid>
      <w:tr>
        <w:trPr>
          <w:tblHeader/>
        </w:trP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Cookie Name / Prefix</w:t>
            </w:r>
          </w:p>
        </w:tc>
        <w:tc>
          <w:tcPr>
            <w:tcW w:type="dxa" w:w="19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Category</w:t>
            </w:r>
          </w:p>
        </w:tc>
        <w:tc>
          <w:tcPr>
            <w:tcW w:type="dxa" w:w="17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Provider</w:t>
            </w:r>
          </w:p>
        </w:tc>
        <w:tc>
          <w:tcPr>
            <w:tcW w:type="dxa" w:w="3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Purpose</w:t>
            </w:r>
          </w:p>
        </w:tc>
        <w:tc>
          <w:tcPr>
            <w:tcW w:type="dxa" w:w="1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Expiry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naampata_session</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Strictly Necessary</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Authenticated user session management token</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Session end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naampata_csrf</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Strictly Necessary</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Cross-site request forgery (CSRF) attack protection token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Session end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naampata_consent</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Strictly Necessary</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Stores your CMP consent choices and timestamp</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12 months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naampata_aff</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Affiliate Attribution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Referral code click event attribution for Affiliate Programme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30 days from click</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naampata_pref</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Functional</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Language preference; display mode (light/dark theme)</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12 months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_ga</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Analytics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LLC</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Analytics 4 — unique client identifier for traffic measurement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26 months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_ga_[ID]</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Analytics</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LLC</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Analytics 4 — session and campaign state container</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26 months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_gid</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Analytics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LLC</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Analytics — distinguishes individual users within a 24-hour period</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24 hours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_gat_gtag_*</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Analytics</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LLC</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Analytics — request throttling (limits data collection rate)</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1 minute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firebase_auth</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Strictly Necessary</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LLC (Firebase)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Firebase Authentication session persistence token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Session / auth-configurable</w:t>
            </w:r>
          </w:p>
        </w:tc>
      </w:tr>
    </w:tbl>
    <w:p>
      <w:pPr>
        <w:spacing w:after="80" w:before="60"/>
        <w:jc w:val="both"/>
      </w:pPr>
      <w:r>
        <w:rPr>
          <w:rFonts w:ascii="Arial" w:cs="Arial" w:eastAsia="Arial" w:hAnsi="Arial"/>
          <w:sz w:val="20"/>
          <w:szCs w:val="20"/>
        </w:rPr>
        <w:t xml:space="preserve">This inventory reflects the current cookie deployment at the Effective Date of this Policy. NAAMPATA may add, modify, or remove individual cookies as part of normal Platform updates. Material additions to non-essential cookie categories will be disclosed in an updated version of this Policy before deployment. The live Preference Centre at www.naampata.com/cookie-settings always reflects the current active configuration.</w:t>
      </w:r>
    </w:p>
    <w:p>
      <w:pPr>
        <w:pStyle w:val="Heading1"/>
      </w:pPr>
      <w:r>
        <w:rPr>
          <w:rFonts w:ascii="Arial" w:cs="Arial" w:eastAsia="Arial" w:hAnsi="Arial"/>
          <w:sz w:val="20"/>
          <w:szCs w:val="20"/>
        </w:rPr>
        <w:t xml:space="preserve">5. Third-Party Tracking Technology Providers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800"/>
        <w:gridCol w:w="3000"/>
      </w:tblGrid>
      <w:tr>
        <w:trPr>
          <w:tblHeader/>
        </w:trP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Provider</w:t>
            </w:r>
          </w:p>
        </w:tc>
        <w:tc>
          <w:tcPr>
            <w:tcW w:type="dxa" w:w="19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Technology Type</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Purpose</w:t>
            </w:r>
          </w:p>
        </w:tc>
        <w:tc>
          <w:tcPr>
            <w:tcW w:type="dxa" w:w="3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Privacy Policy &amp; Opt-Out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LLC — Google Analytics (GA4)</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Analytics (persistent cookies)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Web traffic measurement; user behaviour analysis; conversion tracking; performance monitoring</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policies.google.com/privacy | Opt-out: tools.google.com/dlpage/gaoptout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LLC — Firebase Analytics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Analytics (SDK)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App and web performance analytics; crash reporting; user event tracking</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policies.google.com/privacy | Via Google account privacy settings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LLC — Google Maps / Places API</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Functional (API)</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Map display on Business listing pages; address autocomplete during Business registration (one-time use only)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policies.google.com/privacy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LLC — Firebase Authentication</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Strictly Necessary (SDK)</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Google OAuth sign-in; web session management and token persistence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policies.google.com/privacy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Meta Platforms Inc. — WhatsApp</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Functional (click-to-chat)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Click-to-WhatsApp business contact button functionality on Paid Plan Business profiles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whatsapp.com/legal/privacy-policy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Web Payment Gateway (provider disclosed in account dashboard)</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Strictly Necessary (iframe)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Secure web platform subscription payment processing (PCI-DSS Level 1 compliant)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Provider's own privacy policy — linked in the payment interface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NAAMPATA (first-party)</w:t>
            </w:r>
          </w:p>
        </w:tc>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Affiliate Attribution (first-party cookie)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Referral code click attribution for Affiliate Programme commission calculation under Document 8</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This Cookie Policy; Affiliate &amp; Commission Policy (Document 8)</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Future Advertising Networks (pre-authorised; NOT currently active)</w:t>
            </w:r>
          </w:p>
        </w:tc>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Marketing &amp; Remarketing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Future targeted advertising; conversion tracking; remarketing audiences. Specific providers will be listed here before activation, with fresh individual CMP consent obtained.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pPr>
              <w:spacing w:after="20" w:before="20"/>
              <w:jc w:val="both"/>
            </w:pPr>
            <w:r>
              <w:rPr>
                <w:rFonts w:ascii="Arial" w:cs="Arial" w:eastAsia="Arial" w:hAnsi="Arial"/>
                <w:sz w:val="19"/>
                <w:szCs w:val="19"/>
              </w:rPr>
              <w:t xml:space="preserve">Will be disclosed at the time of activation with full provider details and opt-out links</w:t>
            </w:r>
          </w:p>
        </w:tc>
      </w:tr>
    </w:tbl>
    <w:p>
      <w:pPr>
        <w:pStyle w:val="Heading1"/>
      </w:pPr>
      <w:r>
        <w:rPr>
          <w:rFonts w:ascii="Arial" w:cs="Arial" w:eastAsia="Arial" w:hAnsi="Arial"/>
          <w:sz w:val="20"/>
          <w:szCs w:val="20"/>
        </w:rPr>
        <w:t xml:space="preserve">6. Managing Your Cookie Preferences</w:t>
      </w:r>
    </w:p>
    <w:p>
      <w:pPr>
        <w:pStyle w:val="Heading2"/>
      </w:pPr>
      <w:r>
        <w:rPr>
          <w:rFonts w:ascii="Arial" w:cs="Arial" w:eastAsia="Arial" w:hAnsi="Arial"/>
          <w:sz w:val="20"/>
          <w:szCs w:val="20"/>
        </w:rPr>
        <w:t xml:space="preserve">6.1 CMP Preference Centre (Recommended Method)</w:t>
      </w:r>
    </w:p>
    <w:p>
      <w:pPr>
        <w:spacing w:after="80" w:before="60"/>
        <w:jc w:val="both"/>
      </w:pPr>
      <w:r>
        <w:rPr>
          <w:rFonts w:ascii="Arial" w:cs="Arial" w:eastAsia="Arial" w:hAnsi="Arial"/>
          <w:sz w:val="20"/>
          <w:szCs w:val="20"/>
        </w:rPr>
        <w:t xml:space="preserve">The most effective and comprehensive method to manage all Tracking Technology preferences is via our CMP Preference Centre at www.naampata.com/cookie-settings. You can: enable or disable specific non-essential categories; withdraw any previously given consent; and update preferences at any time with immediate effect.</w:t>
      </w:r>
    </w:p>
    <w:p>
      <w:pPr>
        <w:pStyle w:val="Heading2"/>
      </w:pPr>
      <w:r>
        <w:rPr>
          <w:rFonts w:ascii="Arial" w:cs="Arial" w:eastAsia="Arial" w:hAnsi="Arial"/>
          <w:sz w:val="20"/>
          <w:szCs w:val="20"/>
        </w:rPr>
        <w:t xml:space="preserve">6.2 Browser-Level Controls</w:t>
      </w:r>
    </w:p>
    <w:p>
      <w:pPr>
        <w:pStyle w:val="ListParagraph"/>
        <w:numPr>
          <w:ilvl w:val="0"/>
          <w:numId w:val="2"/>
        </w:numPr>
        <w:spacing w:after="40" w:before="40"/>
        <w:jc w:val="both"/>
      </w:pPr>
      <w:r>
        <w:rPr>
          <w:rFonts w:ascii="Arial" w:cs="Arial" w:eastAsia="Arial" w:hAnsi="Arial"/>
          <w:sz w:val="20"/>
          <w:szCs w:val="20"/>
        </w:rPr>
        <w:t xml:space="preserve">Google Chrome: Settings → Privacy and Security → Cookies and Other Site Data</w:t>
      </w:r>
    </w:p>
    <w:p>
      <w:pPr>
        <w:pStyle w:val="ListParagraph"/>
        <w:numPr>
          <w:ilvl w:val="0"/>
          <w:numId w:val="2"/>
        </w:numPr>
        <w:spacing w:after="40" w:before="40"/>
        <w:jc w:val="both"/>
      </w:pPr>
      <w:r>
        <w:rPr>
          <w:rFonts w:ascii="Arial" w:cs="Arial" w:eastAsia="Arial" w:hAnsi="Arial"/>
          <w:sz w:val="20"/>
          <w:szCs w:val="20"/>
        </w:rPr>
        <w:t xml:space="preserve">Mozilla Firefox: Settings → Privacy &amp; Security → Cookies and Site Data</w:t>
      </w:r>
    </w:p>
    <w:p>
      <w:pPr>
        <w:pStyle w:val="ListParagraph"/>
        <w:numPr>
          <w:ilvl w:val="0"/>
          <w:numId w:val="2"/>
        </w:numPr>
        <w:spacing w:after="40" w:before="40"/>
        <w:jc w:val="both"/>
      </w:pPr>
      <w:r>
        <w:rPr>
          <w:rFonts w:ascii="Arial" w:cs="Arial" w:eastAsia="Arial" w:hAnsi="Arial"/>
          <w:sz w:val="20"/>
          <w:szCs w:val="20"/>
        </w:rPr>
        <w:t xml:space="preserve">Apple Safari: Settings → Privacy → Manage Website Data</w:t>
      </w:r>
    </w:p>
    <w:p>
      <w:pPr>
        <w:pStyle w:val="ListParagraph"/>
        <w:numPr>
          <w:ilvl w:val="0"/>
          <w:numId w:val="2"/>
        </w:numPr>
        <w:spacing w:after="40" w:before="40"/>
        <w:jc w:val="both"/>
      </w:pPr>
      <w:r>
        <w:rPr>
          <w:rFonts w:ascii="Arial" w:cs="Arial" w:eastAsia="Arial" w:hAnsi="Arial"/>
          <w:sz w:val="20"/>
          <w:szCs w:val="20"/>
        </w:rPr>
        <w:t xml:space="preserve">Microsoft Edge: Settings → Site permissions → Cookies and site data</w:t>
      </w:r>
    </w:p>
    <w:p>
      <w:pPr>
        <w:pStyle w:val="ListParagraph"/>
        <w:numPr>
          <w:ilvl w:val="0"/>
          <w:numId w:val="2"/>
        </w:numPr>
        <w:spacing w:after="40" w:before="40"/>
        <w:jc w:val="both"/>
      </w:pPr>
      <w:r>
        <w:rPr>
          <w:rFonts w:ascii="Arial" w:cs="Arial" w:eastAsia="Arial" w:hAnsi="Arial"/>
          <w:sz w:val="20"/>
          <w:szCs w:val="20"/>
        </w:rPr>
        <w:t xml:space="preserve">Opera: Settings → Privacy &amp; security → Cookies</w:t>
      </w:r>
    </w:p>
    <w:p>
      <w:pPr>
        <w:spacing w:after="80" w:before="60"/>
        <w:jc w:val="both"/>
      </w:pPr>
      <w:r>
        <w:rPr>
          <w:rFonts w:ascii="Arial" w:cs="Arial" w:eastAsia="Arial" w:hAnsi="Arial"/>
          <w:sz w:val="20"/>
          <w:szCs w:val="20"/>
        </w:rPr>
        <w:t xml:space="preserve">Important: Blocking Strictly Necessary cookies will prevent you from logging in and will cause the web application to malfunction. Browser-level cookie deletion does not clear non-cookie local storage or session storage. Clearing cookies resets your consent record — the consent banner will be re-displayed on your next visit.</w:t>
      </w:r>
    </w:p>
    <w:p>
      <w:pPr>
        <w:pStyle w:val="Heading2"/>
      </w:pPr>
      <w:r>
        <w:rPr>
          <w:rFonts w:ascii="Arial" w:cs="Arial" w:eastAsia="Arial" w:hAnsi="Arial"/>
          <w:sz w:val="20"/>
          <w:szCs w:val="20"/>
        </w:rPr>
        <w:t xml:space="preserve">6.3 Google Analytics Opt-Out (Cross-Site)</w:t>
      </w:r>
    </w:p>
    <w:p>
      <w:pPr>
        <w:spacing w:after="80" w:before="60"/>
        <w:jc w:val="both"/>
      </w:pPr>
      <w:r>
        <w:rPr>
          <w:rFonts w:ascii="Arial" w:cs="Arial" w:eastAsia="Arial" w:hAnsi="Arial"/>
          <w:sz w:val="20"/>
          <w:szCs w:val="20"/>
        </w:rPr>
        <w:t xml:space="preserve">To prevent Google Analytics from collecting your data across all websites: install the Google Analytics Opt-out Browser Add-on at https://tools.google.com/dlpage/gaoptout. This prevents the GA JavaScript (analytics.js, gtag.js) from sending data to Google Analytics for your browser sessions.</w:t>
      </w:r>
    </w:p>
    <w:p>
      <w:pPr>
        <w:pStyle w:val="Heading2"/>
      </w:pPr>
      <w:r>
        <w:rPr>
          <w:rFonts w:ascii="Arial" w:cs="Arial" w:eastAsia="Arial" w:hAnsi="Arial"/>
          <w:sz w:val="20"/>
          <w:szCs w:val="20"/>
        </w:rPr>
        <w:t xml:space="preserve">6.4 Mobile Device Settings</w:t>
      </w:r>
    </w:p>
    <w:p>
      <w:pPr>
        <w:pStyle w:val="ListParagraph"/>
        <w:numPr>
          <w:ilvl w:val="0"/>
          <w:numId w:val="2"/>
        </w:numPr>
        <w:spacing w:after="40" w:before="40"/>
        <w:jc w:val="both"/>
      </w:pPr>
      <w:r>
        <w:rPr>
          <w:rFonts w:ascii="Arial" w:cs="Arial" w:eastAsia="Arial" w:hAnsi="Arial"/>
          <w:sz w:val="20"/>
          <w:szCs w:val="20"/>
        </w:rPr>
        <w:t xml:space="preserve">iOS: Settings → Safari → Privacy &amp; Security → Block All Cookies (note: may break some website functionality). iOS App Tracking Transparency: Settings → Privacy &amp; Security → Tracking → disable "Allow Apps to Request to Track".</w:t>
      </w:r>
    </w:p>
    <w:p>
      <w:pPr>
        <w:pStyle w:val="ListParagraph"/>
        <w:numPr>
          <w:ilvl w:val="0"/>
          <w:numId w:val="2"/>
        </w:numPr>
        <w:spacing w:after="40" w:before="40"/>
        <w:jc w:val="both"/>
      </w:pPr>
      <w:r>
        <w:rPr>
          <w:rFonts w:ascii="Arial" w:cs="Arial" w:eastAsia="Arial" w:hAnsi="Arial"/>
          <w:sz w:val="20"/>
          <w:szCs w:val="20"/>
        </w:rPr>
        <w:t xml:space="preserve">Android: Settings → Privacy → Ads → Opt out of Ads Personalisation. Google account: myaccount.google.com/data-and-privacy → Ad settings.</w:t>
      </w:r>
    </w:p>
    <w:p>
      <w:pPr>
        <w:pStyle w:val="Heading1"/>
      </w:pPr>
      <w:r>
        <w:rPr>
          <w:rFonts w:ascii="Arial" w:cs="Arial" w:eastAsia="Arial" w:hAnsi="Arial"/>
          <w:sz w:val="20"/>
          <w:szCs w:val="20"/>
        </w:rPr>
        <w:t xml:space="preserve">7. Affiliate Attribution Tracking</w:t>
      </w:r>
    </w:p>
    <w:p>
      <w:pPr>
        <w:spacing w:after="80" w:before="60"/>
        <w:jc w:val="both"/>
      </w:pPr>
      <w:r>
        <w:rPr>
          <w:rFonts w:ascii="Arial" w:cs="Arial" w:eastAsia="Arial" w:hAnsi="Arial"/>
          <w:sz w:val="20"/>
          <w:szCs w:val="20"/>
        </w:rPr>
        <w:t xml:space="preserve">When a Business accesses the Platform via an Affiliate participant's referral link, NAAMPATA places a first-party attribution cookie (naampata_aff) with a 30-day attribution window from the click event. This cookie is used EXCLUSIVELY to attribute the subsequent Business signup to the correct Affiliate participant for commission calculation under the Affiliate &amp; Commission Policy (Document 8). Server-side referral code entry by the Business during signup takes ABSOLUTE precedence over cookie attribution — if both a valid attribution cookie and a manually entered referral code are present, the manually entered code governs without exception.</w:t>
      </w:r>
    </w:p>
    <w:p>
      <w:pPr>
        <w:pStyle w:val="Heading1"/>
      </w:pPr>
      <w:r>
        <w:rPr>
          <w:rFonts w:ascii="Arial" w:cs="Arial" w:eastAsia="Arial" w:hAnsi="Arial"/>
          <w:sz w:val="20"/>
          <w:szCs w:val="20"/>
        </w:rPr>
        <w:t xml:space="preserve">8. Web Device Fingerprinting (Fraud Prevention Only)</w:t>
      </w:r>
    </w:p>
    <w:p>
      <w:pPr>
        <w:spacing w:after="80" w:before="60"/>
        <w:jc w:val="both"/>
      </w:pPr>
      <w:r>
        <w:rPr>
          <w:rFonts w:ascii="Arial" w:cs="Arial" w:eastAsia="Arial" w:hAnsi="Arial"/>
          <w:sz w:val="20"/>
          <w:szCs w:val="20"/>
        </w:rPr>
        <w:t xml:space="preserve">For fraud prevention, enforcement of permanent account bans against re-registration, and detection of coordinated abusive behaviour patterns, our web application may collect browser and device signals to generate a probabilistic device identifier. Signals may include: browser type and version; operating system and version; screen resolution and colour depth; time zone and language settings; font availability (Canvas API); and WebGL renderer information. This processing is conducted EXCLUSIVELY for security and fraud prevention — it is NOT used for advertising targeting, commercial user profiling, or third-party data sharing (except with fraud-prevention sub-processors under strict data processing agreements). Lawful basis: Legitimate Interests (GDPR Art. 6(1)(f)) — LIA documented.</w:t>
      </w:r>
    </w:p>
    <w:p>
      <w:pPr>
        <w:pStyle w:val="Heading1"/>
      </w:pPr>
      <w:r>
        <w:rPr>
          <w:rFonts w:ascii="Arial" w:cs="Arial" w:eastAsia="Arial" w:hAnsi="Arial"/>
          <w:sz w:val="20"/>
          <w:szCs w:val="20"/>
        </w:rPr>
        <w:t xml:space="preserve">9. Future Advertising Technologies</w:t>
      </w:r>
    </w:p>
    <w:p>
      <w:pPr>
        <w:pBdr>
          <w:left w:val="single" w:color="D97706" w:sz="18"/>
        </w:pBdr>
        <w:shd w:fill="FFFBEB" w:val="clear"/>
        <w:spacing w:after="120" w:before="120"/>
        <w:ind w:left="120" w:right="120"/>
      </w:pPr>
      <w:r>
        <w:rPr>
          <w:rFonts w:ascii="Arial" w:cs="Arial" w:eastAsia="Arial" w:hAnsi="Arial"/>
          <w:b/>
          <w:bCs/>
          <w:color w:val="D97706"/>
          <w:sz w:val="20"/>
          <w:szCs w:val="20"/>
        </w:rPr>
        <w:t xml:space="preserve">IMPORTANT: </w:t>
      </w:r>
      <w:r>
        <w:rPr>
          <w:rFonts w:ascii="Arial" w:cs="Arial" w:eastAsia="Arial" w:hAnsi="Arial"/>
          <w:sz w:val="19"/>
          <w:szCs w:val="19"/>
        </w:rPr>
        <w:t xml:space="preserve">Marketing and remarketing technologies are pre-authorised under the Legal Suite but are NOT currently deployed or active on the Platform. When advertising features are introduced: (1) this Policy will be updated with specific advertising platforms, cookie names, targeting data categories, and opt-out mechanisms; (2) the consent banner will be refreshed requiring FRESH individual CMP consent for the advertising category before any cookie is placed; (3) Businesses using advertising features will be subject to additional Advertising Terms; (4) minimum 14 calendar days' advance notice will be provided to registered users.</w:t>
      </w:r>
    </w:p>
    <w:p>
      <w:pPr>
        <w:pStyle w:val="Heading1"/>
      </w:pPr>
      <w:r>
        <w:rPr>
          <w:rFonts w:ascii="Arial" w:cs="Arial" w:eastAsia="Arial" w:hAnsi="Arial"/>
          <w:sz w:val="20"/>
          <w:szCs w:val="20"/>
        </w:rPr>
        <w:t xml:space="preserve">10. Consent Records &amp; Audit Trail</w:t>
      </w:r>
    </w:p>
    <w:p>
      <w:pPr>
        <w:spacing w:after="80" w:before="60"/>
        <w:jc w:val="both"/>
      </w:pPr>
      <w:r>
        <w:rPr>
          <w:rFonts w:ascii="Arial" w:cs="Arial" w:eastAsia="Arial" w:hAnsi="Arial"/>
          <w:sz w:val="20"/>
          <w:szCs w:val="20"/>
        </w:rPr>
        <w:t xml:space="preserve">Each consent event through our CMP is recorded with: UTC timestamp of the consent action; consent choices made (accepted/rejected per category); version identifier and hash of this Cookie Policy at the time of consent; truncated IP address (last octet removed where required by applicable law); and browser type and session identifier. Consent records are retained for a minimum of 7 years as evidence of valid consent under GDPR Article 7. Available on request from legal@naampata.com (Subject: "Cookie Policy Query").</w:t>
      </w:r>
    </w:p>
    <w:p>
      <w:pPr>
        <w:pStyle w:val="Heading1"/>
      </w:pPr>
      <w:r>
        <w:rPr>
          <w:rFonts w:ascii="Arial" w:cs="Arial" w:eastAsia="Arial" w:hAnsi="Arial"/>
          <w:sz w:val="20"/>
          <w:szCs w:val="20"/>
        </w:rPr>
        <w:t xml:space="preserve">11. Changes to This Cookie Policy</w:t>
      </w:r>
    </w:p>
    <w:p>
      <w:pPr>
        <w:spacing w:after="80" w:before="60"/>
        <w:jc w:val="both"/>
      </w:pPr>
      <w:r>
        <w:rPr>
          <w:rFonts w:ascii="Arial" w:cs="Arial" w:eastAsia="Arial" w:hAnsi="Arial"/>
          <w:sz w:val="20"/>
          <w:szCs w:val="20"/>
        </w:rPr>
        <w:t xml:space="preserve">We may update this Cookie Policy at any time. Material changes (introduction of a new category, new third-party provider, or change in purpose) will be notified by: updating the Effective Date; displaying a refreshed consent banner requiring you to review and confirm your preferences; and, for registered users, email notification where the change materially affects your rights. Previous versions of this Policy are archived and available on request from legal@naampata.com.</w:t>
      </w:r>
    </w:p>
    <w:p>
      <w:pPr>
        <w:pStyle w:val="Heading2"/>
      </w:pPr>
      <w:r>
        <w:rPr>
          <w:rFonts w:ascii="Arial" w:cs="Arial" w:eastAsia="Arial" w:hAnsi="Arial"/>
          <w:sz w:val="20"/>
          <w:szCs w:val="20"/>
        </w:rPr>
        <w:t xml:space="preserve">Limitation of Liability</w:t>
      </w:r>
    </w:p>
    <w:p>
      <w:pPr>
        <w:spacing w:after="80" w:before="60"/>
        <w:jc w:val="both"/>
      </w:pPr>
      <w:r>
        <w:rPr>
          <w:rFonts w:ascii="Arial" w:cs="Arial" w:eastAsia="Arial" w:hAnsi="Arial"/>
          <w:sz w:val="20"/>
          <w:szCs w:val="20"/>
        </w:rPr>
        <w:t xml:space="preserve">TO THE MAXIMUM EXTENT PERMITTED BY APPLICABLE LAW, THE TOTAL CUMULATIVE AGGREGATE LIABILITY OF NAAMPATA (SMC-PRIVATE) LIMITED, ITS AFFILIATES, SUBSIDIARIES, DIRECTORS, OFFICERS, EMPLOYEES, AGENTS, CONTRACTORS, LICENSORS, SUCCESSORS, AND ASSIGNS (COLLECTIVELY "NAAMPATA PARTIES") TO YOU, ARISING OUT OF OR IN CONNECTION WITH THE PLATFORM, THESE TERMS, OR ANY SERVICES PROVIDED UNDER THEM — WHETHER IN CONTRACT, TORT (INCLUDING NEGLIGENCE), MISREPRESENTATION, STATUTE, OR OTHERWISE — SHALL NOT EXCEED THE GREATER OF: (A) THE TOTAL SUBSCRIPTION AND PLATFORM FEES ACTUALLY PAID BY YOU DIRECTLY TO NAAMPATA (NOT VIA APPLE OR GOOGLE) IN THE THREE (3) CALENDAR MONTHS IMMEDIATELY PRECEDING THE EVENT GIVING RISE TO THE CLAIM; OR (B) PKR 5,000 (FIVE THOUSAND PAKISTANI RUPEES).</w:t>
      </w:r>
    </w:p>
    <w:p>
      <w:pPr>
        <w:spacing w:after="80" w:before="60"/>
        <w:jc w:val="both"/>
      </w:pPr>
      <w:r>
        <w:rPr>
          <w:rFonts w:ascii="Arial" w:cs="Arial" w:eastAsia="Arial" w:hAnsi="Arial"/>
          <w:sz w:val="20"/>
          <w:szCs w:val="20"/>
        </w:rPr>
        <w:t xml:space="preserve">For amounts paid through Apple App Store or Google Play Store: NAAMPATA has no access to or control over such funds. The applicable app store's refund policy governs exclusively. This cap applies on a per-claimant, lifetime aggregate basis covering all claims by you, whether from a single event or series of related events.</w:t>
      </w:r>
    </w:p>
    <w:p>
      <w:pPr>
        <w:spacing w:after="80" w:before="60"/>
        <w:jc w:val="both"/>
      </w:pPr>
      <w:r>
        <w:rPr>
          <w:rFonts w:ascii="Arial" w:cs="Arial" w:eastAsia="Arial" w:hAnsi="Arial"/>
          <w:b/>
          <w:bCs/>
          <w:sz w:val="20"/>
          <w:szCs w:val="20"/>
        </w:rPr>
        <w:t xml:space="preserve">Exclusion of Indirect Losses.</w:t>
      </w:r>
    </w:p>
    <w:p>
      <w:pPr>
        <w:spacing w:after="80" w:before="60"/>
        <w:jc w:val="both"/>
      </w:pPr>
      <w:r>
        <w:rPr>
          <w:rFonts w:ascii="Arial" w:cs="Arial" w:eastAsia="Arial" w:hAnsi="Arial"/>
          <w:sz w:val="20"/>
          <w:szCs w:val="20"/>
        </w:rPr>
        <w:t xml:space="preserve">TO THE MAXIMUM EXTENT PERMITTED BY APPLICABLE LAW, THE NAAMPATA PARTIES SHALL NOT BE LIABLE FOR ANY INDIRECT, INCIDENTAL, SPECIAL, CONSEQUENTIAL, EXEMPLARY, PUNITIVE, OR ENHANCED DAMAGES, OR ANY LOSS OF PROFITS, REVENUE, BUSINESS, GOODWILL, DATA, OPPORTUNITY, ANTICIPATED SAVINGS, OR MANAGEMENT TIME, EVEN IF ADVISED OF THE POSSIBILITY OF SUCH DAMAGES, WHETHER IN CONTRACT, TORT, OR UNDER ANY OTHER THEORY.</w:t>
      </w:r>
    </w:p>
    <w:p>
      <w:pPr>
        <w:spacing w:after="80" w:before="60"/>
        <w:jc w:val="both"/>
      </w:pPr>
      <w:r>
        <w:rPr>
          <w:rFonts w:ascii="Arial" w:cs="Arial" w:eastAsia="Arial" w:hAnsi="Arial"/>
          <w:b/>
          <w:bCs/>
          <w:sz w:val="20"/>
          <w:szCs w:val="20"/>
        </w:rPr>
        <w:t xml:space="preserve">Mandatory Law Carve-Outs.</w:t>
      </w:r>
    </w:p>
    <w:p>
      <w:pPr>
        <w:spacing w:after="80" w:before="60"/>
        <w:jc w:val="both"/>
      </w:pPr>
      <w:r>
        <w:rPr>
          <w:rFonts w:ascii="Arial" w:cs="Arial" w:eastAsia="Arial" w:hAnsi="Arial"/>
          <w:sz w:val="20"/>
          <w:szCs w:val="20"/>
        </w:rPr>
        <w:t xml:space="preserve">Nothing in this clause limits or excludes liability for: (i) death or personal injury caused by NAAMPATA's proven gross negligence or wilful misconduct; (ii) fraud or fraudulent misrepresentation by NAAMPATA; or (iii) any other liability that cannot be lawfully limited or excluded under applicable mandatory law, including mandatory consumer protection rights in the EU/EEA, UK, and under Pakistan's Consumer Rights Act 2020.</w:t>
      </w:r>
    </w:p>
    <w:p>
      <w:pPr>
        <w:pStyle w:val="Heading2"/>
      </w:pPr>
      <w:r>
        <w:rPr>
          <w:rFonts w:ascii="Arial" w:cs="Arial" w:eastAsia="Arial" w:hAnsi="Arial"/>
          <w:sz w:val="20"/>
          <w:szCs w:val="20"/>
        </w:rPr>
        <w:t xml:space="preserve">Disclaimer of Warranties</w:t>
      </w:r>
    </w:p>
    <w:p>
      <w:pPr>
        <w:spacing w:after="80" w:before="60"/>
        <w:jc w:val="both"/>
      </w:pPr>
      <w:r>
        <w:rPr>
          <w:rFonts w:ascii="Arial" w:cs="Arial" w:eastAsia="Arial" w:hAnsi="Arial"/>
          <w:sz w:val="20"/>
          <w:szCs w:val="20"/>
        </w:rPr>
        <w:t xml:space="preserve">THE PLATFORM AND ALL CONTENT, SERVICES, FEATURES, RANKINGS, SEARCH RESULTS, AI OUTPUTS, AND INFORMATION PROVIDED THROUGH THE PLATFORM ARE MADE AVAILABLE "AS IS" AND "AS AVAILABLE" WITHOUT ANY WARRANTY OF ANY KIND, EXPRESS OR IMPLIED. THE NAAMPATA PARTIES EXPRESSLY DISCLAIM ALL WARRANTIES, INCLUDING IMPLIED WARRANTIES OF MERCHANTABILITY, FITNESS FOR A PARTICULAR PURPOSE, SATISFACTORY QUALITY, TITLE, AND NON-INFRINGEMENT. NAAMPATA DOES NOT WARRANT THAT: (A) THE PLATFORM WILL BE UNINTERRUPTED, ERROR-FREE, OR SECURE; (B) DEFECTS WILL BE CORRECTED; (C) THE PLATFORM IS FREE FROM HARMFUL COMPONENTS; (D) SEARCH RESULTS, RANKINGS, OR AI OUTPUTS WILL BE ACCURATE, COMPLETE, OR COMMERCIALLY USEFUL; OR (E) ANY SPECIFIC COMMERCIAL RESULT WILL BE ACHIEVED FROM ANY PLAN, FEATURE, OR LISTING. NOTHING IN THIS CLAUSE EXCLUDES RIGHTS THAT CANNOT LAWFULLY BE EXCLUDED UNDER APPLICABLE MANDATORY CONSUMER PROTECTION LAW.</w:t>
      </w:r>
    </w:p>
    <w:p>
      <w:pPr>
        <w:pStyle w:val="Heading2"/>
      </w:pPr>
      <w:r>
        <w:rPr>
          <w:rFonts w:ascii="Arial" w:cs="Arial" w:eastAsia="Arial" w:hAnsi="Arial"/>
          <w:sz w:val="20"/>
          <w:szCs w:val="20"/>
        </w:rPr>
        <w:t xml:space="preserve">Force Majeure</w:t>
      </w:r>
    </w:p>
    <w:p>
      <w:pPr>
        <w:spacing w:after="80" w:before="60"/>
        <w:jc w:val="both"/>
      </w:pPr>
      <w:r>
        <w:rPr>
          <w:rFonts w:ascii="Arial" w:cs="Arial" w:eastAsia="Arial" w:hAnsi="Arial"/>
          <w:sz w:val="20"/>
          <w:szCs w:val="20"/>
        </w:rPr>
        <w:t xml:space="preserve">NAAMPATA shall not be liable for any failure or delay in performing its obligations under these Terms to the extent caused by circumstances beyond its reasonable control, including: acts of God; natural disasters; pandemic or epidemic; war, armed conflict, or civil unrest; acts or omissions of government or regulatory authorities; cyberattacks or malicious third-party interference; failure of critical internet or telecommunications infrastructure; power outages; or failure of third-party service providers including AWS, Google, Apple, or Firebase. Upon a Force Majeure Event, NAAMPATA will: (i) notify affected users as soon as reasonably practicable; (ii) take commercially reasonable steps to minimise impact and restore service; and (iii) where the event continues for more than sixty (60) calendar days, either party may terminate affected services by written notice, subject to applicable refund provisions under the Subscription &amp; Refund Policy (Document 4). Force Majeure does not excuse payment obligations for services already rendered before the event.</w:t>
      </w:r>
    </w:p>
    <w:p>
      <w:pPr>
        <w:pStyle w:val="Heading2"/>
      </w:pPr>
      <w:r>
        <w:rPr>
          <w:rFonts w:ascii="Arial" w:cs="Arial" w:eastAsia="Arial" w:hAnsi="Arial"/>
          <w:sz w:val="20"/>
          <w:szCs w:val="20"/>
        </w:rPr>
        <w:t xml:space="preserve">Governing Law &amp; Dispute Resolution</w:t>
      </w:r>
    </w:p>
    <w:p>
      <w:pPr>
        <w:spacing w:after="80" w:before="60"/>
        <w:jc w:val="both"/>
      </w:pPr>
      <w:r>
        <w:rPr>
          <w:rFonts w:ascii="Arial" w:cs="Arial" w:eastAsia="Arial" w:hAnsi="Arial"/>
          <w:sz w:val="20"/>
          <w:szCs w:val="20"/>
        </w:rPr>
        <w:t xml:space="preserve">These Terms and all disputes, claims, or proceedings arising out of or in connection with them — including non-contractual disputes — are governed by and construed in accordance with the laws of the Islamic Republic of Pakistan, including the Companies Act 2017, Contract Act 1872, Electronic Transactions Ordinance 2002 (ETO 2002), Prevention of Electronic Crimes Act 2016 (PECA 2016), Consumer Rights Act 2020, and Competition Act 2010, without regard to conflict-of-law principles.</w:t>
      </w:r>
    </w:p>
    <w:p>
      <w:pPr>
        <w:spacing w:after="80" w:before="60"/>
        <w:jc w:val="both"/>
      </w:pPr>
      <w:r>
        <w:rPr>
          <w:rFonts w:ascii="Arial" w:cs="Arial" w:eastAsia="Arial" w:hAnsi="Arial"/>
          <w:sz w:val="20"/>
          <w:szCs w:val="20"/>
        </w:rPr>
        <w:t xml:space="preserve">Mandatory pre-litigation resolution: Before commencing any formal proceedings, you must submit a written Dispute Notice to legal@naampata.com (Subject: "Dispute Notice"). The parties shall attempt good-faith resolution for thirty (30) calendar days. If unresolved, disputes shall be submitted to the exclusive jurisdiction of the courts of Lahore, Punjab, Pakistan, except that EU/EEA and UK consumers retain the non-waivable right to bring proceedings before courts in their country of residence under applicable mandatory consumer protection law.</w:t>
      </w:r>
    </w:p>
    <w:p>
      <w:pPr>
        <w:spacing w:after="80" w:before="60"/>
        <w:jc w:val="both"/>
      </w:pPr>
      <w:r>
        <w:rPr>
          <w:rFonts w:ascii="Arial" w:cs="Arial" w:eastAsia="Arial" w:hAnsi="Arial"/>
          <w:sz w:val="20"/>
          <w:szCs w:val="20"/>
        </w:rPr>
        <w:t xml:space="preserve">EU/EEA consumers: EU Online Dispute Resolution — https://ec.europa.eu/consumers/odr. UK consumers: applicable ADR scheme. Pakistani consumers: Consumer Rights Commission of Pakistan (CRCP) or relevant provincial consumer authority. NAAMPATA is not obligated to participate in any alternative dispute resolution scheme except where required by applicable mandatory law.</w:t>
      </w:r>
    </w:p>
    <w:p>
      <w:pPr>
        <w:pStyle w:val="Heading2"/>
      </w:pPr>
      <w:r>
        <w:rPr>
          <w:rFonts w:ascii="Arial" w:cs="Arial" w:eastAsia="Arial" w:hAnsi="Arial"/>
          <w:sz w:val="20"/>
          <w:szCs w:val="20"/>
        </w:rPr>
        <w:t xml:space="preserve">General Provisions</w:t>
      </w:r>
    </w:p>
    <w:p>
      <w:pPr>
        <w:spacing w:after="80" w:before="60"/>
        <w:jc w:val="both"/>
      </w:pPr>
      <w:r>
        <w:rPr>
          <w:rFonts w:ascii="Arial" w:cs="Arial" w:eastAsia="Arial" w:hAnsi="Arial"/>
          <w:b/>
          <w:bCs/>
          <w:sz w:val="20"/>
          <w:szCs w:val="20"/>
        </w:rPr>
        <w:t xml:space="preserve">Entire Agreement.</w:t>
      </w:r>
    </w:p>
    <w:p>
      <w:pPr>
        <w:spacing w:after="80" w:before="60"/>
        <w:jc w:val="both"/>
      </w:pPr>
      <w:r>
        <w:rPr>
          <w:rFonts w:ascii="Arial" w:cs="Arial" w:eastAsia="Arial" w:hAnsi="Arial"/>
          <w:sz w:val="20"/>
          <w:szCs w:val="20"/>
        </w:rPr>
        <w:t xml:space="preserve">The NAAMPATA Legal Suite (all 9 documents) constitutes the entire agreement between you and NAAMPATA concerning the Platform and supersedes all prior agreements, understandings, representations, and communications, written or oral, including all prior versions of any Legal Suite document.</w:t>
      </w:r>
    </w:p>
    <w:p>
      <w:pPr>
        <w:spacing w:after="80" w:before="60"/>
        <w:jc w:val="both"/>
      </w:pPr>
      <w:r>
        <w:rPr>
          <w:rFonts w:ascii="Arial" w:cs="Arial" w:eastAsia="Arial" w:hAnsi="Arial"/>
          <w:b/>
          <w:bCs/>
          <w:sz w:val="20"/>
          <w:szCs w:val="20"/>
        </w:rPr>
        <w:t xml:space="preserve">Severability.</w:t>
      </w:r>
    </w:p>
    <w:p>
      <w:pPr>
        <w:spacing w:after="80" w:before="60"/>
        <w:jc w:val="both"/>
      </w:pPr>
      <w:r>
        <w:rPr>
          <w:rFonts w:ascii="Arial" w:cs="Arial" w:eastAsia="Arial" w:hAnsi="Arial"/>
          <w:sz w:val="20"/>
          <w:szCs w:val="20"/>
        </w:rPr>
        <w:t xml:space="preserve">If any provision of these Terms is found invalid, illegal, or unenforceable by a court of competent jurisdiction, it shall be modified to the minimum extent necessary to make it valid, legal, and enforceable, or severed if modification is not possible, without affecting the validity and enforceability of the remaining provisions.</w:t>
      </w:r>
    </w:p>
    <w:p>
      <w:pPr>
        <w:spacing w:after="80" w:before="60"/>
        <w:jc w:val="both"/>
      </w:pPr>
      <w:r>
        <w:rPr>
          <w:rFonts w:ascii="Arial" w:cs="Arial" w:eastAsia="Arial" w:hAnsi="Arial"/>
          <w:b/>
          <w:bCs/>
          <w:sz w:val="20"/>
          <w:szCs w:val="20"/>
        </w:rPr>
        <w:t xml:space="preserve">No Waiver.</w:t>
      </w:r>
    </w:p>
    <w:p>
      <w:pPr>
        <w:spacing w:after="80" w:before="60"/>
        <w:jc w:val="both"/>
      </w:pPr>
      <w:r>
        <w:rPr>
          <w:rFonts w:ascii="Arial" w:cs="Arial" w:eastAsia="Arial" w:hAnsi="Arial"/>
          <w:sz w:val="20"/>
          <w:szCs w:val="20"/>
        </w:rPr>
        <w:t xml:space="preserve">Failure to enforce any provision of these Terms does not constitute a waiver of that provision or any other provision. Any waiver must be in writing and signed by an authorised NAAMPATA representative to be effective.</w:t>
      </w:r>
    </w:p>
    <w:p>
      <w:pPr>
        <w:spacing w:after="80" w:before="60"/>
        <w:jc w:val="both"/>
      </w:pPr>
      <w:r>
        <w:rPr>
          <w:rFonts w:ascii="Arial" w:cs="Arial" w:eastAsia="Arial" w:hAnsi="Arial"/>
          <w:b/>
          <w:bCs/>
          <w:sz w:val="20"/>
          <w:szCs w:val="20"/>
        </w:rPr>
        <w:t xml:space="preserve">Assignment.</w:t>
      </w:r>
    </w:p>
    <w:p>
      <w:pPr>
        <w:spacing w:after="80" w:before="60"/>
        <w:jc w:val="both"/>
      </w:pPr>
      <w:r>
        <w:rPr>
          <w:rFonts w:ascii="Arial" w:cs="Arial" w:eastAsia="Arial" w:hAnsi="Arial"/>
          <w:sz w:val="20"/>
          <w:szCs w:val="20"/>
        </w:rPr>
        <w:t xml:space="preserve">You may not assign, transfer, novate, or sub-licence any of your rights or obligations under these Terms without NAAMPATA's prior written consent. Any purported assignment without consent is void. NAAMPATA may freely assign all of its rights and obligations, including in connection with corporate restructuring, merger, acquisition, or asset sale, with reasonable prior notice of any material change to the contracting entity.</w:t>
      </w:r>
    </w:p>
    <w:p>
      <w:pPr>
        <w:spacing w:after="80" w:before="60"/>
        <w:jc w:val="both"/>
      </w:pPr>
      <w:r>
        <w:rPr>
          <w:rFonts w:ascii="Arial" w:cs="Arial" w:eastAsia="Arial" w:hAnsi="Arial"/>
          <w:b/>
          <w:bCs/>
          <w:sz w:val="20"/>
          <w:szCs w:val="20"/>
        </w:rPr>
        <w:t xml:space="preserve">No Third-Party Rights.</w:t>
      </w:r>
    </w:p>
    <w:p>
      <w:pPr>
        <w:spacing w:after="80" w:before="60"/>
        <w:jc w:val="both"/>
      </w:pPr>
      <w:r>
        <w:rPr>
          <w:rFonts w:ascii="Arial" w:cs="Arial" w:eastAsia="Arial" w:hAnsi="Arial"/>
          <w:sz w:val="20"/>
          <w:szCs w:val="20"/>
        </w:rPr>
        <w:t xml:space="preserve">These Terms are for the benefit of the contracting parties only. No third party has any right to enforce any provision under applicable third-party rights legislation.</w:t>
      </w:r>
    </w:p>
    <w:p>
      <w:pPr>
        <w:spacing w:after="80" w:before="60"/>
        <w:jc w:val="both"/>
      </w:pPr>
      <w:r>
        <w:rPr>
          <w:rFonts w:ascii="Arial" w:cs="Arial" w:eastAsia="Arial" w:hAnsi="Arial"/>
          <w:b/>
          <w:bCs/>
          <w:sz w:val="20"/>
          <w:szCs w:val="20"/>
        </w:rPr>
        <w:t xml:space="preserve">Survival.</w:t>
      </w:r>
    </w:p>
    <w:p>
      <w:pPr>
        <w:spacing w:after="80" w:before="60"/>
        <w:jc w:val="both"/>
      </w:pPr>
      <w:r>
        <w:rPr>
          <w:rFonts w:ascii="Arial" w:cs="Arial" w:eastAsia="Arial" w:hAnsi="Arial"/>
          <w:sz w:val="20"/>
          <w:szCs w:val="20"/>
        </w:rPr>
        <w:t xml:space="preserve">All provisions that by their nature should survive termination of these Terms shall survive, including: intellectual property ownership, content licences, limitation of liability, exclusion of indirect damages, warranty disclaimer, class action waiver, indemnification, sanctions compliance, governing law, dispute resolution, and these general provisions.</w:t>
      </w:r>
    </w:p>
    <w:p>
      <w:pPr>
        <w:spacing w:after="80" w:before="60"/>
        <w:jc w:val="both"/>
      </w:pPr>
      <w:r>
        <w:rPr>
          <w:rFonts w:ascii="Arial" w:cs="Arial" w:eastAsia="Arial" w:hAnsi="Arial"/>
          <w:b/>
          <w:bCs/>
          <w:sz w:val="20"/>
          <w:szCs w:val="20"/>
        </w:rPr>
        <w:t xml:space="preserve">Relationship of the Parties.</w:t>
      </w:r>
    </w:p>
    <w:p>
      <w:pPr>
        <w:spacing w:after="80" w:before="60"/>
        <w:jc w:val="both"/>
      </w:pPr>
      <w:r>
        <w:rPr>
          <w:rFonts w:ascii="Arial" w:cs="Arial" w:eastAsia="Arial" w:hAnsi="Arial"/>
          <w:sz w:val="20"/>
          <w:szCs w:val="20"/>
        </w:rPr>
        <w:t xml:space="preserve">Nothing in these Terms creates any employment, agency, partnership, joint venture, franchise, or fiduciary relationship. The parties are independent contracting parties.</w:t>
      </w:r>
    </w:p>
    <w:p>
      <w:pPr>
        <w:spacing w:after="80" w:before="60"/>
        <w:jc w:val="both"/>
      </w:pPr>
      <w:r>
        <w:rPr>
          <w:rFonts w:ascii="Arial" w:cs="Arial" w:eastAsia="Arial" w:hAnsi="Arial"/>
          <w:b/>
          <w:bCs/>
          <w:sz w:val="20"/>
          <w:szCs w:val="20"/>
        </w:rPr>
        <w:t xml:space="preserve">Electronic Notices.</w:t>
      </w:r>
    </w:p>
    <w:p>
      <w:pPr>
        <w:spacing w:after="80" w:before="60"/>
        <w:jc w:val="both"/>
      </w:pPr>
      <w:r>
        <w:rPr>
          <w:rFonts w:ascii="Arial" w:cs="Arial" w:eastAsia="Arial" w:hAnsi="Arial"/>
          <w:sz w:val="20"/>
          <w:szCs w:val="20"/>
        </w:rPr>
        <w:t xml:space="preserve">All notices under these Terms shall be delivered electronically. Notices to you are sent to your registered email address or delivered as in-Platform notifications. Electronic delivery constitutes legally effective written notice for all purposes under these Terms, including under ETO 2002. Notices to NAAMPATA shall be sent to legal@naampata.com with an appropriate subject line as specified in the relevant provision.</w:t>
      </w:r>
    </w:p>
    <w:p>
      <w:pPr>
        <w:spacing w:after="80" w:before="60"/>
        <w:jc w:val="both"/>
      </w:pPr>
      <w:r>
        <w:rPr>
          <w:rFonts w:ascii="Arial" w:cs="Arial" w:eastAsia="Arial" w:hAnsi="Arial"/>
          <w:b/>
          <w:bCs/>
          <w:sz w:val="20"/>
          <w:szCs w:val="20"/>
        </w:rPr>
        <w:t xml:space="preserve">Language.</w:t>
      </w:r>
    </w:p>
    <w:p>
      <w:pPr>
        <w:spacing w:after="80" w:before="60"/>
        <w:jc w:val="both"/>
      </w:pPr>
      <w:r>
        <w:rPr>
          <w:rFonts w:ascii="Arial" w:cs="Arial" w:eastAsia="Arial" w:hAnsi="Arial"/>
          <w:sz w:val="20"/>
          <w:szCs w:val="20"/>
        </w:rPr>
        <w:t xml:space="preserve">These Terms are written in English. Where translations are provided for convenience, the English version prevails in all cases of conflict or ambiguity.</w:t>
      </w:r>
    </w:p>
    <w:p>
      <w:pPr>
        <w:spacing w:after="80" w:before="60"/>
        <w:jc w:val="both"/>
      </w:pPr>
      <w:r>
        <w:rPr>
          <w:rFonts w:ascii="Arial" w:cs="Arial" w:eastAsia="Arial" w:hAnsi="Arial"/>
          <w:b/>
          <w:bCs/>
          <w:sz w:val="20"/>
          <w:szCs w:val="20"/>
        </w:rPr>
        <w:t xml:space="preserve">Future Documents.</w:t>
      </w:r>
    </w:p>
    <w:p>
      <w:pPr>
        <w:spacing w:after="80" w:before="60"/>
        <w:jc w:val="both"/>
      </w:pPr>
      <w:r>
        <w:rPr>
          <w:rFonts w:ascii="Arial" w:cs="Arial" w:eastAsia="Arial" w:hAnsi="Arial"/>
          <w:sz w:val="20"/>
          <w:szCs w:val="20"/>
        </w:rPr>
        <w:t xml:space="preserve">NAAMPATA may publish additional legal documents (Document 10 onwards) at any time, including without limitation: Payments &amp; Escrow Terms; Enterprise Licence Agreement; Advertising &amp; Sponsored Content Policy; and AI Services Terms. Upon publication at www.naampata.com/legal, each additional document is incorporated into and subject to the Legal Suite conflict hierarchy. Material changes take effect no earlier than 14 calendar days after notification.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B3A6B" w:sz="8" w:space="4"/>
      </w:pBdr>
      <w:spacing w:after="120" w:before="400"/>
      <w:outlineLvl w:val="0"/>
    </w:pPr>
    <w:rPr>
      <w:rFonts w:ascii="Arial" w:cs="Arial" w:eastAsia="Arial" w:hAnsi="Arial"/>
      <w:b/>
      <w:bCs/>
      <w:color w:val="1B3A6B"/>
      <w:sz w:val="30"/>
      <w:szCs w:val="30"/>
    </w:rPr>
  </w:style>
  <w:style w:type="paragraph" w:styleId="Heading2">
    <w:name w:val="Heading 2"/>
    <w:basedOn w:val="Normal"/>
    <w:next w:val="Normal"/>
    <w:pPr>
      <w:spacing w:after="80" w:before="280"/>
      <w:outlineLvl w:val="1"/>
    </w:pPr>
    <w:rPr>
      <w:rFonts w:ascii="Arial" w:cs="Arial" w:eastAsia="Arial" w:hAnsi="Arial"/>
      <w:b/>
      <w:bCs/>
      <w:color w:val="1B3A6B"/>
      <w:sz w:val="24"/>
      <w:szCs w:val="24"/>
    </w:rPr>
  </w:style>
  <w:style w:type="paragraph" w:styleId="Heading3">
    <w:name w:val="Heading 3"/>
    <w:basedOn w:val="Normal"/>
    <w:next w:val="Normal"/>
    <w:pPr>
      <w:spacing w:after="60" w:before="200"/>
      <w:outlineLvl w:val="2"/>
    </w:pPr>
    <w:rPr>
      <w:rFonts w:ascii="Arial" w:cs="Arial" w:eastAsia="Arial" w:hAnsi="Arial"/>
      <w:b/>
      <w:bCs/>
      <w:color w:val="1B3A6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2026-05-27T18:39:03.755Z</dcterms:created>
  <dcterms:modified xsi:type="dcterms:W3CDTF">2026-05-27T18:39:03.755Z</dcterms:modified>
</cp:coreProperties>
</file>

<file path=docProps/custom.xml><?xml version="1.0" encoding="utf-8"?>
<Properties xmlns="http://schemas.openxmlformats.org/officeDocument/2006/custom-properties" xmlns:vt="http://schemas.openxmlformats.org/officeDocument/2006/docPropsVTypes"/>
</file>