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Data Processing Agreement</w:t>
      </w:r>
    </w:p>
    <w:p>
      <w:pPr>
        <w:spacing w:after="40" w:before="70"/>
        <w:jc w:val="center"/>
      </w:pPr>
      <w:r>
        <w:rPr>
          <w:rFonts w:ascii="Arial" w:cs="Arial" w:eastAsia="Arial" w:hAnsi="Arial"/>
          <w:color w:val="475569"/>
          <w:sz w:val="19"/>
          <w:szCs w:val="19"/>
        </w:rPr>
        <w:t xml:space="preserve">Document 7 of 9  ·  NAAMPATA (SMC-PRIVATE) LIMITED  ·  B2B Enterprise Instrument — Enterprise Clients &amp; API Partners Only</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B2B ENTERPRISE INSTRUMENT — NOT PART OF THE CONSUMER LEGAL SUITE (Documents 1–6). This DPA applies EXCLUSIVELY to Enterprise Clients and API Partners under a separate signed Main Agreement that expressly incorporates this DPA by reference. Standard Platform Users and Business Owners are DATA SUBJECTS in relation to NAAMPATA's own data processing — their data relationship is governed exclusively by the Privacy Policy (Document 1). They are NOT "Processors" or "Controllers" under this DPA.</w:t>
      </w:r>
    </w:p>
    <w:p>
      <w:pPr>
        <w:spacing w:after="80" w:before="60"/>
        <w:jc w:val="both"/>
      </w:pPr>
      <w:r>
        <w:rPr>
          <w:rFonts w:ascii="Arial" w:cs="Arial" w:eastAsia="Arial" w:hAnsi="Arial"/>
          <w:sz w:val="20"/>
          <w:szCs w:val="20"/>
        </w:rPr>
        <w:t xml:space="preserve">This Data Processing Agreement ("DPA") governs the processing of Personal Data by NAAMPATA (SMC-PRIVATE) LIMITED ("NAAMPATA") as data Processor on behalf of the Enterprise Client or API Partner ("Controller"), pursuant to the Main Agreement. This DPA is incorporated into and forms part of the Main Agreement. In any conflict between this DPA and the Main Agreement specifically on data protection matters, this DPA prevails.</w:t>
      </w:r>
    </w:p>
    <w:p>
      <w:pPr>
        <w:pStyle w:val="Heading1"/>
      </w:pPr>
      <w:r>
        <w:rPr>
          <w:rFonts w:ascii="Arial" w:cs="Arial" w:eastAsia="Arial" w:hAnsi="Arial"/>
          <w:sz w:val="20"/>
          <w:szCs w:val="20"/>
        </w:rPr>
        <w:t xml:space="preserve">1. DPA-Specific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7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"Enterprise Client"</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corporate entity or institutional organisation accessing the Platform under a signed enterprise licence or commercial agreement that expressly incorporates this DPA by reference.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"API Partner"</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developer or entity authorised to access NAAMPATA's API services pursuant to a signed API agreement that expressly incorporates this DPA by reference.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"Main Agreement"</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separate signed commercial agreement (enterprise licence, API agreement, or B2B contract) between NAAMPATA and the Controller that incorporates this DPA.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"Controller"</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natural or legal person that determines the purposes and means of processing Personal Data (GDPR Article 4(7)).</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"Processor"</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 the entity that processes Personal Data on behalf of and under the instructions of the Controller (GDPR Article 4(8)).</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"Sub-Processor"</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third-party processor engaged by NAAMPATA (as Processor) to carry out specific Personal Data processing activities on behalf of the Controller.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"Security Incident"</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confirmed or reasonably suspected accidental or unlawful destruction, loss, alteration, unauthorised disclosure of, or unauthorised access to, Personal Data processed under this DPA.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"SCCs"</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Standard Contractual Clauses for the transfer of personal data to third countries — European Commission Decision 2021/914, Module 2 (Controller-to-Processor), as updated from time to time.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"IDTA"</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UK International Data Transfer Agreement approved by the Information Commissioner's Office for UK GDPR international transfers.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"TIA"</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Transfer Impact Assessment conducted to evaluate the data protection risks of transferring Personal Data to third countries.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"DPIA"</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Data Protection Impact Assessment conducted as required by GDPR Article 35 before high-risk processing activities commence.</w:t>
            </w:r>
          </w:p>
        </w:tc>
      </w:tr>
    </w:tbl>
    <w:p>
      <w:pPr>
        <w:pStyle w:val="Heading1"/>
      </w:pPr>
      <w:r>
        <w:rPr>
          <w:rFonts w:ascii="Arial" w:cs="Arial" w:eastAsia="Arial" w:hAnsi="Arial"/>
          <w:sz w:val="20"/>
          <w:szCs w:val="20"/>
        </w:rPr>
        <w:t xml:space="preserve">2. Controller / Processor Role Clarification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Processing Scenario</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Controller Role</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Processor Role</w:t>
            </w:r>
          </w:p>
        </w:tc>
        <w:tc>
          <w:tcPr>
            <w:tcW w:type="dxa" w:w="3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Framework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Enterprise Client supplies its own customer, employee, or user Personal Data for processing via the Platform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Enterprise Client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This DPA applies in full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processes Platform User data in delivering services to Enterprise Client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Each party may be an independent Controller for its own data; joint controller analysis required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Depends on specific data flows; see Section 12</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Document 1 (Privacy Policy) governs NAAMPATA's own controller processing; joint controller analysis per Section 12</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API Partner processes NAAMPATA API output data</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API Partner (for its own processing of outputs)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(for generation of API outputs in scope)</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This DPA applies to NAAMPATA's processor role in generating outputs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Both parties independently determine purposes for the same Personal Data set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Joint Controllers — joint analysis required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Joint Controllers — joint analysis required</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Joint Controller Addendum required per Section 12</w:t>
            </w:r>
          </w:p>
        </w:tc>
      </w:tr>
    </w:tbl>
    <w:p>
      <w:pPr>
        <w:pStyle w:val="Heading1"/>
      </w:pPr>
      <w:r>
        <w:rPr>
          <w:rFonts w:ascii="Arial" w:cs="Arial" w:eastAsia="Arial" w:hAnsi="Arial"/>
          <w:sz w:val="20"/>
          <w:szCs w:val="20"/>
        </w:rPr>
        <w:t xml:space="preserve">3. Scope of Processing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Parameter</w:t>
            </w:r>
          </w:p>
        </w:tc>
        <w:tc>
          <w:tcPr>
            <w:tcW w:type="dxa" w:w="7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Subject-Matter</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Processing of Personal Data in connection with the services described in the Main Agreement.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Duration</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Duration of the Main Agreement plus any legally required post-term retention period, unless otherwise agreed in writing in the Main Agreement.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Nature of Processing</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Collection, storage, organisation, retrieval, use, disclosure, transmission, alignment, combination, restriction, and deletion of Personal Data as required to deliver the contracted services.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Processing Purpose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As specified in the Main Agreement only. NAAMPATA will not process Personal Data for any other purpose except where required by applicable law (with prior notification where possible).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Categories of Personal Data</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As specified in the Main Agreement. Special category data (GDPR Article 9) requires separate, explicit written agreement and appropriate additional safeguards before processing commences.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Categories of Data Subjects</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As specified in the Main Agreement — typically: users, customers, employees, or clients of the Controller.</w:t>
            </w:r>
          </w:p>
        </w:tc>
      </w:tr>
    </w:tbl>
    <w:p>
      <w:pPr>
        <w:pStyle w:val="Heading1"/>
      </w:pPr>
      <w:r>
        <w:rPr>
          <w:rFonts w:ascii="Arial" w:cs="Arial" w:eastAsia="Arial" w:hAnsi="Arial"/>
          <w:sz w:val="20"/>
          <w:szCs w:val="20"/>
        </w:rPr>
        <w:t xml:space="preserve">4. NAAMPATA's Obligations as Processor</w:t>
      </w:r>
    </w:p>
    <w:p>
      <w:pPr>
        <w:pStyle w:val="ListParagraph"/>
        <w:numPr>
          <w:ilvl w:val="0"/>
          <w:numId w:val="2"/>
        </w:numPr>
        <w:spacing w:after="40" w:before="40"/>
        <w:jc w:val="both"/>
      </w:pPr>
      <w:r>
        <w:rPr>
          <w:rFonts w:ascii="Arial" w:cs="Arial" w:eastAsia="Arial" w:hAnsi="Arial"/>
          <w:sz w:val="20"/>
          <w:szCs w:val="20"/>
        </w:rPr>
        <w:t xml:space="preserve">Process Personal Data ONLY on documented, written instructions from the Controller, except where required to do so by applicable law (in which case NAAMPATA will notify the Controller of that legal requirement before processing, unless prohibited by law from doing so).</w:t>
      </w:r>
    </w:p>
    <w:p>
      <w:pPr>
        <w:pStyle w:val="ListParagraph"/>
        <w:numPr>
          <w:ilvl w:val="0"/>
          <w:numId w:val="2"/>
        </w:numPr>
        <w:spacing w:after="40" w:before="40"/>
        <w:jc w:val="both"/>
      </w:pPr>
      <w:r>
        <w:rPr>
          <w:rFonts w:ascii="Arial" w:cs="Arial" w:eastAsia="Arial" w:hAnsi="Arial"/>
          <w:sz w:val="20"/>
          <w:szCs w:val="20"/>
        </w:rPr>
        <w:t xml:space="preserve">Ensure all persons authorised to process the Controller's Personal Data are subject to appropriate written confidentiality obligations.</w:t>
      </w:r>
    </w:p>
    <w:p>
      <w:pPr>
        <w:pStyle w:val="ListParagraph"/>
        <w:numPr>
          <w:ilvl w:val="0"/>
          <w:numId w:val="2"/>
        </w:numPr>
        <w:spacing w:after="40" w:before="40"/>
        <w:jc w:val="both"/>
      </w:pPr>
      <w:r>
        <w:rPr>
          <w:rFonts w:ascii="Arial" w:cs="Arial" w:eastAsia="Arial" w:hAnsi="Arial"/>
          <w:sz w:val="20"/>
          <w:szCs w:val="20"/>
        </w:rPr>
        <w:t xml:space="preserve">Implement and maintain, throughout the duration of the Main Agreement, the technical and organisational security measures described in Section 6 of this DPA.</w:t>
      </w:r>
    </w:p>
    <w:p>
      <w:pPr>
        <w:pStyle w:val="ListParagraph"/>
        <w:numPr>
          <w:ilvl w:val="0"/>
          <w:numId w:val="2"/>
        </w:numPr>
        <w:spacing w:after="40" w:before="40"/>
        <w:jc w:val="both"/>
      </w:pPr>
      <w:r>
        <w:rPr>
          <w:rFonts w:ascii="Arial" w:cs="Arial" w:eastAsia="Arial" w:hAnsi="Arial"/>
          <w:sz w:val="20"/>
          <w:szCs w:val="20"/>
        </w:rPr>
        <w:t xml:space="preserve">Assist the Controller in responding to Data Subject Rights Requests per Section 7 at the timescales specified.</w:t>
      </w:r>
    </w:p>
    <w:p>
      <w:pPr>
        <w:pStyle w:val="ListParagraph"/>
        <w:numPr>
          <w:ilvl w:val="0"/>
          <w:numId w:val="2"/>
        </w:numPr>
        <w:spacing w:after="40" w:before="40"/>
        <w:jc w:val="both"/>
      </w:pPr>
      <w:r>
        <w:rPr>
          <w:rFonts w:ascii="Arial" w:cs="Arial" w:eastAsia="Arial" w:hAnsi="Arial"/>
          <w:sz w:val="20"/>
          <w:szCs w:val="20"/>
        </w:rPr>
        <w:t xml:space="preserve">Assist the Controller in meeting its obligations under GDPR Articles 32–36 (security; breach notification; DPIAs; prior consultation with supervisory authority) to the extent NAAMPATA has access to relevant information.</w:t>
      </w:r>
    </w:p>
    <w:p>
      <w:pPr>
        <w:pStyle w:val="ListParagraph"/>
        <w:numPr>
          <w:ilvl w:val="0"/>
          <w:numId w:val="2"/>
        </w:numPr>
        <w:spacing w:after="40" w:before="40"/>
        <w:jc w:val="both"/>
      </w:pPr>
      <w:r>
        <w:rPr>
          <w:rFonts w:ascii="Arial" w:cs="Arial" w:eastAsia="Arial" w:hAnsi="Arial"/>
          <w:sz w:val="20"/>
          <w:szCs w:val="20"/>
        </w:rPr>
        <w:t xml:space="preserve">On termination or expiry of the Main Agreement, delete or return all Personal Data per Section 15, as directed by the Controller.</w:t>
      </w:r>
    </w:p>
    <w:p>
      <w:pPr>
        <w:pStyle w:val="ListParagraph"/>
        <w:numPr>
          <w:ilvl w:val="0"/>
          <w:numId w:val="2"/>
        </w:numPr>
        <w:spacing w:after="40" w:before="40"/>
        <w:jc w:val="both"/>
      </w:pPr>
      <w:r>
        <w:rPr>
          <w:rFonts w:ascii="Arial" w:cs="Arial" w:eastAsia="Arial" w:hAnsi="Arial"/>
          <w:sz w:val="20"/>
          <w:szCs w:val="20"/>
        </w:rPr>
        <w:t xml:space="preserve">Make available to the Controller all information reasonably necessary to demonstrate compliance with this DPA, and contribute to audits per Section 11.</w:t>
      </w:r>
    </w:p>
    <w:p>
      <w:pPr>
        <w:pStyle w:val="ListParagraph"/>
        <w:numPr>
          <w:ilvl w:val="0"/>
          <w:numId w:val="2"/>
        </w:numPr>
        <w:spacing w:after="40" w:before="40"/>
        <w:jc w:val="both"/>
      </w:pPr>
      <w:r>
        <w:rPr>
          <w:rFonts w:ascii="Arial" w:cs="Arial" w:eastAsia="Arial" w:hAnsi="Arial"/>
          <w:sz w:val="20"/>
          <w:szCs w:val="20"/>
        </w:rPr>
        <w:t xml:space="preserve">Promptly notify the Controller in writing if any instruction from the Controller would, in NAAMPATA's reasonable opinion, infringe GDPR, UK GDPR, or other applicable data protection law.</w:t>
      </w:r>
    </w:p>
    <w:p>
      <w:pPr>
        <w:pStyle w:val="ListParagraph"/>
        <w:numPr>
          <w:ilvl w:val="0"/>
          <w:numId w:val="2"/>
        </w:numPr>
        <w:spacing w:after="40" w:before="40"/>
        <w:jc w:val="both"/>
      </w:pPr>
      <w:r>
        <w:rPr>
          <w:rFonts w:ascii="Arial" w:cs="Arial" w:eastAsia="Arial" w:hAnsi="Arial"/>
          <w:sz w:val="20"/>
          <w:szCs w:val="20"/>
        </w:rPr>
        <w:t xml:space="preserve">Not engage Sub-Processors except as permitted under Section 8 of this DPA.</w:t>
      </w:r>
    </w:p>
    <w:p>
      <w:pPr>
        <w:pStyle w:val="Heading1"/>
      </w:pPr>
      <w:r>
        <w:rPr>
          <w:rFonts w:ascii="Arial" w:cs="Arial" w:eastAsia="Arial" w:hAnsi="Arial"/>
          <w:sz w:val="20"/>
          <w:szCs w:val="20"/>
        </w:rPr>
        <w:t xml:space="preserve">5. Controller's Obligations</w:t>
      </w:r>
    </w:p>
    <w:p>
      <w:pPr>
        <w:pStyle w:val="ListParagraph"/>
        <w:numPr>
          <w:ilvl w:val="0"/>
          <w:numId w:val="2"/>
        </w:numPr>
        <w:spacing w:after="40" w:before="40"/>
        <w:jc w:val="both"/>
      </w:pPr>
      <w:r>
        <w:rPr>
          <w:rFonts w:ascii="Arial" w:cs="Arial" w:eastAsia="Arial" w:hAnsi="Arial"/>
          <w:sz w:val="20"/>
          <w:szCs w:val="20"/>
        </w:rPr>
        <w:t xml:space="preserve">Ensure a valid and appropriate legal basis exists for all Personal Data provided to NAAMPATA for processing under this DPA.</w:t>
      </w:r>
    </w:p>
    <w:p>
      <w:pPr>
        <w:pStyle w:val="ListParagraph"/>
        <w:numPr>
          <w:ilvl w:val="0"/>
          <w:numId w:val="2"/>
        </w:numPr>
        <w:spacing w:after="40" w:before="40"/>
        <w:jc w:val="both"/>
      </w:pPr>
      <w:r>
        <w:rPr>
          <w:rFonts w:ascii="Arial" w:cs="Arial" w:eastAsia="Arial" w:hAnsi="Arial"/>
          <w:sz w:val="20"/>
          <w:szCs w:val="20"/>
        </w:rPr>
        <w:t xml:space="preserve">Ensure all required privacy notices have been provided to, and all necessary consents or other legal bases obtained from, relevant Data Subjects.</w:t>
      </w:r>
    </w:p>
    <w:p>
      <w:pPr>
        <w:pStyle w:val="ListParagraph"/>
        <w:numPr>
          <w:ilvl w:val="0"/>
          <w:numId w:val="2"/>
        </w:numPr>
        <w:spacing w:after="40" w:before="40"/>
        <w:jc w:val="both"/>
      </w:pPr>
      <w:r>
        <w:rPr>
          <w:rFonts w:ascii="Arial" w:cs="Arial" w:eastAsia="Arial" w:hAnsi="Arial"/>
          <w:sz w:val="20"/>
          <w:szCs w:val="20"/>
        </w:rPr>
        <w:t xml:space="preserve">Ensure Personal Data provided to NAAMPATA is accurate, lawfully obtained, and adequately protected in transit.</w:t>
      </w:r>
    </w:p>
    <w:p>
      <w:pPr>
        <w:pStyle w:val="ListParagraph"/>
        <w:numPr>
          <w:ilvl w:val="0"/>
          <w:numId w:val="2"/>
        </w:numPr>
        <w:spacing w:after="40" w:before="40"/>
        <w:jc w:val="both"/>
      </w:pPr>
      <w:r>
        <w:rPr>
          <w:rFonts w:ascii="Arial" w:cs="Arial" w:eastAsia="Arial" w:hAnsi="Arial"/>
          <w:sz w:val="20"/>
          <w:szCs w:val="20"/>
        </w:rPr>
        <w:t xml:space="preserve">Provide complete and accurate documented written processing instructions to NAAMPATA at the commencement of the Main Agreement and update instructions promptly on any material change.</w:t>
      </w:r>
    </w:p>
    <w:p>
      <w:pPr>
        <w:pStyle w:val="ListParagraph"/>
        <w:numPr>
          <w:ilvl w:val="0"/>
          <w:numId w:val="2"/>
        </w:numPr>
        <w:spacing w:after="40" w:before="40"/>
        <w:jc w:val="both"/>
      </w:pPr>
      <w:r>
        <w:rPr>
          <w:rFonts w:ascii="Arial" w:cs="Arial" w:eastAsia="Arial" w:hAnsi="Arial"/>
          <w:sz w:val="20"/>
          <w:szCs w:val="20"/>
        </w:rPr>
        <w:t xml:space="preserve">Not instruct NAAMPATA to process Personal Data in any manner that would violate applicable data protection law or this DPA.</w:t>
      </w:r>
    </w:p>
    <w:p>
      <w:pPr>
        <w:pStyle w:val="ListParagraph"/>
        <w:numPr>
          <w:ilvl w:val="0"/>
          <w:numId w:val="2"/>
        </w:numPr>
        <w:spacing w:after="40" w:before="40"/>
        <w:jc w:val="both"/>
      </w:pPr>
      <w:r>
        <w:rPr>
          <w:rFonts w:ascii="Arial" w:cs="Arial" w:eastAsia="Arial" w:hAnsi="Arial"/>
          <w:sz w:val="20"/>
          <w:szCs w:val="20"/>
        </w:rPr>
        <w:t xml:space="preserve">Promptly notify NAAMPATA of changes to processing instructions, lawful bases, or Data Subject rights requests received directly by the Controller that require NAAMPATA's action.</w:t>
      </w:r>
    </w:p>
    <w:p>
      <w:pPr>
        <w:pStyle w:val="Heading1"/>
      </w:pPr>
      <w:r>
        <w:rPr>
          <w:rFonts w:ascii="Arial" w:cs="Arial" w:eastAsia="Arial" w:hAnsi="Arial"/>
          <w:sz w:val="20"/>
          <w:szCs w:val="20"/>
        </w:rPr>
        <w:t xml:space="preserve">6. Technical &amp; Organisational Security Measures (TOMs)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Security Domain</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Standard Implemented by NAAMPATA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Encryption at Rest</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AES-256 encryption for all Personal Data stored in production databases and AWS S3 file storage systems.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Encryption in Transit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TLS 1.2 minimum enforced on all endpoints, APIs, and data transfer channels. TLS 1.0 and TLS 1.1 explicitly disabled.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Access Control Architecture</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Role-Based Access Control (RBAC) with the principle of least privilege; mandatory two-factor authentication (2FA) for all admin and privileged accounts; session timeout controls.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 Panel Security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Accessible exclusively from pre-approved, whitelisted IP addresses. Session expiry enforced on all privileged access sessions.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Network &amp; Perimeter Security</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Web Application Firewall (WAF) with OWASP Core Rule Set on all public endpoints; network segmentation between production and development environments; DDoS mitigation.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Vulnerability &amp; Patch Management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Annual third-party penetration testing. Critical security findings remediated within 5 business days. High-severity findings within 30 business days. Patch management process documented.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Audit Logging</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Immutable, tamper-evident audit logs for all administrative and privileged actions, retained for a minimum of 24 months, with real-time alerting for anomalous access patterns.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Physical &amp; Cloud Security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production data processing conducted on AWS cloud infrastructure. AWS holds SOC 2 Type II and ISO 27001 certification. No NAAMPATA-managed physical servers in production. Physical security managed by AWS per their published security standards.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Backup &amp; Disaster Recovery</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Daily automated encrypted backups with quarterly tested restoration procedures. Defined and documented Recovery Time Objective (RTO) and Recovery Point Objective (RPO).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Staff Training &amp; Awareness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Annual mandatory data protection and security awareness training for all staff with access to Personal Data. Incident response training for security-relevant roles.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Sub-Processor Security</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Sub-Processors required by contract to maintain security measures at least equivalent to those in this Section. Security posture verified before engagement and reviewed periodically.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Password &amp; Credential Management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passwords stored as bcrypt one-way cryptographic hashes. Privileged access credentials rotated on a defined schedule. No plaintext credential storage under any circumstance.</w:t>
            </w:r>
          </w:p>
        </w:tc>
      </w:tr>
    </w:tbl>
    <w:p>
      <w:pPr>
        <w:spacing w:after="80" w:before="60"/>
        <w:jc w:val="both"/>
      </w:pPr>
      <w:r>
        <w:rPr>
          <w:rFonts w:ascii="Arial" w:cs="Arial" w:eastAsia="Arial" w:hAnsi="Arial"/>
          <w:sz w:val="20"/>
          <w:szCs w:val="20"/>
        </w:rPr>
        <w:t xml:space="preserve">These measures are reviewed and updated at a minimum annually and upon any material change to the processing environment, threat landscape, or applicable regulatory requirements. NAAMPATA may satisfy audit rights through provision of current SOC 2 Type II or ISO 27001 certification reports from accredited third-party auditors as a proportionate alternative to full on-site audit, per Section 11.</w:t>
      </w:r>
    </w:p>
    <w:p>
      <w:pPr>
        <w:pStyle w:val="Heading1"/>
      </w:pPr>
      <w:r>
        <w:rPr>
          <w:rFonts w:ascii="Arial" w:cs="Arial" w:eastAsia="Arial" w:hAnsi="Arial"/>
          <w:sz w:val="20"/>
          <w:szCs w:val="20"/>
        </w:rPr>
        <w:t xml:space="preserve">7. Data Subject Rights Assistance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rPr>
          <w:tblHeader/>
        </w:trPr>
        <w:tc>
          <w:tcPr>
            <w:tcW w:type="dxa" w:w="5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NAAMPATA's Obligation</w:t>
            </w:r>
          </w:p>
        </w:tc>
        <w:tc>
          <w:tcPr>
            <w:tcW w:type="dxa" w:w="4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Timescale</w:t>
            </w:r>
          </w:p>
        </w:tc>
      </w:tr>
      <w:tr>
        <w:tc>
          <w:tcPr>
            <w:tcW w:type="dxa" w:w="5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Notify the Controller on receipt of any Data Subject Rights Request (DSAR) relating to Personal Data processed under this DPA</w:t>
            </w:r>
          </w:p>
        </w:tc>
        <w:tc>
          <w:tcPr>
            <w:tcW w:type="dxa" w:w="4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48 hours of receipt by NAAMPATA</w:t>
            </w:r>
          </w:p>
        </w:tc>
      </w:tr>
      <w:tr>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Provide relevant data and information to assist the Controller in substantively responding to the DSAR</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5 business days of the Controller's specific written instruction</w:t>
            </w:r>
          </w:p>
        </w:tc>
      </w:tr>
      <w:tr>
        <w:tc>
          <w:tcPr>
            <w:tcW w:type="dxa" w:w="5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Implement any Controller instruction to restrict, delete, update, or export specific Data Subject data</w:t>
            </w:r>
          </w:p>
        </w:tc>
        <w:tc>
          <w:tcPr>
            <w:tcW w:type="dxa" w:w="4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30 calendar days of written instruction (or sooner if required by applicable law)</w:t>
            </w:r>
          </w:p>
        </w:tc>
      </w:tr>
      <w:tr>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Notify the Controller where a Sub-Processor receives a DSAR relating to the Controller's data</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48 hours of NAAMPATA becoming aware</w:t>
            </w:r>
          </w:p>
        </w:tc>
      </w:tr>
      <w:tr>
        <w:tc>
          <w:tcPr>
            <w:tcW w:type="dxa" w:w="5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Provide data portability export in structured machine-readable format (CSV or JSON) per GDPR Art. 20</w:t>
            </w:r>
          </w:p>
        </w:tc>
        <w:tc>
          <w:tcPr>
            <w:tcW w:type="dxa" w:w="4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30 calendar days of the Controller's specific written instruction</w:t>
            </w:r>
          </w:p>
        </w:tc>
      </w:tr>
    </w:tbl>
    <w:p>
      <w:pPr>
        <w:pStyle w:val="Heading1"/>
      </w:pPr>
      <w:r>
        <w:rPr>
          <w:rFonts w:ascii="Arial" w:cs="Arial" w:eastAsia="Arial" w:hAnsi="Arial"/>
          <w:sz w:val="20"/>
          <w:szCs w:val="20"/>
        </w:rPr>
        <w:t xml:space="preserve">8. Sub-Processor Authorisation &amp; Management</w:t>
      </w:r>
    </w:p>
    <w:p>
      <w:pPr>
        <w:pStyle w:val="Heading2"/>
      </w:pPr>
      <w:r>
        <w:rPr>
          <w:rFonts w:ascii="Arial" w:cs="Arial" w:eastAsia="Arial" w:hAnsi="Arial"/>
          <w:sz w:val="20"/>
          <w:szCs w:val="20"/>
        </w:rPr>
        <w:t xml:space="preserve">8.1 General Written Authorisation</w:t>
      </w:r>
    </w:p>
    <w:p>
      <w:pPr>
        <w:spacing w:after="80" w:before="60"/>
        <w:jc w:val="both"/>
      </w:pPr>
      <w:r>
        <w:rPr>
          <w:rFonts w:ascii="Arial" w:cs="Arial" w:eastAsia="Arial" w:hAnsi="Arial"/>
          <w:sz w:val="20"/>
          <w:szCs w:val="20"/>
        </w:rPr>
        <w:t xml:space="preserve">The Controller grants NAAMPATA general written authorisation to engage Sub-Processors as required to deliver the services under the Main Agreement. Current Sub-Processor categories: cloud hosting infrastructure (AWS); mobile push notifications (Firebase/Google — FCM); web push notifications (APNs — Apple); analytics and crash reporting (Firebase/Google); transactional email delivery; CDN and content delivery (CloudFront/AWS); payment processing (Apple IAP, Google Play Billing, web gateway). Full and current sub-processor list: www.naampata.com/legal/sub-processors.</w:t>
      </w:r>
    </w:p>
    <w:p>
      <w:pPr>
        <w:pStyle w:val="Heading2"/>
      </w:pPr>
      <w:r>
        <w:rPr>
          <w:rFonts w:ascii="Arial" w:cs="Arial" w:eastAsia="Arial" w:hAnsi="Arial"/>
          <w:sz w:val="20"/>
          <w:szCs w:val="20"/>
        </w:rPr>
        <w:t xml:space="preserve">8.2 New Sub-Processors — Advance Notice</w:t>
      </w:r>
    </w:p>
    <w:p>
      <w:pPr>
        <w:spacing w:after="80" w:before="60"/>
        <w:jc w:val="both"/>
      </w:pPr>
      <w:r>
        <w:rPr>
          <w:rFonts w:ascii="Arial" w:cs="Arial" w:eastAsia="Arial" w:hAnsi="Arial"/>
          <w:sz w:val="20"/>
          <w:szCs w:val="20"/>
        </w:rPr>
        <w:t xml:space="preserve">NAAMPATA shall provide the Controller with at least 30 calendar days' prior written notice before engaging any new Sub-Processor who will process the Controller's Personal Data. The Controller may object to the new Sub-Processor in writing within 14 calendar days of receiving notice. If NAAMPATA cannot reasonably accommodate the objection while continuing to provide the contracted services, either party may terminate the Main Agreement on 30 calendar days' written notice, without penalty or compensation for loss of anticipated benefits.</w:t>
      </w:r>
    </w:p>
    <w:p>
      <w:pPr>
        <w:pStyle w:val="Heading2"/>
      </w:pPr>
      <w:r>
        <w:rPr>
          <w:rFonts w:ascii="Arial" w:cs="Arial" w:eastAsia="Arial" w:hAnsi="Arial"/>
          <w:sz w:val="20"/>
          <w:szCs w:val="20"/>
        </w:rPr>
        <w:t xml:space="preserve">8.3 Sub-Processor Flow-Down Obligations</w:t>
      </w:r>
    </w:p>
    <w:p>
      <w:pPr>
        <w:spacing w:after="80" w:before="60"/>
        <w:jc w:val="both"/>
      </w:pPr>
      <w:r>
        <w:rPr>
          <w:rFonts w:ascii="Arial" w:cs="Arial" w:eastAsia="Arial" w:hAnsi="Arial"/>
          <w:sz w:val="20"/>
          <w:szCs w:val="20"/>
        </w:rPr>
        <w:t xml:space="preserve">NAAMPATA imposes on all Sub-Processors data protection obligations that are at least equivalent to those set out in this DPA, including the security measures in Section 6. NAAMPATA remains fully and directly liable to the Controller for the acts and omissions of each Sub-Processor to the same extent as if NAAMPATA had performed the Sub-Processor's activities itself, subject to the liability provisions in Section 14.</w:t>
      </w:r>
    </w:p>
    <w:p>
      <w:pPr>
        <w:pStyle w:val="Heading1"/>
      </w:pPr>
      <w:r>
        <w:rPr>
          <w:rFonts w:ascii="Arial" w:cs="Arial" w:eastAsia="Arial" w:hAnsi="Arial"/>
          <w:sz w:val="20"/>
          <w:szCs w:val="20"/>
        </w:rPr>
        <w:t xml:space="preserve">9. International Data Transfers</w:t>
      </w:r>
    </w:p>
    <w:p>
      <w:pPr>
        <w:spacing w:after="80" w:before="60"/>
        <w:jc w:val="both"/>
      </w:pPr>
      <w:r>
        <w:rPr>
          <w:rFonts w:ascii="Arial" w:cs="Arial" w:eastAsia="Arial" w:hAnsi="Arial"/>
          <w:sz w:val="20"/>
          <w:szCs w:val="20"/>
        </w:rPr>
        <w:t xml:space="preserve">Where Personal Data subject to EU GDPR, UK GDPR, or equivalent legislation is transferred to countries not covered by a relevant adequacy decision (including transfers to Pakistan and the United States), NAAMPATA implements the following transfer mechanisms: (i) Standard Contractual Clauses (SCCs) — European Commission Decision 2021/914, Module 2 (Controller-to-Processor), updated as required; (ii) UK International Data Transfer Agreements (IDTAs) approved by the UK ICO for UK GDPR transfers; and (iii) Transfer Impact Assessments (TIAs) where required by applicable regulatory guidance or supervisory authority instruction. Executed copies of applicable SCCs, IDTAs, and TIA summaries are provided as signed addenda to the Main Agreement, or available on written request from legal@naampata.com within 10 business days of request.</w:t>
      </w:r>
    </w:p>
    <w:p>
      <w:pPr>
        <w:pStyle w:val="Heading1"/>
      </w:pPr>
      <w:r>
        <w:rPr>
          <w:rFonts w:ascii="Arial" w:cs="Arial" w:eastAsia="Arial" w:hAnsi="Arial"/>
          <w:sz w:val="20"/>
          <w:szCs w:val="20"/>
        </w:rPr>
        <w:t xml:space="preserve">10. Security Incident Notification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880"/>
      </w:tblGrid>
      <w:tr>
        <w:trPr>
          <w:tblHeader/>
        </w:trPr>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Notification Obligation</w:t>
            </w:r>
          </w:p>
        </w:tc>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Timescale</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Initial notification of confirmed or reasonably suspected Security Incident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24 hours of NAAMPATA becoming aware</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to Controller's designated security contact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Preliminary details: nature of incident; categories and approximate volume of affected Data Subjects; likely consequences; initial containment and remediation steps taken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24 hours of initial notification (may be supplemented as investigation progresses)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Written notification — initial incident report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 incident report: root cause analysis; complete scope; all affected data categories and subjects; full remediation plan and timeline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5 business days of initial notification</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Formal written report to Controller's designated contact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Supporting documentation for Controller's supervisory authority notification (GDPR Art. 33 — 72-hour deadline)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provides documentation within 2 business days of the Controller's written request. The Controller remains responsible for filing with the supervisory authority.</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As directed in writing by the Controller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Assistance with Data Subject notification (GDPR Art. 34 — if required)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Controller determines necessity and content. NAAMPATA assists without undue delay.</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As directed in writing by the Controller</w:t>
            </w:r>
          </w:p>
        </w:tc>
      </w:tr>
    </w:tbl>
    <w:p>
      <w:pPr>
        <w:pStyle w:val="Heading1"/>
      </w:pPr>
      <w:r>
        <w:rPr>
          <w:rFonts w:ascii="Arial" w:cs="Arial" w:eastAsia="Arial" w:hAnsi="Arial"/>
          <w:sz w:val="20"/>
          <w:szCs w:val="20"/>
        </w:rPr>
        <w:t xml:space="preserve">11. Audit Rights</w:t>
      </w:r>
    </w:p>
    <w:p>
      <w:pPr>
        <w:pStyle w:val="ListParagraph"/>
        <w:numPr>
          <w:ilvl w:val="0"/>
          <w:numId w:val="2"/>
        </w:numPr>
        <w:spacing w:after="40" w:before="40"/>
        <w:jc w:val="both"/>
      </w:pPr>
      <w:r>
        <w:rPr>
          <w:rFonts w:ascii="Arial" w:cs="Arial" w:eastAsia="Arial" w:hAnsi="Arial"/>
          <w:b/>
          <w:bCs/>
          <w:sz w:val="20"/>
          <w:szCs w:val="20"/>
        </w:rPr>
        <w:t xml:space="preserve">Documentation Review: </w:t>
      </w:r>
      <w:r>
        <w:rPr>
          <w:rFonts w:ascii="Arial" w:cs="Arial" w:eastAsia="Arial" w:hAnsi="Arial"/>
          <w:sz w:val="20"/>
          <w:szCs w:val="20"/>
        </w:rPr>
        <w:t xml:space="preserve">Controller may request documentary evidence of security measures, Sub-Processor agreements, staff training records, audit logs, and security incident records, with minimum 30 calendar days' advance written notice. Maximum frequency: once per calendar year unless there is documented, reasonable suspicion of a material breach of this DPA.</w:t>
      </w:r>
    </w:p>
    <w:p>
      <w:pPr>
        <w:pStyle w:val="ListParagraph"/>
        <w:numPr>
          <w:ilvl w:val="0"/>
          <w:numId w:val="2"/>
        </w:numPr>
        <w:spacing w:after="40" w:before="40"/>
        <w:jc w:val="both"/>
      </w:pPr>
      <w:r>
        <w:rPr>
          <w:rFonts w:ascii="Arial" w:cs="Arial" w:eastAsia="Arial" w:hAnsi="Arial"/>
          <w:b/>
          <w:bCs/>
          <w:sz w:val="20"/>
          <w:szCs w:val="20"/>
        </w:rPr>
        <w:t xml:space="preserve">Third-Party Certification (Preferred): </w:t>
      </w:r>
      <w:r>
        <w:rPr>
          <w:rFonts w:ascii="Arial" w:cs="Arial" w:eastAsia="Arial" w:hAnsi="Arial"/>
          <w:sz w:val="20"/>
          <w:szCs w:val="20"/>
        </w:rPr>
        <w:t xml:space="preserve">NAAMPATA may satisfy audit rights by providing current and valid SOC 2 Type II or ISO 27001 certification reports from independent, accredited third-party auditors. This is NAAMPATA's preferred method and is offered as a proportionate, cost-efficient alternative to full on-site audit.</w:t>
      </w:r>
    </w:p>
    <w:p>
      <w:pPr>
        <w:pStyle w:val="ListParagraph"/>
        <w:numPr>
          <w:ilvl w:val="0"/>
          <w:numId w:val="2"/>
        </w:numPr>
        <w:spacing w:after="40" w:before="40"/>
        <w:jc w:val="both"/>
      </w:pPr>
      <w:r>
        <w:rPr>
          <w:rFonts w:ascii="Arial" w:cs="Arial" w:eastAsia="Arial" w:hAnsi="Arial"/>
          <w:b/>
          <w:bCs/>
          <w:sz w:val="20"/>
          <w:szCs w:val="20"/>
        </w:rPr>
        <w:t xml:space="preserve">On-Site Audit (Where Necessary): </w:t>
      </w:r>
      <w:r>
        <w:rPr>
          <w:rFonts w:ascii="Arial" w:cs="Arial" w:eastAsia="Arial" w:hAnsi="Arial"/>
          <w:sz w:val="20"/>
          <w:szCs w:val="20"/>
        </w:rPr>
        <w:t xml:space="preserve">Where third-party certifications are genuinely insufficient to address a specific, clearly articulated Controller concern, the Controller may appoint a mutually agreed, independent, accredited third-party auditor at the Controller's sole cost and expense. Minimum 30 calendar days' prior written notice required. The auditor must sign a confidentiality agreement acceptable to NAAMPATA before any access is granted.</w:t>
      </w:r>
    </w:p>
    <w:p>
      <w:pPr>
        <w:pStyle w:val="ListParagraph"/>
        <w:numPr>
          <w:ilvl w:val="0"/>
          <w:numId w:val="2"/>
        </w:numPr>
        <w:spacing w:after="40" w:before="40"/>
        <w:jc w:val="both"/>
      </w:pPr>
      <w:r>
        <w:rPr>
          <w:rFonts w:ascii="Arial" w:cs="Arial" w:eastAsia="Arial" w:hAnsi="Arial"/>
          <w:b/>
          <w:bCs/>
          <w:sz w:val="20"/>
          <w:szCs w:val="20"/>
        </w:rPr>
        <w:t xml:space="preserve">No Disruption to Operations: </w:t>
      </w:r>
      <w:r>
        <w:rPr>
          <w:rFonts w:ascii="Arial" w:cs="Arial" w:eastAsia="Arial" w:hAnsi="Arial"/>
          <w:sz w:val="20"/>
          <w:szCs w:val="20"/>
        </w:rPr>
        <w:t xml:space="preserve">All audits must be conducted during NAAMPATA's normal business hours and in a manner that does not disrupt NAAMPATA's normal operations or compromise services provided to other clients.</w:t>
      </w:r>
    </w:p>
    <w:p>
      <w:pPr>
        <w:pStyle w:val="Heading1"/>
      </w:pPr>
      <w:r>
        <w:rPr>
          <w:rFonts w:ascii="Arial" w:cs="Arial" w:eastAsia="Arial" w:hAnsi="Arial"/>
          <w:sz w:val="20"/>
          <w:szCs w:val="20"/>
        </w:rPr>
        <w:t xml:space="preserve">12. Joint Controller Addendum</w:t>
      </w:r>
    </w:p>
    <w:p>
      <w:pPr>
        <w:spacing w:after="80" w:before="60"/>
        <w:jc w:val="both"/>
      </w:pPr>
      <w:r>
        <w:rPr>
          <w:rFonts w:ascii="Arial" w:cs="Arial" w:eastAsia="Arial" w:hAnsi="Arial"/>
          <w:sz w:val="20"/>
          <w:szCs w:val="20"/>
        </w:rPr>
        <w:t xml:space="preserve">Where NAAMPATA and the Controller determine that both parties qualify as Joint Controllers under GDPR Article 26 with respect to any specific processing activities identified in the Main Agreement or agreed in writing, the parties will execute a Joint Controller Addendum documenting in full: (i) their respective data protection roles and specific responsibilities for each joint processing activity; (ii) the designated point of contact for Data Subjects wishing to exercise their rights; (iii) the mechanism ensuring Data Subjects can effectively exercise their rights against either party; and (iv) the allocation of all data protection compliance obligations including breach notification timelines and DPIA responsibilities. In the absence of a signed and executed Joint Controller Addendum, each party independently discharges its own data protection compliance obligations under applicable law for any activities that may constitute joint processing.</w:t>
      </w:r>
    </w:p>
    <w:p>
      <w:pPr>
        <w:pStyle w:val="Heading1"/>
      </w:pPr>
      <w:r>
        <w:rPr>
          <w:rFonts w:ascii="Arial" w:cs="Arial" w:eastAsia="Arial" w:hAnsi="Arial"/>
          <w:sz w:val="20"/>
          <w:szCs w:val="20"/>
        </w:rPr>
        <w:t xml:space="preserve">13. Enterprise Client &amp; API Partner Obligations</w:t>
      </w:r>
    </w:p>
    <w:p>
      <w:pPr>
        <w:spacing w:after="80" w:before="60"/>
        <w:jc w:val="both"/>
      </w:pPr>
      <w:r>
        <w:rPr>
          <w:rFonts w:ascii="Arial" w:cs="Arial" w:eastAsia="Arial" w:hAnsi="Arial"/>
          <w:sz w:val="20"/>
          <w:szCs w:val="20"/>
        </w:rPr>
        <w:t xml:space="preserve">Enterprise Clients and API Partners, in addition to all other obligations in this DPA, agree to: (i) comply with all applicable data protection laws as an independent data Controller in their own right; (ii) obtain all necessary consents, authorisations, and legal bases before sharing any Personal Data with NAAMPATA for processing; (iii) comply with all applicable API usage restrictions, rate limits, data use restrictions, and prohibited use provisions specified in the Main Agreement or the Terms of Service — Users (Document 2); (iv) not use API access to circumvent Platform security controls, scrape data at scales beyond authorised limits, or access data categories not expressly authorised; and (v) immediately notify NAAMPATA in writing at legal@naampata.com (Subject: "API Key Security Alert") of any known or reasonably suspected Security Incident affecting Personal Data processed under this DPA.</w:t>
      </w:r>
    </w:p>
    <w:p>
      <w:pPr>
        <w:pStyle w:val="Heading1"/>
      </w:pPr>
      <w:r>
        <w:rPr>
          <w:rFonts w:ascii="Arial" w:cs="Arial" w:eastAsia="Arial" w:hAnsi="Arial"/>
          <w:sz w:val="20"/>
          <w:szCs w:val="20"/>
        </w:rPr>
        <w:t xml:space="preserve">14. Limitation of Liability — DPA Specific</w:t>
      </w:r>
    </w:p>
    <w:p>
      <w:pPr>
        <w:pBdr>
          <w:left w:val="single" w:color="D97706" w:sz="18"/>
        </w:pBdr>
        <w:shd w:fill="FFFBEB" w:val="clear"/>
        <w:spacing w:after="120" w:before="120"/>
        <w:ind w:left="120" w:right="120"/>
      </w:pPr>
      <w:r>
        <w:rPr>
          <w:rFonts w:ascii="Arial" w:cs="Arial" w:eastAsia="Arial" w:hAnsi="Arial"/>
          <w:b/>
          <w:bCs/>
          <w:color w:val="D97706"/>
          <w:sz w:val="20"/>
          <w:szCs w:val="20"/>
        </w:rPr>
        <w:t xml:space="preserve">IMPORTANT: </w:t>
      </w:r>
      <w:r>
        <w:rPr>
          <w:rFonts w:ascii="Arial" w:cs="Arial" w:eastAsia="Arial" w:hAnsi="Arial"/>
          <w:sz w:val="19"/>
          <w:szCs w:val="19"/>
        </w:rPr>
        <w:t xml:space="preserve">IMPORTANT: The standard consumer liability cap stated in the Terms of Service — Users (Document 2) does NOT apply to NAAMPATA's obligations under this DPA as between NAAMPATA and the Enterprise Client or API Partner. The DPA-specific liability provisions govern instead.</w:t>
      </w:r>
    </w:p>
    <w:p>
      <w:pPr>
        <w:spacing w:after="80" w:before="60"/>
        <w:jc w:val="both"/>
      </w:pPr>
      <w:r>
        <w:rPr>
          <w:rFonts w:ascii="Arial" w:cs="Arial" w:eastAsia="Arial" w:hAnsi="Arial"/>
          <w:sz w:val="20"/>
          <w:szCs w:val="20"/>
        </w:rPr>
        <w:t xml:space="preserve">Liability for NAAMPATA's data processing obligations under this DPA is governed by the liability provisions expressly set out in the Main Agreement, which prevail over the standard Terms of Service as between NAAMPATA and the Controller on all DPA-related matters. Where the Main Agreement does not specify a DPA liability cap, the cap applicable to NAAMPATA's DPA obligations shall be the total fees actually paid to NAAMPATA by the Controller under the Main Agreement in the 12 calendar months immediately preceding the event giving rise to the claim. Nothing in this Section 14 limits or excludes liability for: (i) wilful misconduct or gross negligence by NAAMPATA; (ii) death or personal injury; or (iii) any other liability that cannot be lawfully excluded or limited under applicable mandatory data protection law, including under GDPR Article 82.</w:t>
      </w:r>
    </w:p>
    <w:p>
      <w:pPr>
        <w:pStyle w:val="Heading1"/>
      </w:pPr>
      <w:r>
        <w:rPr>
          <w:rFonts w:ascii="Arial" w:cs="Arial" w:eastAsia="Arial" w:hAnsi="Arial"/>
          <w:sz w:val="20"/>
          <w:szCs w:val="20"/>
        </w:rPr>
        <w:t xml:space="preserve">15. Data Return &amp; Deletion on Termination</w:t>
      </w:r>
    </w:p>
    <w:p>
      <w:pPr>
        <w:spacing w:after="80" w:before="60"/>
        <w:jc w:val="both"/>
      </w:pPr>
      <w:r>
        <w:rPr>
          <w:rFonts w:ascii="Arial" w:cs="Arial" w:eastAsia="Arial" w:hAnsi="Arial"/>
          <w:sz w:val="20"/>
          <w:szCs w:val="20"/>
        </w:rPr>
        <w:t xml:space="preserve">Within 30 calendar days of the termination or expiry of the Main Agreement for any reason, NAAMPATA will, at the Controller's written direction and choice, either: (a) securely and permanently delete or destroy all Personal Data from all of NAAMPATA's production systems and direct all Sub-Processors to do the same; or (b) return all Personal Data to the Controller in a structured, commonly used, machine-readable format (CSV or JSON as agreed between the parties) and thereafter securely delete all copies from NAAMPATA's systems. NAAMPATA will provide the Controller with written certification of completed deletion (including confirmation from all Sub-Processors) within 30 calendar days of completion. Extended retention beyond this period is permitted exclusively where required by applicable mandatory law or binding court order, in which case NAAMPATA will promptly notify the Controller in writing of the specific legal requirement and anticipated extended retention period.</w:t>
      </w:r>
    </w:p>
    <w:p>
      <w:pPr>
        <w:pStyle w:val="Heading1"/>
      </w:pPr>
      <w:r>
        <w:rPr>
          <w:rFonts w:ascii="Arial" w:cs="Arial" w:eastAsia="Arial" w:hAnsi="Arial"/>
          <w:sz w:val="20"/>
          <w:szCs w:val="20"/>
        </w:rPr>
        <w:t xml:space="preserve">16. Governing Law of This DPA</w:t>
      </w:r>
    </w:p>
    <w:p>
      <w:pPr>
        <w:spacing w:after="80" w:before="60"/>
        <w:jc w:val="both"/>
      </w:pPr>
      <w:r>
        <w:rPr>
          <w:rFonts w:ascii="Arial" w:cs="Arial" w:eastAsia="Arial" w:hAnsi="Arial"/>
          <w:sz w:val="20"/>
          <w:szCs w:val="20"/>
        </w:rPr>
        <w:t xml:space="preserve">This DPA is governed by the laws of the Islamic Republic of Pakistan, without prejudice to the mandatory application of EU GDPR, UK GDPR, CCPA/CPRA, or other applicable data protection law by reason of the location of Data Subjects or supervisory authority jurisdiction. In the event of any conflict between this DPA and the Main Agreement on data protection matters, this DPA prevails. In the event of any conflict between this DPA and the NAAMPATA consumer Legal Suite (Documents 1–6) on data processing matters as between NAAMPATA and the Controller, this DPA prevails. Disputes under this DPA shall be resolved pursuant to the dispute resolution mechanism agreed in the Main Agreement, or if none is specified, pursuant to the Governing Law provisions in the Terms of Service — Users (Document 2).</w:t>
      </w:r>
    </w:p>
    <w:p>
      <w:pPr>
        <w:pStyle w:val="Heading1"/>
      </w:pPr>
      <w:r>
        <w:rPr>
          <w:rFonts w:ascii="Arial" w:cs="Arial" w:eastAsia="Arial" w:hAnsi="Arial"/>
          <w:sz w:val="20"/>
          <w:szCs w:val="20"/>
        </w:rPr>
        <w:t xml:space="preserve">17. DPA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Query Type</w:t>
            </w:r>
          </w:p>
        </w:tc>
        <w:tc>
          <w:tcPr>
            <w:tcW w:type="dxa" w:w="7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Contact Details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DPA queries and Data Subject Rights Requests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 | Subject: "DPA Query" or "DSAR — [Right Type]"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Security incidents and breach notification</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 | Subject: "Security Incident — DPA"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Sub-processor new engagement notices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 | Subject: "Sub-Processor Notice"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Audit requests</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 | Subject: "Audit Request — DPA"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 and current sub-processor list</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www.naampata.com/legal/sub-processors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Transfer mechanism documentation (SCCs, IDTAs, TIAs)</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 | Subject: "Transfer Mechanism Documentation"</w:t>
            </w:r>
          </w:p>
        </w:tc>
      </w:tr>
    </w:tbl>
    <w:p>
      <w:pPr>
        <w:pStyle w:val="Heading2"/>
      </w:pPr>
      <w:r>
        <w:rPr>
          <w:rFonts w:ascii="Arial" w:cs="Arial" w:eastAsia="Arial" w:hAnsi="Arial"/>
          <w:sz w:val="20"/>
          <w:szCs w:val="20"/>
        </w:rPr>
        <w:t xml:space="preserve">Force Majeure</w:t>
      </w:r>
    </w:p>
    <w:p>
      <w:pPr>
        <w:spacing w:after="80" w:before="60"/>
        <w:jc w:val="both"/>
      </w:pPr>
      <w:r>
        <w:rPr>
          <w:rFonts w:ascii="Arial" w:cs="Arial" w:eastAsia="Arial" w:hAnsi="Arial"/>
          <w:sz w:val="20"/>
          <w:szCs w:val="20"/>
        </w:rPr>
        <w:t xml:space="preserve">NAAMPATA shall not be liable for any failure or delay in performing its obligations under these Terms to the extent caused by circumstances beyond its reasonable control, including: acts of God; natural disasters; pandemic or epidemic; war, armed conflict, or civil unrest; acts or omissions of government or regulatory authorities; cyberattacks or malicious third-party interference; failure of critical internet or telecommunications infrastructure; power outages; or failure of third-party service providers including AWS, Google, Apple, or Firebase. Upon a Force Majeure Event, NAAMPATA will: (i) notify affected users as soon as reasonably practicable; (ii) take commercially reasonable steps to minimise impact and restore service; and (iii) where the event continues for more than sixty (60) calendar days, either party may terminate affected services by written notice, subject to applicable refund provisions under the Subscription &amp; Refund Policy (Document 4). Force Majeure does not excuse payment obligations for services already rendered before the event.</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2026-05-27T18:39:03.800Z</dcterms:created>
  <dcterms:modified xsi:type="dcterms:W3CDTF">2026-05-27T18:39:03.800Z</dcterms:modified>
</cp:coreProperties>
</file>

<file path=docProps/custom.xml><?xml version="1.0" encoding="utf-8"?>
<Properties xmlns="http://schemas.openxmlformats.org/officeDocument/2006/custom-properties" xmlns:vt="http://schemas.openxmlformats.org/officeDocument/2006/docPropsVTypes"/>
</file>