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IP, Copyright &amp; DMCA Policy</w:t>
      </w:r>
    </w:p>
    <w:p>
      <w:pPr>
        <w:spacing w:after="40" w:before="70"/>
        <w:jc w:val="center"/>
      </w:pPr>
      <w:r>
        <w:rPr>
          <w:rFonts w:ascii="Arial" w:cs="Arial" w:eastAsia="Arial" w:hAnsi="Arial"/>
          <w:color w:val="475569"/>
          <w:sz w:val="19"/>
          <w:szCs w:val="19"/>
        </w:rPr>
        <w:t xml:space="preserve">Document 9 of 9  ·  NAAMPATA (SMC-PRIVATE) LIMITED  ·  All Users and Third Parties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9 of 9: </w:t>
      </w:r>
      <w:r>
        <w:rPr>
          <w:rFonts w:ascii="Arial" w:cs="Arial" w:eastAsia="Arial" w:hAnsi="Arial"/>
          <w:sz w:val="20"/>
          <w:szCs w:val="20"/>
        </w:rPr>
        <w:t xml:space="preserve">IP, Copyright &amp; DMCA Policy. Audience: All Users, Business Owners, and Third Parties. This document forms part of the NAAMPATA Legal Suite (9 documents). All documents are published at www.naampata.com/legal and are incorporated into one integrated legal framework. Governs protection of intellectual property rights on the Platform, copyright takedown procedures, counter-notice procedures, safe harbour, repeat infringer policy, and brand usage. All IP enforcement channels route through this document.</w:t>
      </w:r>
    </w:p>
    <w:p>
      <w:pPr>
        <w:spacing w:after="80" w:before="60"/>
        <w:jc w:val="both"/>
      </w:pPr>
      <w:r>
        <w:rPr>
          <w:rFonts w:ascii="Arial" w:cs="Arial" w:eastAsia="Arial" w:hAnsi="Arial"/>
          <w:sz w:val="20"/>
          <w:szCs w:val="20"/>
        </w:rPr>
        <w:t xml:space="preserve">This IP, Copyright &amp; DMCA Policy ("IP Policy") governs: the ownership and protection of intellectual property rights on and related to the NAAMPATA Platform; the procedure for submitting copyright and trademark infringement notices; the counter-notice procedure for disputing removals; the Platform's safe harbour position; and the repeat infringer policy. This Policy applies to all Users, Business Owners, Affiliate Participants, and all third parties who interact with Content on the Platform. All defined terms have the meanings given in the Terms of Service — Users (Document 2).</w:t>
      </w:r>
    </w:p>
    <w:p>
      <w:pPr>
        <w:pStyle w:val="Heading1"/>
      </w:pPr>
      <w:r>
        <w:rPr>
          <w:rFonts w:ascii="Arial" w:cs="Arial" w:eastAsia="Arial" w:hAnsi="Arial"/>
          <w:sz w:val="20"/>
          <w:szCs w:val="20"/>
        </w:rPr>
        <w:t xml:space="preserve">1. NAAMPATA's Intellectual Property</w:t>
      </w:r>
    </w:p>
    <w:p>
      <w:pPr>
        <w:spacing w:after="80" w:before="60"/>
        <w:jc w:val="both"/>
      </w:pPr>
      <w:r>
        <w:rPr>
          <w:rFonts w:ascii="Arial" w:cs="Arial" w:eastAsia="Arial" w:hAnsi="Arial"/>
          <w:sz w:val="20"/>
          <w:szCs w:val="20"/>
        </w:rPr>
        <w:t xml:space="preserve">The following intellectual property is owned by or exclusively licenced to NAAMPATA (SMC-PRIVATE) LIMITED and is protected under applicable law including Pakistan's Copyright Ordinance 1962, Trade Marks Ordinance 2001, and applicable international intellectual property conventions and treaties to which Pakistan is a signatory: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IP Category</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Scope &amp; Examples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Trade Marks &amp; Brand Assets</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"NAAMPATA" wordmark, stylised logo, device mark, taglines, brand colours, and all associated trade dress, in all formats, media, sizes, and jurisdictions. Protected under Pakistan's Trade Marks Ordinance 2001.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Software &amp; Source Code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Platform source code (frontend: React/Next.js; mobile: Flutter); backend code (NestJS); database schemas (PostgreSQL/PostGIS); search index logic (Elasticsearch); all APIs; and all supporting scripts, libraries, and infrastructure code.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Algorithms, AI Models &amp; Ranking Logic</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ranking algorithms; fraud detection engines; Trust Scoring models; category suggestion NLP models; review fraud detection systems; Broadcast Inquiry matching logic; and all machine learning models trained on Platform data.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Database Rights</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Platform database and its architecture; the business listing data structure; the category taxonomy; the search index and its configuration; all aggregated and analytical data; and all structured datasets generated by Platform operation.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Design, UI &amp; UX</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 interface design; all icons, illustrations, and graphical elements; layout compositions; interaction design patterns; animation specifications; and all user experience flows.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 Content</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NAAMPATA-generated content; all legal documents in the Legal Suite; all product documentation; help centre articles; and all marketing materials created by or for NAAMPATA.</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Aggregated &amp; Derived Data</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aggregated, anonymised, or de-identified data derived from Platform usage — including search patterns, engagement analytics, Business category performance data, and Trust Score model training data.</w:t>
            </w:r>
          </w:p>
        </w:tc>
      </w:tr>
    </w:tbl>
    <w:p>
      <w:pPr>
        <w:spacing w:after="80" w:before="60"/>
        <w:jc w:val="both"/>
      </w:pPr>
      <w:r>
        <w:rPr>
          <w:rFonts w:ascii="Arial" w:cs="Arial" w:eastAsia="Arial" w:hAnsi="Arial"/>
          <w:sz w:val="20"/>
          <w:szCs w:val="20"/>
        </w:rPr>
        <w:t xml:space="preserve">Nothing in the NAAMPATA Legal Suite transfers any NAAMPATA intellectual property rights to any User, Business Owner, Affiliate Participant, or third party, except for the limited use licence expressly granted in the Terms of Service — Users (Document 2), Section 3. Any use of NAAMPATA intellectual property beyond the scope of that limited licence is an infringement and a material breach of the Legal Suite.</w:t>
      </w:r>
    </w:p>
    <w:p>
      <w:pPr>
        <w:pStyle w:val="Heading1"/>
      </w:pPr>
      <w:r>
        <w:rPr>
          <w:rFonts w:ascii="Arial" w:cs="Arial" w:eastAsia="Arial" w:hAnsi="Arial"/>
          <w:sz w:val="20"/>
          <w:szCs w:val="20"/>
        </w:rPr>
        <w:t xml:space="preserve">2. User Content Ownership &amp; Responsibility</w:t>
      </w:r>
    </w:p>
    <w:p>
      <w:pPr>
        <w:spacing w:after="80" w:before="60"/>
        <w:jc w:val="both"/>
      </w:pPr>
      <w:r>
        <w:rPr>
          <w:rFonts w:ascii="Arial" w:cs="Arial" w:eastAsia="Arial" w:hAnsi="Arial"/>
          <w:sz w:val="20"/>
          <w:szCs w:val="20"/>
        </w:rPr>
        <w:t xml:space="preserve">You retain ownership of original Content you independently create and submit to the Platform, subject to the Content Licence granted to NAAMPATA in the Terms of Service — Users (Document 2), Section 8.2. By submitting any Content, you represent and warrant that: (a) you own the Content or have all necessary rights and permissions to submit it; (b) the Content does not infringe any copyright, trademark, patent, trade secret, right of publicity, privacy right, or any other intellectual property or proprietary right of any third party; (c) NAAMPATA's use of the Content in accordance with the granted licence will not violate any third-party rights; and (d) you have obtained all consents necessary for any third-party personal data included in the Content. You bear sole and complete responsibility for any intellectual property infringement contained in Content you submit.</w:t>
      </w:r>
    </w:p>
    <w:p>
      <w:pPr>
        <w:pStyle w:val="Heading1"/>
      </w:pPr>
      <w:r>
        <w:rPr>
          <w:rFonts w:ascii="Arial" w:cs="Arial" w:eastAsia="Arial" w:hAnsi="Arial"/>
          <w:sz w:val="20"/>
          <w:szCs w:val="20"/>
        </w:rPr>
        <w:t xml:space="preserve">3. Copyright Infringement Notice — Procedure</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NAAMPATA respects the intellectual property rights of others and responds promptly to valid, complete infringement notices. Incomplete notices are invalid and will be returned for completion before processing. We do not accept partial notices.</w:t>
      </w:r>
    </w:p>
    <w:p>
      <w:pPr>
        <w:pStyle w:val="Heading2"/>
      </w:pPr>
      <w:r>
        <w:rPr>
          <w:rFonts w:ascii="Arial" w:cs="Arial" w:eastAsia="Arial" w:hAnsi="Arial"/>
          <w:sz w:val="20"/>
          <w:szCs w:val="20"/>
        </w:rPr>
        <w:t xml:space="preserve">3.1 Where to Submit</w:t>
      </w:r>
    </w:p>
    <w:p>
      <w:pPr>
        <w:spacing w:after="80" w:before="60"/>
        <w:jc w:val="both"/>
      </w:pPr>
      <w:r>
        <w:rPr>
          <w:rFonts w:ascii="Arial" w:cs="Arial" w:eastAsia="Arial" w:hAnsi="Arial"/>
          <w:sz w:val="20"/>
          <w:szCs w:val="20"/>
        </w:rPr>
        <w:t xml:space="preserve">Submit all copyright infringement notices EXCLUSIVELY by email to: legal@naampata.com. Subject line must be exactly: "IP Infringement Notice". We acknowledge valid notices within 5 business days.</w:t>
      </w:r>
    </w:p>
    <w:p>
      <w:pPr>
        <w:pStyle w:val="Heading2"/>
      </w:pPr>
      <w:r>
        <w:rPr>
          <w:rFonts w:ascii="Arial" w:cs="Arial" w:eastAsia="Arial" w:hAnsi="Arial"/>
          <w:sz w:val="20"/>
          <w:szCs w:val="20"/>
        </w:rPr>
        <w:t xml:space="preserve">3.2 Required Elements — All Must Be Present</w:t>
      </w:r>
    </w:p>
    <w:p>
      <w:pPr>
        <w:spacing w:after="80" w:before="60"/>
        <w:jc w:val="both"/>
      </w:pPr>
      <w:r>
        <w:rPr>
          <w:rFonts w:ascii="Arial" w:cs="Arial" w:eastAsia="Arial" w:hAnsi="Arial"/>
          <w:sz w:val="20"/>
          <w:szCs w:val="20"/>
        </w:rPr>
        <w:t xml:space="preserve">A valid copyright infringement notice MUST include ALL of the following elements. A notice missing any element is INVALID and will not be acted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 Element</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to Include</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Consequence of Omission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Identification of the Original Work</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Clearly identify the copyrighted work you claim has been infringed. For multiple works, a representative list with sufficient identifying detail is acceptable (e.g. title, author, publication date, ISBN, URL to the original).</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Identification of the Infringing Material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Identify the specific Content on the Platform you claim is infringing with sufficient precision to locate it: the full URL; the listing identifier; or a detailed description of its specific location on the Platform.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Your Contact Information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full legal name; email address; postal address (full street address, city, country); and telephone number including international dialling code.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Good-Faith Belief Statement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statement: "I have a good-faith belief that the use of the material described above is not authorised by the copyright owner, its agent, or applicable law."</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Accuracy &amp; Authority Declaration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statement, under penalty of applicable law: "The information in this notice is accurate, and I am the copyright owner or am authorised to act on behalf of the copyright owner of the exclusive right(s) that is/are allegedly infringed."</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6. Signature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physical or electronic signature, or the physical or electronic signature of the person authorised to act on behalf of the copyright owner.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Notice is INVALID without this element</w:t>
            </w:r>
          </w:p>
        </w:tc>
      </w:tr>
    </w:tbl>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BAD FAITH NOTICES — SERIOUS CONSEQUENCES: Knowingly submitting a materially false, misleading, or bad-faith infringement notice is a serious matter. It may expose you to civil liability for substantial damages, including all legal fees, costs of investigation, and consequential losses incurred by NAAMPATA, the Content submitter, and any other affected party. NAAMPATA expressly reserves all rights to pursue such claims in full.</w:t>
      </w:r>
    </w:p>
    <w:p>
      <w:pPr>
        <w:pStyle w:val="Heading2"/>
      </w:pPr>
      <w:r>
        <w:rPr>
          <w:rFonts w:ascii="Arial" w:cs="Arial" w:eastAsia="Arial" w:hAnsi="Arial"/>
          <w:sz w:val="20"/>
          <w:szCs w:val="20"/>
        </w:rPr>
        <w:t xml:space="preserve">3.3 Trademark Infringement Notices</w:t>
      </w:r>
    </w:p>
    <w:p>
      <w:pPr>
        <w:spacing w:after="80" w:before="60"/>
        <w:jc w:val="both"/>
      </w:pPr>
      <w:r>
        <w:rPr>
          <w:rFonts w:ascii="Arial" w:cs="Arial" w:eastAsia="Arial" w:hAnsi="Arial"/>
          <w:sz w:val="20"/>
          <w:szCs w:val="20"/>
        </w:rPr>
        <w:t xml:space="preserve">For trademark infringement concerns (as distinct from copyright), submit a written notice to legal@naampata.com (Subject: "IP Infringement Notice — Trademark") including: (i) identification of the registered trademark, registration number, jurisdiction of registration, and relevant class(es); (ii) identification of the allegedly infringing Content and its specific location on the Platform; (iii) a clear explanation of why you believe the use constitutes trademark infringement, passing off, or is likely to cause confusion; and (iv) your full contact information and written authority to act on behalf of the trademark owner (if you are acting as agent). Trademark notices are processed under the same procedure as copyright notices where applicable.</w:t>
      </w:r>
    </w:p>
    <w:p>
      <w:pPr>
        <w:pStyle w:val="Heading2"/>
      </w:pPr>
      <w:r>
        <w:rPr>
          <w:rFonts w:ascii="Arial" w:cs="Arial" w:eastAsia="Arial" w:hAnsi="Arial"/>
          <w:sz w:val="20"/>
          <w:szCs w:val="20"/>
        </w:rPr>
        <w:t xml:space="preserve">3.4 NAAMPATA's Response to a Valid Notice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348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5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NAAMPATA's Action</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Timing</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Receipt &amp; Validity Check</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Assess the notice for completeness and validity. Acknowledge valid notices.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5 business days of receipt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Content Review</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the identified Content against the notice and apply our editorial judgement.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a reasonable period based on complexity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Removal (if applicable)</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Content appears to infringe on its face, remove or disable access pending full investigation.</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Promptly upon determination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Notification to Submitter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Notify the Content submitter that an infringement notice has been received (without revealing the complainant's identity where disclosure would cause disproportionate harm) and provide information about the counter-notice process.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5 business days of removal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Resolution</w:t>
            </w:r>
          </w:p>
        </w:tc>
        <w:tc>
          <w:tcPr>
            <w:tcW w:type="dxa" w:w="5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Restore Content if investigation determines notice was invalid, in error, or submitted in bad faith.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Following investigation conclusion</w:t>
            </w:r>
          </w:p>
        </w:tc>
      </w:tr>
    </w:tbl>
    <w:p>
      <w:pPr>
        <w:pStyle w:val="Heading1"/>
      </w:pPr>
      <w:r>
        <w:rPr>
          <w:rFonts w:ascii="Arial" w:cs="Arial" w:eastAsia="Arial" w:hAnsi="Arial"/>
          <w:sz w:val="20"/>
          <w:szCs w:val="20"/>
        </w:rPr>
        <w:t xml:space="preserve">4. Copyright Counter-Notice Procedure</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If you believe your Content was incorrectly removed or access incorrectly disabled in response to an infringement notice, you may submit a counter-notice. Filing a counter-notice does NOT automatically result in restoration. NAAMPATA reviews each counter-notice on its merits.</w:t>
      </w:r>
    </w:p>
    <w:p>
      <w:pPr>
        <w:pStyle w:val="Heading2"/>
      </w:pPr>
      <w:r>
        <w:rPr>
          <w:rFonts w:ascii="Arial" w:cs="Arial" w:eastAsia="Arial" w:hAnsi="Arial"/>
          <w:sz w:val="20"/>
          <w:szCs w:val="20"/>
        </w:rPr>
        <w:t xml:space="preserve">4.1 Where to Submit</w:t>
      </w:r>
    </w:p>
    <w:p>
      <w:pPr>
        <w:spacing w:after="80" w:before="60"/>
        <w:jc w:val="both"/>
      </w:pPr>
      <w:r>
        <w:rPr>
          <w:rFonts w:ascii="Arial" w:cs="Arial" w:eastAsia="Arial" w:hAnsi="Arial"/>
          <w:sz w:val="20"/>
          <w:szCs w:val="20"/>
        </w:rPr>
        <w:t xml:space="preserve">Submit counter-notices EXCLUSIVELY by email to: legal@naampata.com. Subject line must be exactly: "IP Counter-Notice". We acknowledge valid counter-notices within 5 business days.</w:t>
      </w:r>
    </w:p>
    <w:p>
      <w:pPr>
        <w:pStyle w:val="Heading2"/>
      </w:pPr>
      <w:r>
        <w:rPr>
          <w:rFonts w:ascii="Arial" w:cs="Arial" w:eastAsia="Arial" w:hAnsi="Arial"/>
          <w:sz w:val="20"/>
          <w:szCs w:val="20"/>
        </w:rPr>
        <w:t xml:space="preserve">4.2 Required Elements — All Must Be Present</w:t>
      </w:r>
    </w:p>
    <w:p>
      <w:pPr>
        <w:spacing w:after="80" w:before="60"/>
        <w:jc w:val="both"/>
      </w:pPr>
      <w:r>
        <w:rPr>
          <w:rFonts w:ascii="Arial" w:cs="Arial" w:eastAsia="Arial" w:hAnsi="Arial"/>
          <w:sz w:val="20"/>
          <w:szCs w:val="20"/>
        </w:rPr>
        <w:t xml:space="preserve">A valid counter-notice MUST include ALL of the following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 Element</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to Include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Identification of Removed Content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Identify the specific Content that was removed or disabled and its location on the Platform before removal (the URL, listing ID, or detailed 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Good-Faith Belief Statement</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statement, under penalty of applicable law: "I have a good-faith belief that the Content was removed or access to it was disabled as a result of mistake or misidentification of the material."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Your Contact Information</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full legal name; postal address; telephone number; and email address.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Jurisdiction Consent Statement</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statement: "I consent to the jurisdiction of the courts of Lahore, Punjab, Pakistan for any legal dispute with the original complainant arising from this counter-notice; OR, for EU/EEA/UK residents, I consent to the jurisdiction of the courts of my country of residence."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Signature</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physical or electronic signature.</w:t>
            </w:r>
          </w:p>
        </w:tc>
      </w:tr>
    </w:tbl>
    <w:p>
      <w:pPr>
        <w:pStyle w:val="Heading2"/>
      </w:pPr>
      <w:r>
        <w:rPr>
          <w:rFonts w:ascii="Arial" w:cs="Arial" w:eastAsia="Arial" w:hAnsi="Arial"/>
          <w:sz w:val="20"/>
          <w:szCs w:val="20"/>
        </w:rPr>
        <w:t xml:space="preserve">4.3 Counter-Notice Process &amp;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28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4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Timing</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Validity Review</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reviews the counter-notice for completeness, validity, and good faith.</w:t>
            </w:r>
          </w:p>
        </w:tc>
        <w:tc>
          <w:tcPr>
            <w:tcW w:type="dxa" w:w="4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5 business days of receipt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Forward to Complainant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forwards the complete counter-notice to the original complainant.</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3 business days of validity confirmation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Complainant Response Window</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complainant has 14 calendar days to notify NAAMPATA that they have filed a court action in a competent jurisdiction seeking to restrain the activity.</w:t>
            </w:r>
          </w:p>
        </w:tc>
        <w:tc>
          <w:tcPr>
            <w:tcW w:type="dxa" w:w="4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14 calendar days from forwarding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Restoration Decision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If no court filing notification is received within 14 calendar days, NAAMPATA may restore the Content at its sole and absolute discretion.</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After 14-day window without court filing notification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Court Action Filed</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If the complainant notifies NAAMPATA of a filed court action within 14 calendar days, the Content remains removed pending court resolution or further instruction.</w:t>
            </w:r>
          </w:p>
        </w:tc>
        <w:tc>
          <w:tcPr>
            <w:tcW w:type="dxa" w:w="4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 of court proceedings or until resolved by agreement</w:t>
            </w:r>
          </w:p>
        </w:tc>
      </w:tr>
    </w:tbl>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NAAMPATA's decision to restore Content following a counter-notice is made at its SOLE AND ABSOLUTE DISCRETION. Filing a counter-notice does not guarantee restoration. NAAMPATA may decline to restore Content where it independently determines the Content violates any other provision of the Legal Suite, even if the IP infringement claim itself is unfounded.</w:t>
      </w:r>
    </w:p>
    <w:p>
      <w:pPr>
        <w:pStyle w:val="Heading1"/>
      </w:pPr>
      <w:r>
        <w:rPr>
          <w:rFonts w:ascii="Arial" w:cs="Arial" w:eastAsia="Arial" w:hAnsi="Arial"/>
          <w:sz w:val="20"/>
          <w:szCs w:val="20"/>
        </w:rPr>
        <w:t xml:space="preserve">5. Safe Harbour Position</w:t>
      </w:r>
    </w:p>
    <w:p>
      <w:pPr>
        <w:spacing w:after="80" w:before="60"/>
        <w:jc w:val="both"/>
      </w:pPr>
      <w:r>
        <w:rPr>
          <w:rFonts w:ascii="Arial" w:cs="Arial" w:eastAsia="Arial" w:hAnsi="Arial"/>
          <w:sz w:val="20"/>
          <w:szCs w:val="20"/>
        </w:rPr>
        <w:t xml:space="preserve">NAAMPATA operates as a technology intermediary and online service provider within the meaning of applicable copyright safe harbour provisions. NAAMPATA's compliance with valid takedown procedures and counter-notice procedures described in this Policy is intended to qualify NAAMPATA for safe harbour protection under Pakistan's Copyright Ordinance 1962 and analogous provisions in applicable international copyright frameworks (including those modelled on DMCA Section 512), to the maximum extent available under applicable law. NAAMPATA's removal of or disabling of access to Content in good-faith response to a valid notice is not an admission of infringement and does not constitute a concession that the removed Content was in fact infringing. NAAMPATA expressly disclaims all liability in connection with content takedowns conducted in good faith.</w:t>
      </w:r>
    </w:p>
    <w:p>
      <w:pPr>
        <w:pStyle w:val="Heading1"/>
      </w:pPr>
      <w:r>
        <w:rPr>
          <w:rFonts w:ascii="Arial" w:cs="Arial" w:eastAsia="Arial" w:hAnsi="Arial"/>
          <w:sz w:val="20"/>
          <w:szCs w:val="20"/>
        </w:rPr>
        <w:t xml:space="preserve">6. Repeat Infringer Policy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MANDATORY REPEAT INFRINGER POLICY: Any User or Business subject to THREE OR MORE UPHELD infringement notices within any rolling 12-month period WILL HAVE THEIR ACCOUNT PERMANENTLY BANNED without further notice, without further warning, and without appeal. Applied consistently and without exception.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tblHeader/>
        </w:trPr>
        <w:tc>
          <w:tcPr>
            <w:tcW w:type="dxa" w:w="6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Scenario</w:t>
            </w:r>
          </w:p>
        </w:tc>
        <w:tc>
          <w:tcPr>
            <w:tcW w:type="dxa" w:w="4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Counts Toward the 3-Strike Threshold?</w:t>
            </w:r>
          </w:p>
        </w:tc>
      </w:tr>
      <w:tr>
        <w:tc>
          <w:tcPr>
            <w:tcW w:type="dxa" w:w="6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Infringement notice upheld by NAAMPATA: Content removed or access disabled, AND not restored after the counter-notice process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counts as 1 upheld notice</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Counter-notice successfully filed and Content subsequently restored by NAAMPATA</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does NOT count toward threshold</w:t>
            </w:r>
          </w:p>
        </w:tc>
      </w:tr>
      <w:tr>
        <w:tc>
          <w:tcPr>
            <w:tcW w:type="dxa" w:w="6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Infringement notice found to be invalid, in error, or submitted in bad faith by NAAMPATA's review</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does NOT count toward threshold</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Infringement notice withdrawn by the complainant before NAAMPATA takes action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does NOT count toward threshold</w:t>
            </w:r>
          </w:p>
        </w:tc>
      </w:tr>
      <w:tr>
        <w:tc>
          <w:tcPr>
            <w:tcW w:type="dxa" w:w="6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NAAMPATA-initiated content removal for violation of other Legal Suite provisions (not related to a third-party IP claim)</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handled under separate enforcement track</w:t>
            </w:r>
          </w:p>
        </w:tc>
      </w:tr>
    </w:tbl>
    <w:p>
      <w:pPr>
        <w:spacing w:after="80" w:before="60"/>
        <w:jc w:val="both"/>
      </w:pPr>
      <w:r>
        <w:rPr>
          <w:rFonts w:ascii="Arial" w:cs="Arial" w:eastAsia="Arial" w:hAnsi="Arial"/>
          <w:sz w:val="20"/>
          <w:szCs w:val="20"/>
        </w:rPr>
        <w:t xml:space="preserve">The 12-month rolling window begins from the date of each upheld notice — not a fixed calendar period. Permanent bans under this policy are applied across all associated account identifiers including email address, phone number, device fingerprint, and IP addresses.</w:t>
      </w:r>
    </w:p>
    <w:p>
      <w:pPr>
        <w:pStyle w:val="Heading1"/>
      </w:pPr>
      <w:r>
        <w:rPr>
          <w:rFonts w:ascii="Arial" w:cs="Arial" w:eastAsia="Arial" w:hAnsi="Arial"/>
          <w:sz w:val="20"/>
          <w:szCs w:val="20"/>
        </w:rPr>
        <w:t xml:space="preserve">7. Proactive IP Enforcement by NAAMPATA</w:t>
      </w:r>
    </w:p>
    <w:p>
      <w:pPr>
        <w:spacing w:after="80" w:before="60"/>
        <w:jc w:val="both"/>
      </w:pPr>
      <w:r>
        <w:rPr>
          <w:rFonts w:ascii="Arial" w:cs="Arial" w:eastAsia="Arial" w:hAnsi="Arial"/>
          <w:sz w:val="20"/>
          <w:szCs w:val="20"/>
        </w:rPr>
        <w:t xml:space="preserve">In addition to responding to user-submitted notices, NAAMPATA may at any time proactively remove or disable access to Content that it determines in its sole and absolute discretion to infringe or potentially infringe third-party intellectual property rights, even in the complete absence of a formal complaint or notice. Such proactive removal is entirely at NAAMPATA's discretion. It does not: create any obligation on NAAMPATA to actively monitor the Platform for infringement; create any precedent or obligation to take similar action in other cases; constitute any warranty that the Platform is free of infringing content; or give rise to any liability on NAAMPATA's part for failing to identify or remove any particular infringing content.</w:t>
      </w:r>
    </w:p>
    <w:p>
      <w:pPr>
        <w:pStyle w:val="Heading1"/>
      </w:pPr>
      <w:r>
        <w:rPr>
          <w:rFonts w:ascii="Arial" w:cs="Arial" w:eastAsia="Arial" w:hAnsi="Arial"/>
          <w:sz w:val="20"/>
          <w:szCs w:val="20"/>
        </w:rPr>
        <w:t xml:space="preserve">8. NAAMPATA Brand Usage — Third-Party Authorisation</w:t>
      </w:r>
    </w:p>
    <w:p>
      <w:pPr>
        <w:spacing w:after="80" w:before="60"/>
        <w:jc w:val="both"/>
      </w:pPr>
      <w:r>
        <w:rPr>
          <w:rFonts w:ascii="Arial" w:cs="Arial" w:eastAsia="Arial" w:hAnsi="Arial"/>
          <w:sz w:val="20"/>
          <w:szCs w:val="20"/>
        </w:rPr>
        <w:t xml:space="preserve">Use of NAAMPATA's name, wordmark, logo, device mark, or any other brand asset by any third party — including Affiliate Participants, Business Owners, developers, or media outlets — requires prior written authorisation from NAAMPATA. For brand usage requests: legal@naampata.com (Subject: "Brand Usage Request"). Unauthorised use of NAAMPATA brand assets may constitute trademark infringement under Pakistan's Trade Marks Ordinance 2001 and breach of the Legal Suite, both of which NAAMPATA will pursue.</w:t>
      </w:r>
    </w:p>
    <w:p>
      <w:pPr>
        <w:spacing w:after="80" w:before="60"/>
        <w:jc w:val="both"/>
      </w:pPr>
      <w:r>
        <w:rPr>
          <w:rFonts w:ascii="Arial" w:cs="Arial" w:eastAsia="Arial" w:hAnsi="Arial"/>
          <w:sz w:val="20"/>
          <w:szCs w:val="20"/>
        </w:rPr>
        <w:t xml:space="preserve">Affiliate Participants granted a limited attribution licence under the Affiliate &amp; Commission Policy (Document 8) may use the NAAMPATA name solely for required, factual attribution purposes (e.g. "Powered by NAAMPATA" or as specifically directed by NAAMPATA in writing) and must comply strictly with any NAAMPATA brand guidelines. No other use of NAAMPATA's brand assets is authorised by that licence.</w:t>
      </w:r>
    </w:p>
    <w:p>
      <w:pPr>
        <w:pStyle w:val="Heading1"/>
      </w:pPr>
      <w:r>
        <w:rPr>
          <w:rFonts w:ascii="Arial" w:cs="Arial" w:eastAsia="Arial" w:hAnsi="Arial"/>
          <w:sz w:val="20"/>
          <w:szCs w:val="20"/>
        </w:rPr>
        <w:t xml:space="preserve">9. Open Source Components</w:t>
      </w:r>
    </w:p>
    <w:p>
      <w:pPr>
        <w:spacing w:after="80" w:before="60"/>
        <w:jc w:val="both"/>
      </w:pPr>
      <w:r>
        <w:rPr>
          <w:rFonts w:ascii="Arial" w:cs="Arial" w:eastAsia="Arial" w:hAnsi="Arial"/>
          <w:sz w:val="20"/>
          <w:szCs w:val="20"/>
        </w:rPr>
        <w:t xml:space="preserve">The Platform incorporates open source software components and third-party libraries, each governed by their respective open source licences (including but not limited to MIT, Apache 2.0, and BSD licences). NAAMPATA complies with all applicable open source licence obligations. Nothing in the Legal Suite transfers any rights in open source components to Platform users. The use of open source components does not affect the proprietary status of NAAMPATA's own code, algorithms, and data.</w:t>
      </w:r>
    </w:p>
    <w:p>
      <w:pPr>
        <w:pStyle w:val="Heading1"/>
      </w:pPr>
      <w:r>
        <w:rPr>
          <w:rFonts w:ascii="Arial" w:cs="Arial" w:eastAsia="Arial" w:hAnsi="Arial"/>
          <w:sz w:val="20"/>
          <w:szCs w:val="20"/>
        </w:rPr>
        <w:t xml:space="preserve">10. All IP &amp; Brand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Matter</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Contact</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 Subject Line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Copyright Infringement Notice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"IP Infringement Notice"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Trademark Infringement Notice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"IP Infringement Notice — Trademark"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Copyright Counter-Notice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"IP Counter-Notice"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Brand Usage Request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"Brand Usage Request"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Licence Query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Licence Query"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Vulnerability Disclosure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Vulnerability Disclosure"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Open Source Licence Query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"Open Source Licence Query"</w:t>
            </w:r>
          </w:p>
        </w:tc>
      </w:tr>
    </w:tbl>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Indemnification</w:t>
      </w:r>
    </w:p>
    <w:p>
      <w:pPr>
        <w:spacing w:after="80" w:before="60"/>
        <w:jc w:val="both"/>
      </w:pPr>
      <w:r>
        <w:rPr>
          <w:rFonts w:ascii="Arial" w:cs="Arial" w:eastAsia="Arial" w:hAnsi="Arial"/>
          <w:sz w:val="20"/>
          <w:szCs w:val="20"/>
        </w:rPr>
        <w:t xml:space="preserve">To the maximum extent permitted by applicable law, you agree to indemnify, defend at NAAMPATA's request, and hold harmless the NAAMPATA Parties from and against all claims, liabilities, damages, losses, judgments, fines, costs, and expenses (including reasonable legal fees and costs of investigation) arising out of or in connection with: (a) your access to or use of the Platform in breach of the Legal Suite; (b) any Content you submit, post, transmit, or make available through the Platform; (c) your violation of any applicable law, regulation, or third-party right, including intellectual property, privacy, and consumer protection rights; (d) any misrepresentation, false registration, or misleading information you provide; (e) any transaction, dispute, or commercial relationship between you and any other User, Business, or third party; or (f) your breach of any representation, warranty, or obligation under the Legal Suite. NAAMPATA reserves the right to assume exclusive defence and control of any matter otherwise subject to indemnification by you, at your expense. You shall cooperate fully with NAAMPATA's defence of any such claim. This indemnification obligation survives any termination of these Terms.</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2026-05-27T18:39:03.923Z</dcterms:created>
  <dcterms:modified xsi:type="dcterms:W3CDTF">2026-05-27T18:39:03.923Z</dcterms:modified>
</cp:coreProperties>
</file>

<file path=docProps/custom.xml><?xml version="1.0" encoding="utf-8"?>
<Properties xmlns="http://schemas.openxmlformats.org/officeDocument/2006/custom-properties" xmlns:vt="http://schemas.openxmlformats.org/officeDocument/2006/docPropsVTypes"/>
</file>