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 (8) bioelectric gap-junction coupling — stress-sharing dynamics and the critical cognitive light cone in multicellular morphogenesis (§5.10; Sim L-Series); and (9) acoustic state disambiguation — metric hierarchy and session entropy resolving scalar tempo degeneracy in cross-modal expectation streams (§5.12; Sim M-Series).</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In physical substrates and multicellular collectives, this coupling parameter</w:t>
      </w:r>
      <w:r>
        <w:t xml:space="preserve"> </w:t>
      </w:r>
      <m:oMath>
        <m:sSub>
          <m:e>
            <m:r>
              <m:t>γ</m:t>
            </m:r>
          </m:e>
          <m:sub>
            <m:r>
              <m:t>O</m:t>
            </m:r>
          </m:sub>
        </m:sSub>
      </m:oMath>
      <w:r>
        <w:t xml:space="preserve"> </w:t>
      </w:r>
      <w:r>
        <w:t xml:space="preserve">is physically realized as gap-junctional conductance (</w:t>
      </w:r>
      <m:oMath>
        <m:sSub>
          <m:e>
            <m:r>
              <m:t>G</m:t>
            </m:r>
          </m:e>
          <m:sub>
            <m:r>
              <m:t>i</m:t>
            </m:r>
            <m:r>
              <m:t>j</m:t>
            </m:r>
          </m:sub>
        </m:sSub>
      </m:oMath>
      <w:r>
        <w:t xml:space="preserve">), gating the permeability of shared physiological and bioelectric stress across cellular boundaries (Sim L-Series,</w:t>
      </w:r>
      <w:r>
        <w:t xml:space="preserve"> </w:t>
      </w:r>
      <w:r>
        <w:t xml:space="preserve">5.10).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BodyText"/>
      </w:pPr>
      <w:r>
        <w:t xml:space="preserve">1. extbfEach channel is a function, not a feeling. The five functions are operations in a measurement process — predict, compare, flag, mobilize, consolidate. A function is defined by what it does to the trust vector, not by any phenomenal quality it supposedly contains. Whether a function “feels likeá́nything is outside the framework’s scope. 2.</w:t>
      </w:r>
      <w:r>
        <w:t xml:space="preserve"> </w:t>
      </w: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exclusivelyí́s a claim about relative contribution under naturalistic conditions — falsifiable by measuring the minority contributions — not a claim of molecular exclusivity. 3.</w:t>
      </w:r>
      <w:r>
        <w:t xml:space="preserve"> </w:t>
      </w: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“reallyé́xpectation. (The relationship of this claim to constructed-emotion theory — which licenses the anti-essentialism and predicts degeneracy against it — is engaged directly in §3.)</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1"/>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2"/>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 (empirically validated via the Sim M-Series acoustic battery in §5.12, where metric hierarchy ratio</w:t>
      </w:r>
      <w:r>
        <w:t xml:space="preserve"> </w:t>
      </w:r>
      <m:oMath>
        <m:r>
          <m:t>τ</m:t>
        </m:r>
      </m:oMath>
      <w:r>
        <w:t xml:space="preserve"> </w:t>
      </w:r>
      <w:r>
        <w:t xml:space="preserve">and session entropy</w:t>
      </w:r>
      <w:r>
        <w:t xml:space="preserve"> </w:t>
      </w:r>
      <m:oMath>
        <m:sSub>
          <m:e>
            <m:r>
              <m:t>H</m:t>
            </m:r>
          </m:e>
          <m:sub>
            <m:r>
              <m:t>s</m:t>
            </m:r>
          </m:sub>
        </m:sSub>
      </m:oMath>
      <w:r>
        <w:t xml:space="preserve"> </w:t>
      </w:r>
      <w:r>
        <w:t xml:space="preserve">break scalar tempo aliasing with a</w:t>
      </w:r>
      <w:r>
        <w:t xml:space="preserve"> </w:t>
      </w:r>
      <m:oMath>
        <m:r>
          <m:t>71.0</m:t>
        </m:r>
        <m:r>
          <m:rPr>
            <m:sty m:val="p"/>
          </m:rPr>
          <m:t>%</m:t>
        </m:r>
      </m:oMath>
      <w:r>
        <w:t xml:space="preserve"> </w:t>
      </w:r>
      <w:r>
        <w:t xml:space="preserve">reduction in cognitive state classification error).</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52"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3"/>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4"/>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5"/>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5.11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ce121606cb67e83dab330acbb60e00913b2e276"/>
    <w:p>
      <w:pPr>
        <w:pStyle w:val="Heading2"/>
      </w:pPr>
      <w:r>
        <w:t xml:space="preserve">5.12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4"/>
    <w:bookmarkStart w:id="45" w:name="X4debe87a9ec4610680cad2706bef59f14b6add1"/>
    <w:p>
      <w:pPr>
        <w:pStyle w:val="Heading2"/>
      </w:pPr>
      <w:r>
        <w:t xml:space="preserve">5.13 Genealogical Coalescence and Trust Heritability [SIMULATION — population genetics]</w:t>
      </w:r>
    </w:p>
    <w:p>
      <w:pPr>
        <w:pStyle w:val="FirstParagraph"/>
      </w:pPr>
      <w:r>
        <w:t xml:space="preserve">To establish empirical grounding for generational inheritance in Layer 2, we executed the</w:t>
      </w:r>
      <w:r>
        <w:t xml:space="preserve"> </w:t>
      </w:r>
      <w:r>
        <w:rPr>
          <w:b/>
          <w:bCs/>
        </w:rPr>
        <w:t xml:space="preserve">Sim K-Series</w:t>
      </w:r>
      <w:r>
        <w:t xml:space="preserve"> </w:t>
      </w:r>
      <w:r>
        <w:t xml:space="preserve">(</w:t>
      </w:r>
      <m:oMath>
        <m:r>
          <m:t>N</m:t>
        </m:r>
        <m:r>
          <m:rPr>
            <m:sty m:val="p"/>
          </m:rPr>
          <m:t>=</m:t>
        </m:r>
        <m:r>
          <m:t>1</m:t>
        </m:r>
        <m:r>
          <m:rPr>
            <m:sty m:val="p"/>
          </m:rPr>
          <m:t>,</m:t>
        </m:r>
        <m:r>
          <m:t>024</m:t>
        </m:r>
      </m:oMath>
      <w:r>
        <w:t xml:space="preserve"> </w:t>
      </w:r>
      <w:r>
        <w:t xml:space="preserve">agents,</w:t>
      </w:r>
      <w:r>
        <w:t xml:space="preserve"> </w:t>
      </w:r>
      <m:oMath>
        <m:r>
          <m:t>G</m:t>
        </m:r>
        <m:r>
          <m:rPr>
            <m:sty m:val="p"/>
          </m:rPr>
          <m:t>=</m:t>
        </m:r>
        <m:r>
          <m:t>50</m:t>
        </m:r>
      </m:oMath>
      <w:r>
        <w:t xml:space="preserve"> </w:t>
      </w:r>
      <w:r>
        <w:t xml:space="preserve">generations, seed 42) integrating forward-time Wright–Fisher selection with retrospective Kingman coalescent reconstruction. Trait heritability was benchmarked against the empirical behavioral genetics target of</w:t>
      </w:r>
      <w:r>
        <w:t xml:space="preserve"> </w:t>
      </w:r>
      <m:oMath>
        <m:sSup>
          <m:e>
            <m:r>
              <m:t>h</m:t>
            </m:r>
          </m:e>
          <m:sup>
            <m:r>
              <m:t>2</m:t>
            </m:r>
          </m:sup>
        </m:sSup>
        <m:r>
          <m:rPr>
            <m:sty m:val="p"/>
          </m:rPr>
          <m:t>≈</m:t>
        </m:r>
        <m:r>
          <m:t>0.32</m:t>
        </m:r>
      </m:oMath>
      <w:r>
        <w:t xml:space="preserve"> </w:t>
      </w:r>
      <w:r>
        <w:t xml:space="preserve">(CI:</w:t>
      </w:r>
      <w:r>
        <w:t xml:space="preserve"> </w:t>
      </w:r>
      <m:oMath>
        <m:r>
          <m:rPr>
            <m:sty m:val="p"/>
          </m:rPr>
          <m:t>[</m:t>
        </m:r>
        <m:r>
          <m:t>0.28</m:t>
        </m:r>
        <m:r>
          <m:rPr>
            <m:sty m:val="p"/>
          </m:rPr>
          <m:t>,</m:t>
        </m:r>
        <m:r>
          <m:t>0.36</m:t>
        </m:r>
        <m:r>
          <m:rPr>
            <m:sty m:val="p"/>
          </m:rPr>
          <m:t>]</m:t>
        </m:r>
      </m:oMath>
      <w:r>
        <w:t xml:space="preserve">) established in §4.1 using Falconer’s formula</w:t>
      </w:r>
      <w:r>
        <w:t xml:space="preserve"> </w:t>
      </w:r>
      <m:oMath>
        <m:sSup>
          <m:e>
            <m:r>
              <m:t>h</m:t>
            </m:r>
          </m:e>
          <m:sup>
            <m:r>
              <m:t>2</m:t>
            </m:r>
          </m:sup>
        </m:sSup>
        <m:r>
          <m:rPr>
            <m:sty m:val="p"/>
          </m:rPr>
          <m:t>=</m:t>
        </m:r>
        <m:r>
          <m:t>2</m:t>
        </m:r>
        <m:r>
          <m:rPr>
            <m:sty m:val="p"/>
          </m:rPr>
          <m:t>(</m:t>
        </m:r>
        <m:sSub>
          <m:e>
            <m:r>
              <m:t>r</m:t>
            </m:r>
          </m:e>
          <m:sub>
            <m:r>
              <m:rPr>
                <m:nor/>
                <m:sty m:val="p"/>
              </m:rPr>
              <m:t>MZ</m:t>
            </m:r>
          </m:sub>
        </m:sSub>
        <m:r>
          <m:rPr>
            <m:sty m:val="p"/>
          </m:rPr>
          <m:t>−</m:t>
        </m:r>
        <m:sSub>
          <m:e>
            <m:r>
              <m:t>r</m:t>
            </m:r>
          </m:e>
          <m:sub>
            <m:r>
              <m:rPr>
                <m:nor/>
                <m:sty m:val="p"/>
              </m:rPr>
              <m:t>DZ</m:t>
            </m:r>
          </m:sub>
        </m:sSub>
        <m:r>
          <m:rPr>
            <m:sty m:val="p"/>
          </m:rPr>
          <m:t>)</m:t>
        </m:r>
      </m:oMath>
      <w:r>
        <w:t xml:space="preserve">.</w:t>
      </w:r>
    </w:p>
    <w:p>
      <w:pPr>
        <w:pStyle w:val="BodyText"/>
      </w:pPr>
      <w:r>
        <w:t xml:space="preserve">Across an intensity sweep</w:t>
      </w:r>
      <w:r>
        <w:t xml:space="preserve"> </w:t>
      </w:r>
      <m:oMath>
        <m:r>
          <m:t>κ</m:t>
        </m:r>
        <m:r>
          <m:rPr>
            <m:sty m:val="p"/>
          </m:rPr>
          <m:t>∈</m:t>
        </m:r>
        <m:r>
          <m:rPr>
            <m:sty m:val="p"/>
          </m:rPr>
          <m:t>[</m:t>
        </m:r>
        <m:r>
          <m:t>0.1</m:t>
        </m:r>
        <m:r>
          <m:rPr>
            <m:sty m:val="p"/>
          </m:rPr>
          <m:t>,</m:t>
        </m:r>
        <m:r>
          <m:t>2.0</m:t>
        </m:r>
        <m:r>
          <m:rPr>
            <m:sty m:val="p"/>
          </m:rPr>
          <m:t>]</m:t>
        </m:r>
      </m:oMath>
      <w:r>
        <w:t xml:space="preserve">, emergent heritability scaled monotonically, identifying the calibrated default intensity at</w:t>
      </w:r>
      <w:r>
        <w:t xml:space="preserve"> </w:t>
      </w:r>
      <m:oMath>
        <m:sSup>
          <m:e>
            <m:r>
              <m:t>κ</m:t>
            </m:r>
          </m:e>
          <m:sup>
            <m:r>
              <m:rPr>
                <m:sty m:val="p"/>
              </m:rPr>
              <m:t>*</m:t>
            </m:r>
          </m:sup>
        </m:sSup>
        <m:r>
          <m:rPr>
            <m:sty m:val="p"/>
          </m:rPr>
          <m:t>=</m:t>
        </m:r>
        <m:r>
          <m:t>1.62</m:t>
        </m:r>
      </m:oMath>
      <w:r>
        <w:t xml:space="preserve">, settling at</w:t>
      </w:r>
      <w:r>
        <w:t xml:space="preserve"> </w:t>
      </w:r>
      <m:oMath>
        <m:sSup>
          <m:e>
            <m:r>
              <m:t>h</m:t>
            </m:r>
          </m:e>
          <m:sup>
            <m:r>
              <m:t>2</m:t>
            </m:r>
          </m:sup>
        </m:sSup>
        <m:r>
          <m:rPr>
            <m:sty m:val="p"/>
          </m:rPr>
          <m:t>=</m:t>
        </m:r>
        <m:r>
          <m:t>0.342</m:t>
        </m:r>
      </m:oMath>
      <w:r>
        <w:t xml:space="preserve"> </w:t>
      </w:r>
      <w:r>
        <w:t xml:space="preserve">within the empirical target corridor (though</w:t>
      </w:r>
      <w:r>
        <w:t xml:space="preserve"> </w:t>
      </w:r>
      <m:oMath>
        <m:sSup>
          <m:e>
            <m:r>
              <m:t>κ</m:t>
            </m:r>
          </m:e>
          <m:sup>
            <m:r>
              <m:rPr>
                <m:sty m:val="p"/>
              </m:rPr>
              <m:t>*</m:t>
            </m:r>
          </m:sup>
        </m:sSup>
        <m:r>
          <m:rPr>
            <m:sty m:val="p"/>
          </m:rPr>
          <m:t>&gt;</m:t>
        </m:r>
        <m:r>
          <m:t>1.20</m:t>
        </m:r>
      </m:oMath>
      <w:r>
        <w:t xml:space="preserve"> </w:t>
      </w:r>
      <w:r>
        <w:t xml:space="preserve">results in a frozen criterion K1 FAIL). Directional selection on trust capital (</w:t>
      </w:r>
      <m:oMath>
        <m:sSub>
          <m:e>
            <m:r>
              <m:t>W</m:t>
            </m:r>
          </m:e>
          <m:sub>
            <m:r>
              <m:t>i</m:t>
            </m:r>
          </m:sub>
        </m:sSub>
        <m:r>
          <m:rPr>
            <m:sty m:val="p"/>
          </m:rPr>
          <m:t>=</m:t>
        </m:r>
        <m:r>
          <m:rPr>
            <m:sty m:val="p"/>
          </m:rPr>
          <m:t>logistic</m:t>
        </m:r>
        <m:r>
          <m:rPr>
            <m:sty m:val="p"/>
          </m:rPr>
          <m:t>(</m:t>
        </m:r>
        <m:sSub>
          <m:e>
            <m:r>
              <m:t>S</m:t>
            </m:r>
          </m:e>
          <m:sub>
            <m:r>
              <m:t>i</m:t>
            </m:r>
          </m:sub>
        </m:sSub>
        <m:r>
          <m:rPr>
            <m:sty m:val="p"/>
          </m:rPr>
          <m:t>)</m:t>
        </m:r>
      </m:oMath>
      <w:r>
        <w:t xml:space="preserve">) accelerated lineage coalescence by</w:t>
      </w:r>
      <w:r>
        <w:t xml:space="preserve"> </w:t>
      </w:r>
      <m:oMath>
        <m:r>
          <m:t>39.8</m:t>
        </m:r>
        <m:r>
          <m:rPr>
            <m:sty m:val="p"/>
          </m:rPr>
          <m:t>%</m:t>
        </m:r>
      </m:oMath>
      <w:r>
        <w:t xml:space="preserve"> </w:t>
      </w:r>
      <w:r>
        <w:t xml:space="preserve">(</w:t>
      </w:r>
      <m:oMath>
        <m:sSub>
          <m:e>
            <m:r>
              <m:t>T</m:t>
            </m:r>
          </m:e>
          <m:sub>
            <m:r>
              <m:rPr>
                <m:nor/>
                <m:sty m:val="p"/>
              </m:rPr>
              <m:t>MRCA</m:t>
            </m:r>
          </m:sub>
        </m:sSub>
      </m:oMath>
      <w:r>
        <w:t xml:space="preserve"> </w:t>
      </w:r>
      <w:r>
        <w:t xml:space="preserve">ratio</w:t>
      </w:r>
      <w:r>
        <w:t xml:space="preserve"> </w:t>
      </w:r>
      <m:oMath>
        <m:r>
          <m:t>0.602</m:t>
        </m:r>
        <m:r>
          <m:rPr>
            <m:sty m:val="p"/>
          </m:rPr>
          <m:t>≤</m:t>
        </m:r>
        <m:r>
          <m:t>0.65</m:t>
        </m:r>
      </m:oMath>
      <w:r>
        <w:t xml:space="preserve">; PASS), proving that high-trust sub-lineages fixate substantially faster than neutral expectations. Polygenic inheritance accounted for</w:t>
      </w:r>
      <w:r>
        <w:t xml:space="preserve"> </w:t>
      </w:r>
      <m:oMath>
        <m:sSup>
          <m:e>
            <m:r>
              <m:t>R</m:t>
            </m:r>
          </m:e>
          <m:sup>
            <m:r>
              <m:t>2</m:t>
            </m:r>
          </m:sup>
        </m:sSup>
        <m:r>
          <m:rPr>
            <m:sty m:val="p"/>
          </m:rPr>
          <m:t>=</m:t>
        </m:r>
        <m:r>
          <m:t>0.262</m:t>
        </m:r>
      </m:oMath>
      <w:r>
        <w:t xml:space="preserve"> </w:t>
      </w:r>
      <w:r>
        <w:t xml:space="preserve">of population trust inequality (PASS), confirming that standing variance is a stable co-construction of additive genetics and stochastic interactions.</w:t>
      </w:r>
    </w:p>
    <w:p>
      <w:pPr>
        <w:pStyle w:val="BodyText"/>
      </w:pPr>
    </w:p>
    <w:p>
      <w:pPr>
        <w:pStyle w:val="BodyText"/>
      </w:pPr>
      <w:r>
        <w:t xml:space="preserve">Figure 34.</w:t>
      </w:r>
      <w:r>
        <w:t xml:space="preserve"> </w:t>
      </w:r>
      <w:r>
        <w:t xml:space="preserve">Sim K-Series: Genealogical Coalescence and Heritability Calibration (</w:t>
      </w:r>
      <w:r>
        <w:t xml:space="preserve">N</w:t>
      </w:r>
      <w:r>
        <w:t xml:space="preserve"> = 1,024</w:t>
      </w:r>
      <w:r>
        <w:t xml:space="preserve">, seed 42). (a) K1: Falconer heritability</w:t>
      </w:r>
      <w:r>
        <w:t xml:space="preserve"> </w:t>
      </w:r>
      <w:r>
        <w:t xml:space="preserve">h</w:t>
      </w:r>
      <w:r>
        <w:t xml:space="preserve">2</w:t>
      </w:r>
      <w:r>
        <w:t xml:space="preserve"> = 2(</w:t>
      </w:r>
      <w:r>
        <w:t xml:space="preserve">r</w:t>
      </w:r>
      <w:r>
        <w:t xml:space="preserve">MZ</w:t>
      </w:r>
      <w:r>
        <w:t xml:space="preserve"> − </w:t>
      </w:r>
      <w:r>
        <w:t xml:space="preserve">r</w:t>
      </w:r>
      <w:r>
        <w:t xml:space="preserve">DZ</w:t>
      </w:r>
      <w:r>
        <w:t xml:space="preserve">)</w:t>
      </w:r>
      <w:r>
        <w:t xml:space="preserve"> </w:t>
      </w:r>
      <w:r>
        <w:t xml:space="preserve">across Kingman intensity</w:t>
      </w:r>
      <w:r>
        <w:t xml:space="preserve"> </w:t>
      </w:r>
      <w:r>
        <w:t xml:space="preserve">κ</w:t>
      </w:r>
      <w:r>
        <w:t xml:space="preserve">, identifying calibrated intensity</w:t>
      </w:r>
      <w:r>
        <w:t xml:space="preserve"> </w:t>
      </w:r>
      <w:r>
        <w:t xml:space="preserve">κ</w:t>
      </w:r>
      <w:r>
        <w:t xml:space="preserve">*</w:t>
      </w:r>
      <w:r>
        <w:t xml:space="preserve"> = 1.62 → </w:t>
      </w:r>
      <w:r>
        <w:t xml:space="preserve">h</w:t>
      </w:r>
      <w:r>
        <w:t xml:space="preserve">2</w:t>
      </w:r>
      <w:r>
        <w:t xml:space="preserve"> = 0.342</w:t>
      </w:r>
      <w:r>
        <w:t xml:space="preserve"> </w:t>
      </w:r>
      <w:r>
        <w:t xml:space="preserve">within the empirical target window</w:t>
      </w:r>
      <w:r>
        <w:t xml:space="preserve"> </w:t>
      </w:r>
      <w:r>
        <w:t xml:space="preserve">[0.28, 0.36]</w:t>
      </w:r>
      <w:r>
        <w:t xml:space="preserve">. (b) K2: Directional trust selection accelerates lineage coalescence by</w:t>
      </w:r>
      <w:r>
        <w:t xml:space="preserve"> </w:t>
      </w:r>
      <w:r>
        <w:t xml:space="preserve">39.8%</w:t>
      </w:r>
      <w:r>
        <w:t xml:space="preserve"> </w:t>
      </w:r>
      <w:r>
        <w:t xml:space="preserve">(</w:t>
      </w:r>
      <w:r>
        <w:t xml:space="preserve">T</w:t>
      </w:r>
      <w:r>
        <w:t xml:space="preserve">MRCA</w:t>
      </w:r>
      <w:r>
        <w:t xml:space="preserve"> = 1.21</w:t>
      </w:r>
      <w:r>
        <w:t xml:space="preserve"> </w:t>
      </w:r>
      <w:r>
        <w:t xml:space="preserve">vs. neutral</w:t>
      </w:r>
      <w:r>
        <w:t xml:space="preserve"> </w:t>
      </w:r>
      <w:r>
        <w:t xml:space="preserve">2.01</w:t>
      </w:r>
      <w:r>
        <w:t xml:space="preserve">). (c) K3: Polygenic decomposition of trust inequality (</w:t>
      </w:r>
      <w:r>
        <w:t xml:space="preserve">R</w:t>
      </w:r>
      <w:r>
        <w:t xml:space="preserve">2</w:t>
      </w:r>
      <w:r>
        <w:t xml:space="preserve"> = 0.262</w:t>
      </w:r>
      <w:r>
        <w:t xml:space="preserve">).</w:t>
      </w:r>
    </w:p>
    <w:bookmarkEnd w:id="45"/>
    <w:bookmarkStart w:id="46" w:name="Xb5b38992a12d38ed6ffd62b517b10ca800a49f3"/>
    <w:p>
      <w:pPr>
        <w:pStyle w:val="Heading2"/>
      </w:pPr>
      <w:r>
        <w:t xml:space="preserve">5.14 Choice Architecture and Asymmetric Loss Framing [SIMULATION — behavioral nudging]</w:t>
      </w:r>
    </w:p>
    <w:p>
      <w:pPr>
        <w:pStyle w:val="FirstParagraph"/>
      </w:pPr>
      <w:r>
        <w:t xml:space="preserve">Bridging Thaler–Sunstein nudges and Kahneman–Tversky prospect theory into the Master Stability Law (</w:t>
      </w:r>
      <w:r>
        <w:rPr>
          <w:b/>
          <w:bCs/>
        </w:rPr>
        <w:t xml:space="preserve">Sim C-Series</w:t>
      </w:r>
      <w:r>
        <w:t xml:space="preserve">,</w:t>
      </w:r>
      <w:r>
        <w:t xml:space="preserve"> </w:t>
      </w:r>
      <m:oMath>
        <m:r>
          <m:t>N</m:t>
        </m:r>
        <m:r>
          <m:rPr>
            <m:sty m:val="p"/>
          </m:rPr>
          <m:t>=</m:t>
        </m:r>
        <m:r>
          <m:t>1</m:t>
        </m:r>
        <m:r>
          <m:rPr>
            <m:sty m:val="p"/>
          </m:rPr>
          <m:t>,</m:t>
        </m:r>
        <m:r>
          <m:t>000</m:t>
        </m:r>
      </m:oMath>
      <w:r>
        <w:t xml:space="preserve"> </w:t>
      </w:r>
      <w:r>
        <w:t xml:space="preserve">present-biased agents, seed 42), choice architecture was formalized not as an arbitrary heuristic, but as a prior-expectation shift (</w:t>
      </w:r>
      <m:oMath>
        <m:sSub>
          <m:e>
            <m:r>
              <m:t>E</m:t>
            </m:r>
          </m:e>
          <m:sub>
            <m:r>
              <m:t>0</m:t>
            </m:r>
          </m:sub>
        </m:sSub>
        <m:r>
          <m:rPr>
            <m:sty m:val="p"/>
          </m:rPr>
          <m:t>→</m:t>
        </m:r>
        <m:sSub>
          <m:e>
            <m:r>
              <m:t>E</m:t>
            </m:r>
          </m:e>
          <m:sub>
            <m:r>
              <m:t>0</m:t>
            </m:r>
          </m:sub>
        </m:sSub>
        <m:r>
          <m:rPr>
            <m:sty m:val="p"/>
          </m:rPr>
          <m:t>+</m:t>
        </m:r>
        <m:r>
          <m:t>W</m:t>
        </m:r>
      </m:oMath>
      <w:r>
        <w:t xml:space="preserve">) coupled with the TFP break/build asymmetry (</w:t>
      </w:r>
      <m:oMath>
        <m:sSup>
          <m:e>
            <m:r>
              <m:t>λ</m:t>
            </m:r>
          </m:e>
          <m:sup>
            <m:r>
              <m:rPr>
                <m:sty m:val="p"/>
              </m:rPr>
              <m:t>−</m:t>
            </m:r>
          </m:sup>
        </m:sSup>
        <m:r>
          <m:rPr>
            <m:sty m:val="p"/>
          </m:rPr>
          <m:t>=</m:t>
        </m:r>
        <m:r>
          <m:t>4</m:t>
        </m:r>
        <m:sSup>
          <m:e>
            <m:r>
              <m:t>λ</m:t>
            </m:r>
          </m:e>
          <m:sup>
            <m:r>
              <m:rPr>
                <m:sty m:val="p"/>
              </m:rPr>
              <m:t>+</m:t>
            </m:r>
          </m:sup>
        </m:sSup>
      </m:oMath>
      <w:r>
        <w:t xml:space="preserve">).</w:t>
      </w:r>
    </w:p>
    <w:p>
      <w:pPr>
        <w:pStyle w:val="BodyText"/>
      </w:pPr>
      <w:r>
        <w:t xml:space="preserve">Under pre-registered testing, setting cooperative agreements as the default option (</w:t>
      </w:r>
      <w:r>
        <w:rPr>
          <w:rStyle w:val="VerbatimChar"/>
        </w:rPr>
        <w:t xml:space="preserve">DefaultBias</w:t>
      </w:r>
      <w:r>
        <w:t xml:space="preserve">,</w:t>
      </w:r>
      <w:r>
        <w:t xml:space="preserve"> </w:t>
      </w:r>
      <m:oMath>
        <m:r>
          <m:rPr>
            <m:sty m:val="p"/>
          </m:rPr>
          <m:t>+</m:t>
        </m:r>
        <m:r>
          <m:t>70</m:t>
        </m:r>
        <m:r>
          <m:rPr>
            <m:sty m:val="p"/>
          </m:rPr>
          <m:t>%</m:t>
        </m:r>
      </m:oMath>
      <w:r>
        <w:t xml:space="preserve"> </w:t>
      </w:r>
      <w:r>
        <w:t xml:space="preserve">weight) surged contract adherence from a neutral baseline of</w:t>
      </w:r>
      <w:r>
        <w:t xml:space="preserve"> </w:t>
      </w:r>
      <m:oMath>
        <m:r>
          <m:t>70.7</m:t>
        </m:r>
        <m:r>
          <m:rPr>
            <m:sty m:val="p"/>
          </m:rPr>
          <m:t>%</m:t>
        </m:r>
      </m:oMath>
      <w:r>
        <w:t xml:space="preserve"> </w:t>
      </w:r>
      <w:r>
        <w:t xml:space="preserve">to</w:t>
      </w:r>
      <w:r>
        <w:t xml:space="preserve"> </w:t>
      </w:r>
      <m:oMath>
        <m:r>
          <m:t>94.8</m:t>
        </m:r>
        <m:r>
          <m:rPr>
            <m:sty m:val="p"/>
          </m:rPr>
          <m:t>%</m:t>
        </m:r>
      </m:oMath>
      <w:r>
        <w:t xml:space="preserve"> </w:t>
      </w:r>
      <w:r>
        <w:t xml:space="preserve">(</w:t>
      </w:r>
      <m:oMath>
        <m:r>
          <m:rPr>
            <m:sty m:val="p"/>
          </m:rPr>
          <m:t>≥</m:t>
        </m:r>
        <m:r>
          <m:t>75.0</m:t>
        </m:r>
        <m:r>
          <m:rPr>
            <m:sty m:val="p"/>
          </m:rPr>
          <m:t>%</m:t>
        </m:r>
      </m:oMath>
      <w:r>
        <w:t xml:space="preserve">; Criterion C1 PASS). Loss framing (“defecting forfeits</w:t>
      </w:r>
      <w:r>
        <w:t xml:space="preserve"> </w:t>
      </w:r>
      <m:oMath>
        <m:sSup>
          <m:e>
            <m:r>
              <m:t>λ</m:t>
            </m:r>
          </m:e>
          <m:sup>
            <m:r>
              <m:rPr>
                <m:sty m:val="p"/>
              </m:rPr>
              <m:t>−</m:t>
            </m:r>
          </m:sup>
        </m:sSup>
        <m:r>
          <m:rPr>
            <m:sty m:val="p"/>
          </m:rPr>
          <m:t>=</m:t>
        </m:r>
        <m:r>
          <m:t>0.020</m:t>
        </m:r>
      </m:oMath>
      <w:r>
        <w:t xml:space="preserve"> </w:t>
      </w:r>
      <w:r>
        <w:t xml:space="preserve">standing”) engaged the Master Law’s loss-aversion penalty, amplifying behavioral compliance retention by</w:t>
      </w:r>
      <w:r>
        <w:t xml:space="preserve"> </w:t>
      </w:r>
      <m:oMath>
        <m:r>
          <m:t>51.4</m:t>
        </m:r>
        <m:r>
          <m:rPr>
            <m:sty m:val="p"/>
          </m:rPr>
          <m:t>×</m:t>
        </m:r>
      </m:oMath>
      <w:r>
        <w:t xml:space="preserve"> </w:t>
      </w:r>
      <w:r>
        <w:t xml:space="preserve">over gain framing (“cooperating gains</w:t>
      </w:r>
      <w:r>
        <w:t xml:space="preserve"> </w:t>
      </w:r>
      <m:oMath>
        <m:sSup>
          <m:e>
            <m:r>
              <m:t>λ</m:t>
            </m:r>
          </m:e>
          <m:sup>
            <m:r>
              <m:rPr>
                <m:sty m:val="p"/>
              </m:rPr>
              <m:t>+</m:t>
            </m:r>
          </m:sup>
        </m:sSup>
        <m:r>
          <m:rPr>
            <m:sty m:val="p"/>
          </m:rPr>
          <m:t>=</m:t>
        </m:r>
        <m:r>
          <m:t>0.005</m:t>
        </m:r>
      </m:oMath>
      <w:r>
        <w:t xml:space="preserve">”; Criterion C2 PASS). Introducing 3 units of cognitive friction suppressed opt-out transitions by</w:t>
      </w:r>
      <w:r>
        <w:t xml:space="preserve"> </w:t>
      </w:r>
      <m:oMath>
        <m:r>
          <m:t>60.0</m:t>
        </m:r>
        <m:r>
          <m:rPr>
            <m:sty m:val="p"/>
          </m:rPr>
          <m:t>%</m:t>
        </m:r>
      </m:oMath>
      <w:r>
        <w:t xml:space="preserve"> </w:t>
      </w:r>
      <w:r>
        <w:t xml:space="preserve">(ratio</w:t>
      </w:r>
      <w:r>
        <w:t xml:space="preserve"> </w:t>
      </w:r>
      <m:oMath>
        <m:r>
          <m:t>0.40</m:t>
        </m:r>
        <m:r>
          <m:rPr>
            <m:sty m:val="p"/>
          </m:rPr>
          <m:t>≤</m:t>
        </m:r>
        <m:r>
          <m:t>0.50</m:t>
        </m:r>
      </m:oMath>
      <w:r>
        <w:t xml:space="preserve">; Criterion C3 PASS), proving that decision menus actively steer equilibrium adherence without altering agent preferences.</w:t>
      </w:r>
    </w:p>
    <w:p>
      <w:pPr>
        <w:pStyle w:val="BodyText"/>
      </w:pPr>
    </w:p>
    <w:p>
      <w:pPr>
        <w:pStyle w:val="BodyText"/>
      </w:pPr>
      <w:r>
        <w:t xml:space="preserve">Figure 35.</w:t>
      </w:r>
      <w:r>
        <w:t xml:space="preserve"> </w:t>
      </w:r>
      <w:r>
        <w:t xml:space="preserve">Sim C-Series: Choice Architecture and Behavioral Nudging (</w:t>
      </w:r>
      <w:r>
        <w:t xml:space="preserve">N</w:t>
      </w:r>
      <w:r>
        <w:t xml:space="preserve"> = 1,000</w:t>
      </w:r>
      <w:r>
        <w:t xml:space="preserve">, seed 42). (a) C1: Default nudge adherence surges from</w:t>
      </w:r>
      <w:r>
        <w:t xml:space="preserve"> </w:t>
      </w:r>
      <w:r>
        <w:t xml:space="preserve">70.7%</w:t>
      </w:r>
      <w:r>
        <w:t xml:space="preserve"> </w:t>
      </w:r>
      <w:r>
        <w:t xml:space="preserve">to</w:t>
      </w:r>
      <w:r>
        <w:t xml:space="preserve"> </w:t>
      </w:r>
      <w:r>
        <w:t xml:space="preserve">94.8%</w:t>
      </w:r>
      <w:r>
        <w:t xml:space="preserve">. (b) C2: Loss framing engages the 4:1 Master Law asymmetry, amplifying compliance by</w:t>
      </w:r>
      <w:r>
        <w:t xml:space="preserve"> </w:t>
      </w:r>
      <w:r>
        <w:t xml:space="preserve">51.4×</w:t>
      </w:r>
      <w:r>
        <w:t xml:space="preserve"> </w:t>
      </w:r>
      <w:r>
        <w:t xml:space="preserve">over gain framing. (c) C3: 3 units of cognitive friction suppress contract opt-out transitions by</w:t>
      </w:r>
      <w:r>
        <w:t xml:space="preserve"> </w:t>
      </w:r>
      <w:r>
        <w:t xml:space="preserve">60.0%</w:t>
      </w:r>
      <w:r>
        <w:t xml:space="preserve">.</w:t>
      </w:r>
    </w:p>
    <w:bookmarkEnd w:id="46"/>
    <w:bookmarkStart w:id="47" w:name="X096e51eee9a265ece032978d714a00605cae546"/>
    <w:p>
      <w:pPr>
        <w:pStyle w:val="Heading2"/>
      </w:pPr>
      <w:r>
        <w:t xml:space="preserve">5.15 Semantic Drift and Betrayal Entropy Dynamics [SIMULATION — linguistic conventions]</w:t>
      </w:r>
    </w:p>
    <w:p>
      <w:pPr>
        <w:pStyle w:val="FirstParagraph"/>
      </w:pPr>
      <w:r>
        <w:t xml:space="preserve">Operationalizing §4.5’s premise that linguistic conventions are shared expectation streams across the D–O–C–A–S semantic manifold, the</w:t>
      </w:r>
      <w:r>
        <w:t xml:space="preserve"> </w:t>
      </w:r>
      <w:r>
        <w:rPr>
          <w:b/>
          <w:bCs/>
        </w:rPr>
        <w:t xml:space="preserve">Sim S-Series</w:t>
      </w:r>
      <w:r>
        <w:t xml:space="preserve"> </w:t>
      </w:r>
      <w:r>
        <w:t xml:space="preserve">(</w:t>
      </w:r>
      <m:oMath>
        <m:r>
          <m:t>N</m:t>
        </m:r>
        <m:r>
          <m:rPr>
            <m:sty m:val="p"/>
          </m:rPr>
          <m:t>=</m:t>
        </m:r>
        <m:r>
          <m:t>256</m:t>
        </m:r>
      </m:oMath>
      <w:r>
        <w:t xml:space="preserve"> </w:t>
      </w:r>
      <w:r>
        <w:t xml:space="preserve">communicating agents across an 8D concept embedding space, seed 42) evaluated the LING-C1, LING-C2, and LING-C4 empirical predictions.</w:t>
      </w:r>
    </w:p>
    <w:p>
      <w:pPr>
        <w:pStyle w:val="BodyText"/>
      </w:pPr>
      <w:r>
        <w:t xml:space="preserve">The simulation confirmed the Inverse Trust Drift Law (LING-C1): concept drift velocity scaled inversely with trust standing (</w:t>
      </w:r>
      <m:oMath>
        <m:sSub>
          <m:e>
            <m:r>
              <m:t>v</m:t>
            </m:r>
          </m:e>
          <m:sub>
            <m:r>
              <m:rPr>
                <m:nor/>
                <m:sty m:val="p"/>
              </m:rPr>
              <m:t>drift</m:t>
            </m:r>
          </m:sub>
        </m:sSub>
        <m:r>
          <m:rPr>
            <m:sty m:val="p"/>
          </m:rPr>
          <m:t>=</m:t>
        </m:r>
        <m:r>
          <m:t>0.05</m:t>
        </m:r>
        <m:r>
          <m:rPr>
            <m:sty m:val="p"/>
          </m:rPr>
          <m:t>+</m:t>
        </m:r>
        <m:r>
          <m:t>0.18</m:t>
        </m:r>
        <m:r>
          <m:rPr>
            <m:sty m:val="p"/>
          </m:rPr>
          <m:t>/</m:t>
        </m:r>
        <m:r>
          <m:t>τ</m:t>
        </m:r>
      </m:oMath>
      <w:r>
        <w:t xml:space="preserve">), yielding an empirical Pearson correlation of</w:t>
      </w:r>
      <w:r>
        <w:t xml:space="preserve"> </w:t>
      </w:r>
      <m:oMath>
        <m:r>
          <m:t>r</m:t>
        </m:r>
        <m:r>
          <m:rPr>
            <m:sty m:val="p"/>
          </m:rPr>
          <m:t>=</m:t>
        </m:r>
        <m:r>
          <m:t>0.994</m:t>
        </m:r>
      </m:oMath>
      <w:r>
        <w:t xml:space="preserve"> </w:t>
      </w:r>
      <w:r>
        <w:t xml:space="preserve">(</w:t>
      </w:r>
      <m:oMath>
        <m:r>
          <m:t>p</m:t>
        </m:r>
        <m:r>
          <m:rPr>
            <m:sty m:val="p"/>
          </m:rPr>
          <m:t>&lt;</m:t>
        </m:r>
        <m:sSup>
          <m:e>
            <m:r>
              <m:t>10</m:t>
            </m:r>
          </m:e>
          <m:sup>
            <m:r>
              <m:rPr>
                <m:sty m:val="p"/>
              </m:rPr>
              <m:t>−</m:t>
            </m:r>
            <m:r>
              <m:t>15</m:t>
            </m:r>
          </m:sup>
        </m:sSup>
        <m:r>
          <m:rPr>
            <m:sty m:val="p"/>
          </m:rPr>
          <m:t>≥</m:t>
        </m:r>
        <m:r>
          <m:t>0.65</m:t>
        </m:r>
      </m:oMath>
      <w:r>
        <w:t xml:space="preserve">; Criterion S1 PASS). Acute trust betrayal (</w:t>
      </w:r>
      <m:oMath>
        <m:sSub>
          <m:e>
            <m:r>
              <m:t>ε</m:t>
            </m:r>
          </m:e>
          <m:sub>
            <m:r>
              <m:t>t</m:t>
            </m:r>
          </m:sub>
        </m:sSub>
        <m:r>
          <m:rPr>
            <m:sty m:val="p"/>
          </m:rPr>
          <m:t>&lt;</m:t>
        </m:r>
        <m:r>
          <m:rPr>
            <m:sty m:val="p"/>
          </m:rPr>
          <m:t>−</m:t>
        </m:r>
        <m:sSub>
          <m:e>
            <m:r>
              <m:t>θ</m:t>
            </m:r>
          </m:e>
          <m:sub>
            <m:r>
              <m:t>C</m:t>
            </m:r>
          </m:sub>
        </m:sSub>
      </m:oMath>
      <w:r>
        <w:t xml:space="preserve">) induced an immediate destabilization of the agent’s semantic lexicon, triggering an entropy spike of Cohen’s</w:t>
      </w:r>
      <w:r>
        <w:t xml:space="preserve"> </w:t>
      </w:r>
      <m:oMath>
        <m:r>
          <m:t>d</m:t>
        </m:r>
        <m:r>
          <m:rPr>
            <m:sty m:val="p"/>
          </m:rPr>
          <m:t>=</m:t>
        </m:r>
        <m:r>
          <m:t>2.79</m:t>
        </m:r>
        <m:r>
          <m:rPr>
            <m:sty m:val="p"/>
          </m:rPr>
          <m:t>≥</m:t>
        </m:r>
        <m:r>
          <m:t>0.80</m:t>
        </m:r>
      </m:oMath>
      <w:r>
        <w:t xml:space="preserve"> </w:t>
      </w:r>
      <w:r>
        <w:t xml:space="preserve">(Criterion S2 PASS). In low-trust populations (</w:t>
      </w:r>
      <m:oMath>
        <m:acc>
          <m:accPr>
            <m:chr m:val="‾"/>
          </m:accPr>
          <m:e>
            <m:r>
              <m:t>τ</m:t>
            </m:r>
          </m:e>
        </m:acc>
        <m:r>
          <m:rPr>
            <m:sty m:val="p"/>
          </m:rPr>
          <m:t>&lt;</m:t>
        </m:r>
        <m:r>
          <m:t>0.35</m:t>
        </m:r>
      </m:oMath>
      <w:r>
        <w:t xml:space="preserve">), lexical turnover surged by</w:t>
      </w:r>
      <w:r>
        <w:t xml:space="preserve"> </w:t>
      </w:r>
      <m:oMath>
        <m:r>
          <m:t>3.12</m:t>
        </m:r>
        <m:r>
          <m:rPr>
            <m:sty m:val="p"/>
          </m:rPr>
          <m:t>×</m:t>
        </m:r>
      </m:oMath>
      <w:r>
        <w:t xml:space="preserve"> </w:t>
      </w:r>
      <w:r>
        <w:t xml:space="preserve">relative to high-trust cohorts (</w:t>
      </w:r>
      <m:oMath>
        <m:r>
          <m:rPr>
            <m:sty m:val="p"/>
          </m:rPr>
          <m:t>≥</m:t>
        </m:r>
        <m:r>
          <m:t>2.0</m:t>
        </m:r>
        <m:r>
          <m:rPr>
            <m:sty m:val="p"/>
          </m:rPr>
          <m:t>×</m:t>
        </m:r>
      </m:oMath>
      <w:r>
        <w:t xml:space="preserve">; Criterion S3 PASS), confirming that social betrayal directly fragments semantic consensus.</w:t>
      </w:r>
    </w:p>
    <w:p>
      <w:pPr>
        <w:pStyle w:val="BodyText"/>
      </w:pPr>
    </w:p>
    <w:p>
      <w:pPr>
        <w:pStyle w:val="BodyText"/>
      </w:pPr>
      <w:r>
        <w:t xml:space="preserve">Figure 36.</w:t>
      </w:r>
      <w:r>
        <w:t xml:space="preserve"> </w:t>
      </w:r>
      <w:r>
        <w:t xml:space="preserve">Sim S-Series: Semantic Drift and Linguistic Conventions (</w:t>
      </w:r>
      <w:r>
        <w:t xml:space="preserve">N</w:t>
      </w:r>
      <w:r>
        <w:t xml:space="preserve"> = 256</w:t>
      </w:r>
      <w:r>
        <w:t xml:space="preserve">, seed 42). (a) S1: Inverse Trust Drift Law confirms</w:t>
      </w:r>
      <w:r>
        <w:t xml:space="preserve"> </w:t>
      </w:r>
      <w:r>
        <w:t xml:space="preserve">v</w:t>
      </w:r>
      <w:r>
        <w:t xml:space="preserve">drift</w:t>
      </w:r>
      <w:r>
        <w:t xml:space="preserve"> ∝ 1/</w:t>
      </w:r>
      <w:r>
        <w:t xml:space="preserve">τ</w:t>
      </w:r>
      <w:r>
        <w:t xml:space="preserve"> </w:t>
      </w:r>
      <w:r>
        <w:t xml:space="preserve">(</w:t>
      </w:r>
      <w:r>
        <w:t xml:space="preserve">r</w:t>
      </w:r>
      <w:r>
        <w:t xml:space="preserve"> = 0.994, </w:t>
      </w:r>
      <w:r>
        <w:t xml:space="preserve">p</w:t>
      </w:r>
      <w:r>
        <w:t xml:space="preserve"> &lt; 10</w:t>
      </w:r>
      <w:r>
        <w:t xml:space="preserve">−15</w:t>
      </w:r>
      <w:r>
        <w:t xml:space="preserve">). (b) S2: Acute betrayal shock induces an embedding entropy surge of Cohen’s</w:t>
      </w:r>
      <w:r>
        <w:t xml:space="preserve"> </w:t>
      </w:r>
      <w:r>
        <w:t xml:space="preserve">d</w:t>
      </w:r>
      <w:r>
        <w:t xml:space="preserve"> = 2.79</w:t>
      </w:r>
      <w:r>
        <w:t xml:space="preserve">. (c) S3: Low-trust populations exhibit a</w:t>
      </w:r>
      <w:r>
        <w:t xml:space="preserve"> </w:t>
      </w:r>
      <w:r>
        <w:t xml:space="preserve">3.12×</w:t>
      </w:r>
      <w:r>
        <w:t xml:space="preserve"> </w:t>
      </w:r>
      <w:r>
        <w:t xml:space="preserve">surge in lexical turnover.</w:t>
      </w:r>
    </w:p>
    <w:bookmarkEnd w:id="47"/>
    <w:bookmarkStart w:id="48" w:name="X78056772b59d9545c5b4fcd3d23d8d62e2524e2"/>
    <w:p>
      <w:pPr>
        <w:pStyle w:val="Heading2"/>
      </w:pPr>
      <w:r>
        <w:t xml:space="preserve">5.16 Default Mode Network Counterfactual Rollouts [SIMULATION — cognitive deliberation]</w:t>
      </w:r>
    </w:p>
    <w:p>
      <w:pPr>
        <w:pStyle w:val="FirstParagraph"/>
      </w:pPr>
      <w:r>
        <w:t xml:space="preserve">To evaluate Layer 5’s DMN analog (</w:t>
      </w:r>
      <w:r>
        <w:rPr>
          <w:rStyle w:val="VerbatimChar"/>
        </w:rPr>
        <w:t xml:space="preserve">mech-dmn</w:t>
      </w:r>
      <w:r>
        <w:t xml:space="preserve">), we executed the</w:t>
      </w:r>
      <w:r>
        <w:t xml:space="preserve"> </w:t>
      </w:r>
      <w:r>
        <w:rPr>
          <w:b/>
          <w:bCs/>
        </w:rPr>
        <w:t xml:space="preserve">Sim DMN-Series</w:t>
      </w:r>
      <w:r>
        <w:t xml:space="preserve"> </w:t>
      </w:r>
      <w:r>
        <w:t xml:space="preserve">(</w:t>
      </w:r>
      <m:oMath>
        <m:r>
          <m:t>N</m:t>
        </m:r>
        <m:r>
          <m:rPr>
            <m:sty m:val="p"/>
          </m:rPr>
          <m:t>=</m:t>
        </m:r>
        <m:r>
          <m:t>1</m:t>
        </m:r>
        <m:r>
          <m:rPr>
            <m:sty m:val="p"/>
          </m:rPr>
          <m:t>,</m:t>
        </m:r>
        <m:r>
          <m:t>000</m:t>
        </m:r>
      </m:oMath>
      <w:r>
        <w:t xml:space="preserve"> </w:t>
      </w:r>
      <w:r>
        <w:t xml:space="preserve">agents, 100 timesteps, seed 42) modeling counterfactual rollout planning across depths</w:t>
      </w:r>
      <w:r>
        <w:t xml:space="preserve"> </w:t>
      </w:r>
      <m:oMath>
        <m:r>
          <m:t>K</m:t>
        </m:r>
        <m:r>
          <m:rPr>
            <m:sty m:val="p"/>
          </m:rPr>
          <m:t>∈</m:t>
        </m:r>
        <m:r>
          <m:rPr>
            <m:sty m:val="p"/>
          </m:rPr>
          <m:t>[</m:t>
        </m:r>
        <m:r>
          <m:t>1</m:t>
        </m:r>
        <m:r>
          <m:rPr>
            <m:sty m:val="p"/>
          </m:rPr>
          <m:t>,</m:t>
        </m:r>
        <m:r>
          <m:t>10</m:t>
        </m:r>
        <m:r>
          <m:rPr>
            <m:sty m:val="p"/>
          </m:rPr>
          <m:t>]</m:t>
        </m:r>
      </m:oMath>
      <w:r>
        <w:t xml:space="preserve"> </w:t>
      </w:r>
      <w:r>
        <w:t xml:space="preserve">under Sim D16 predatory visual cloaking (</w:t>
      </w:r>
      <m:oMath>
        <m:r>
          <m:t>χ</m:t>
        </m:r>
        <m:r>
          <m:rPr>
            <m:sty m:val="p"/>
          </m:rPr>
          <m:t>=</m:t>
        </m:r>
        <m:r>
          <m:t>3.65</m:t>
        </m:r>
      </m:oMath>
      <w:r>
        <w:t xml:space="preserve">).</w:t>
      </w:r>
    </w:p>
    <w:p>
      <w:pPr>
        <w:pStyle w:val="BodyText"/>
      </w:pPr>
      <w:r>
        <w:t xml:space="preserve">The simulation established that deliberative counterfactual planning (</w:t>
      </w:r>
      <m:oMath>
        <m:r>
          <m:t>K</m:t>
        </m:r>
        <m:r>
          <m:rPr>
            <m:sty m:val="p"/>
          </m:rPr>
          <m:t>=</m:t>
        </m:r>
        <m:r>
          <m:t>5</m:t>
        </m:r>
      </m:oMath>
      <w:r>
        <w:t xml:space="preserve">) suppresses predatory contract uptake from</w:t>
      </w:r>
      <w:r>
        <w:t xml:space="preserve"> </w:t>
      </w:r>
      <m:oMath>
        <m:r>
          <m:t>74.2</m:t>
        </m:r>
        <m:r>
          <m:rPr>
            <m:sty m:val="p"/>
          </m:rPr>
          <m:t>%</m:t>
        </m:r>
      </m:oMath>
      <w:r>
        <w:t xml:space="preserve"> </w:t>
      </w:r>
      <w:r>
        <w:t xml:space="preserve">(myopic</w:t>
      </w:r>
      <w:r>
        <w:t xml:space="preserve"> </w:t>
      </w:r>
      <m:oMath>
        <m:r>
          <m:t>K</m:t>
        </m:r>
        <m:r>
          <m:rPr>
            <m:sty m:val="p"/>
          </m:rPr>
          <m:t>=</m:t>
        </m:r>
        <m:r>
          <m:t>1</m:t>
        </m:r>
      </m:oMath>
      <w:r>
        <w:t xml:space="preserve"> </w:t>
      </w:r>
      <w:r>
        <w:t xml:space="preserve">impulse) to</w:t>
      </w:r>
      <w:r>
        <w:t xml:space="preserve"> </w:t>
      </w:r>
      <m:oMath>
        <m:r>
          <m:t>17.1</m:t>
        </m:r>
        <m:r>
          <m:rPr>
            <m:sty m:val="p"/>
          </m:rPr>
          <m:t>%</m:t>
        </m:r>
      </m:oMath>
      <w:r>
        <w:t xml:space="preserve"> </w:t>
      </w:r>
      <w:r>
        <w:t xml:space="preserve">(</w:t>
      </w:r>
      <m:oMath>
        <m:r>
          <m:t>76.9</m:t>
        </m:r>
        <m:r>
          <m:rPr>
            <m:sty m:val="p"/>
          </m:rPr>
          <m:t>%</m:t>
        </m:r>
      </m:oMath>
      <w:r>
        <w:t xml:space="preserve"> </w:t>
      </w:r>
      <w:r>
        <w:t xml:space="preserve">suppression; Criterion DMN-1 PASS). This provides a</w:t>
      </w:r>
      <w:r>
        <w:t xml:space="preserve"> </w:t>
      </w:r>
      <m:oMath>
        <m:r>
          <m:t>1.17</m:t>
        </m:r>
        <m:r>
          <m:rPr>
            <m:sty m:val="p"/>
          </m:rPr>
          <m:t>×</m:t>
        </m:r>
      </m:oMath>
      <w:r>
        <w:t xml:space="preserve"> </w:t>
      </w:r>
      <w:r>
        <w:t xml:space="preserve">steady-state standing advantage in adversarial cohorts (though falling short of the frozen</w:t>
      </w:r>
      <w:r>
        <w:t xml:space="preserve"> </w:t>
      </w:r>
      <m:oMath>
        <m:r>
          <m:rPr>
            <m:sty m:val="p"/>
          </m:rPr>
          <m:t>≥</m:t>
        </m:r>
        <m:r>
          <m:t>1.30</m:t>
        </m:r>
        <m:r>
          <m:rPr>
            <m:sty m:val="p"/>
          </m:rPr>
          <m:t>×</m:t>
        </m:r>
      </m:oMath>
      <w:r>
        <w:t xml:space="preserve"> </w:t>
      </w:r>
      <w:r>
        <w:t xml:space="preserve">threshold; Criterion DMN-2 FAIL as frozen). Crucially, marginal exploitation loss reduction between</w:t>
      </w:r>
      <w:r>
        <w:t xml:space="preserve"> </w:t>
      </w:r>
      <m:oMath>
        <m:r>
          <m:t>K</m:t>
        </m:r>
        <m:r>
          <m:rPr>
            <m:sty m:val="p"/>
          </m:rPr>
          <m:t>=</m:t>
        </m:r>
        <m:r>
          <m:t>7</m:t>
        </m:r>
      </m:oMath>
      <w:r>
        <w:t xml:space="preserve"> </w:t>
      </w:r>
      <w:r>
        <w:t xml:space="preserve">and</w:t>
      </w:r>
      <w:r>
        <w:t xml:space="preserve"> </w:t>
      </w:r>
      <m:oMath>
        <m:r>
          <m:t>K</m:t>
        </m:r>
        <m:r>
          <m:rPr>
            <m:sty m:val="p"/>
          </m:rPr>
          <m:t>=</m:t>
        </m:r>
        <m:r>
          <m:t>10</m:t>
        </m:r>
      </m:oMath>
      <w:r>
        <w:t xml:space="preserve"> </w:t>
      </w:r>
      <w:r>
        <w:t xml:space="preserve">plateaued at</w:t>
      </w:r>
      <w:r>
        <w:t xml:space="preserve"> </w:t>
      </w:r>
      <m:oMath>
        <m:r>
          <m:rPr>
            <m:sty m:val="p"/>
          </m:rPr>
          <m:t>Δ</m:t>
        </m:r>
        <m:r>
          <m:rPr>
            <m:nor/>
            <m:sty m:val="p"/>
          </m:rPr>
          <m:t>Loss</m:t>
        </m:r>
        <m:r>
          <m:rPr>
            <m:sty m:val="p"/>
          </m:rPr>
          <m:t>=</m:t>
        </m:r>
        <m:r>
          <m:t>0.0031</m:t>
        </m:r>
        <m:r>
          <m:rPr>
            <m:sty m:val="p"/>
          </m:rPr>
          <m:t>&lt;</m:t>
        </m:r>
        <m:r>
          <m:t>0.05</m:t>
        </m:r>
      </m:oMath>
      <w:r>
        <w:t xml:space="preserve"> </w:t>
      </w:r>
      <w:r>
        <w:t xml:space="preserve">(Criterion DMN-3 PASS), mathematically proving why human cognitive architecture truncates DMN simulation depth to shallow horizons (</w:t>
      </w:r>
      <m:oMath>
        <m:r>
          <m:t>K</m:t>
        </m:r>
        <m:r>
          <m:rPr>
            <m:sty m:val="p"/>
          </m:rPr>
          <m:t>≤</m:t>
        </m:r>
        <m:r>
          <m:t>7</m:t>
        </m:r>
      </m:oMath>
      <w:r>
        <w:t xml:space="preserve">).</w:t>
      </w:r>
    </w:p>
    <w:p>
      <w:pPr>
        <w:pStyle w:val="BodyText"/>
      </w:pPr>
    </w:p>
    <w:p>
      <w:pPr>
        <w:pStyle w:val="BodyText"/>
      </w:pPr>
      <w:r>
        <w:t xml:space="preserve">Figure 37.</w:t>
      </w:r>
      <w:r>
        <w:t xml:space="preserve"> </w:t>
      </w:r>
      <w:r>
        <w:t xml:space="preserve">Sim DMN-Series: Default Mode Network Counterfactual Rollouts (</w:t>
      </w:r>
      <w:r>
        <w:t xml:space="preserve">N</w:t>
      </w:r>
      <w:r>
        <w:t xml:space="preserve"> = 1,000</w:t>
      </w:r>
      <w:r>
        <w:t xml:space="preserve">, seed 42). (a) DMN-1: Predatory uptake suppressed by</w:t>
      </w:r>
      <w:r>
        <w:t xml:space="preserve"> </w:t>
      </w:r>
      <w:r>
        <w:t xml:space="preserve">76.9%</w:t>
      </w:r>
      <w:r>
        <w:t xml:space="preserve"> </w:t>
      </w:r>
      <w:r>
        <w:t xml:space="preserve">between myopic</w:t>
      </w:r>
      <w:r>
        <w:t xml:space="preserve"> </w:t>
      </w:r>
      <w:r>
        <w:t xml:space="preserve">K</w:t>
      </w:r>
      <w:r>
        <w:t xml:space="preserve">=1</w:t>
      </w:r>
      <w:r>
        <w:t xml:space="preserve"> </w:t>
      </w:r>
      <w:r>
        <w:t xml:space="preserve">and deliberative</w:t>
      </w:r>
      <w:r>
        <w:t xml:space="preserve"> </w:t>
      </w:r>
      <w:r>
        <w:t xml:space="preserve">K</w:t>
      </w:r>
      <w:r>
        <w:t xml:space="preserve">=5</w:t>
      </w:r>
      <w:r>
        <w:t xml:space="preserve"> </w:t>
      </w:r>
      <w:r>
        <w:t xml:space="preserve">planning. (b) DMN-2: Steady-state standing advantage (</w:t>
      </w:r>
      <w:r>
        <w:t xml:space="preserve">1.17×</w:t>
      </w:r>
      <w:r>
        <w:t xml:space="preserve">). (c) DMN-3: Cognitive saturation corridor bounding marginal loss reduction beyond</w:t>
      </w:r>
      <w:r>
        <w:t xml:space="preserve"> </w:t>
      </w:r>
      <w:r>
        <w:t xml:space="preserve">K</w:t>
      </w:r>
      <w:r>
        <w:t xml:space="preserve">=7</w:t>
      </w:r>
      <w:r>
        <w:t xml:space="preserve">.</w:t>
      </w:r>
    </w:p>
    <w:bookmarkEnd w:id="48"/>
    <w:bookmarkStart w:id="49" w:name="X0d2ae5d7e4423328ca76865f4d8659d1155291e"/>
    <w:p>
      <w:pPr>
        <w:pStyle w:val="Heading2"/>
      </w:pPr>
      <w:r>
        <w:t xml:space="preserve">5.17 Neural Criticality and Avalanche Power-Law Scaling [SIMULATION — branching dynamics]</w:t>
      </w:r>
    </w:p>
    <w:p>
      <w:pPr>
        <w:pStyle w:val="FirstParagraph"/>
      </w:pPr>
      <w:r>
        <w:t xml:space="preserve">Addressing §4.4’s contested criticality controversy, the</w:t>
      </w:r>
      <w:r>
        <w:t xml:space="preserve"> </w:t>
      </w:r>
      <w:r>
        <w:rPr>
          <w:b/>
          <w:bCs/>
        </w:rPr>
        <w:t xml:space="preserve">Sim CRIT-Series</w:t>
      </w:r>
      <w:r>
        <w:t xml:space="preserve"> </w:t>
      </w:r>
      <w:r>
        <w:t xml:space="preserve">(</w:t>
      </w:r>
      <m:oMath>
        <m:r>
          <m:t>N</m:t>
        </m:r>
        <m:r>
          <m:rPr>
            <m:sty m:val="p"/>
          </m:rPr>
          <m:t>=</m:t>
        </m:r>
        <m:r>
          <m:t>1</m:t>
        </m:r>
        <m:r>
          <m:rPr>
            <m:sty m:val="p"/>
          </m:rPr>
          <m:t>,</m:t>
        </m:r>
        <m:r>
          <m:t>024</m:t>
        </m:r>
      </m:oMath>
      <w:r>
        <w:t xml:space="preserve"> </w:t>
      </w:r>
      <w:r>
        <w:t xml:space="preserve">nodes, seed 42) swept branching parameter</w:t>
      </w:r>
      <w:r>
        <w:t xml:space="preserve"> </w:t>
      </w:r>
      <m:oMath>
        <m:r>
          <m:t>σ</m:t>
        </m:r>
        <m:r>
          <m:rPr>
            <m:sty m:val="p"/>
          </m:rPr>
          <m:t>∈</m:t>
        </m:r>
        <m:r>
          <m:rPr>
            <m:sty m:val="p"/>
          </m:rPr>
          <m:t>[</m:t>
        </m:r>
        <m:r>
          <m:t>0.60</m:t>
        </m:r>
        <m:r>
          <m:rPr>
            <m:sty m:val="p"/>
          </m:rPr>
          <m:t>,</m:t>
        </m:r>
        <m:r>
          <m:t>1.40</m:t>
        </m:r>
        <m:r>
          <m:rPr>
            <m:sty m:val="p"/>
          </m:rPr>
          <m:t>]</m:t>
        </m:r>
      </m:oMath>
      <w:r>
        <w:t xml:space="preserve"> </w:t>
      </w:r>
      <w:r>
        <w:t xml:space="preserve">to evaluate sensory dynamic range and mutual information under the Master Stability Law.</w:t>
      </w:r>
    </w:p>
    <w:p>
      <w:pPr>
        <w:pStyle w:val="BodyText"/>
      </w:pPr>
      <w:r>
        <w:t xml:space="preserve">Sensory dynamic range</w:t>
      </w:r>
      <w:r>
        <w:t xml:space="preserve"> </w:t>
      </w:r>
      <m:oMath>
        <m:r>
          <m:rPr>
            <m:sty m:val="p"/>
          </m:rPr>
          <m:t>Δ</m:t>
        </m:r>
      </m:oMath>
      <w:r>
        <w:t xml:space="preserve"> </w:t>
      </w:r>
      <w:r>
        <w:t xml:space="preserve">peaked sharply at the critical branching point</w:t>
      </w:r>
      <w:r>
        <w:t xml:space="preserve"> </w:t>
      </w:r>
      <m:oMath>
        <m:sSup>
          <m:e>
            <m:r>
              <m:t>σ</m:t>
            </m:r>
          </m:e>
          <m:sup>
            <m:r>
              <m:rPr>
                <m:sty m:val="p"/>
              </m:rPr>
              <m:t>*</m:t>
            </m:r>
          </m:sup>
        </m:sSup>
        <m:r>
          <m:rPr>
            <m:sty m:val="p"/>
          </m:rPr>
          <m:t>=</m:t>
        </m:r>
        <m:r>
          <m:t>1.00</m:t>
        </m:r>
      </m:oMath>
      <w:r>
        <w:t xml:space="preserve"> </w:t>
      </w:r>
      <w:r>
        <w:t xml:space="preserve">(</w:t>
      </w:r>
      <m:oMath>
        <m:r>
          <m:rPr>
            <m:sty m:val="p"/>
          </m:rPr>
          <m:t>Δ</m:t>
        </m:r>
        <m:r>
          <m:rPr>
            <m:sty m:val="p"/>
          </m:rPr>
          <m:t>=</m:t>
        </m:r>
        <m:r>
          <m:t>32.4</m:t>
        </m:r>
        <m:r>
          <m:rPr>
            <m:nor/>
            <m:sty m:val="p"/>
          </m:rPr>
          <m:t> dB</m:t>
        </m:r>
      </m:oMath>
      <w:r>
        <w:t xml:space="preserve">, exceeding subcritical</w:t>
      </w:r>
      <w:r>
        <w:t xml:space="preserve"> </w:t>
      </w:r>
      <m:oMath>
        <m:r>
          <m:t>σ</m:t>
        </m:r>
        <m:r>
          <m:rPr>
            <m:sty m:val="p"/>
          </m:rPr>
          <m:t>=</m:t>
        </m:r>
        <m:r>
          <m:t>0.70</m:t>
        </m:r>
      </m:oMath>
      <w:r>
        <w:t xml:space="preserve"> </w:t>
      </w:r>
      <w:r>
        <w:t xml:space="preserve">and supercritical</w:t>
      </w:r>
      <w:r>
        <w:t xml:space="preserve"> </w:t>
      </w:r>
      <m:oMath>
        <m:r>
          <m:t>σ</m:t>
        </m:r>
        <m:r>
          <m:rPr>
            <m:sty m:val="p"/>
          </m:rPr>
          <m:t>=</m:t>
        </m:r>
        <m:r>
          <m:t>1.30</m:t>
        </m:r>
      </m:oMath>
      <w:r>
        <w:t xml:space="preserve"> </w:t>
      </w:r>
      <w:r>
        <w:t xml:space="preserve">by</w:t>
      </w:r>
      <w:r>
        <w:t xml:space="preserve"> </w:t>
      </w:r>
      <m:oMath>
        <m:r>
          <m:t>18.1</m:t>
        </m:r>
        <m:r>
          <m:rPr>
            <m:nor/>
            <m:sty m:val="p"/>
          </m:rPr>
          <m:t> dB</m:t>
        </m:r>
        <m:r>
          <m:rPr>
            <m:sty m:val="p"/>
          </m:rPr>
          <m:t>≥</m:t>
        </m:r>
        <m:r>
          <m:t>15.0</m:t>
        </m:r>
        <m:r>
          <m:rPr>
            <m:nor/>
            <m:sty m:val="p"/>
          </m:rPr>
          <m:t> dB</m:t>
        </m:r>
      </m:oMath>
      <w:r>
        <w:t xml:space="preserve">; Criterion CRIT-1 PASS). Mutual information</w:t>
      </w:r>
      <w:r>
        <w:t xml:space="preserve"> </w:t>
      </w:r>
      <m:oMath>
        <m:r>
          <m:t>I</m:t>
        </m:r>
        <m:r>
          <m:rPr>
            <m:sty m:val="p"/>
          </m:rPr>
          <m:t>(</m:t>
        </m:r>
        <m:sSub>
          <m:e>
            <m:r>
              <m:t>V</m:t>
            </m:r>
          </m:e>
          <m:sub>
            <m:r>
              <m:t>t</m:t>
            </m:r>
          </m:sub>
        </m:sSub>
        <m:r>
          <m:rPr>
            <m:sty m:val="p"/>
          </m:rPr>
          <m:t>;</m:t>
        </m:r>
        <m:sSub>
          <m:e>
            <m:r>
              <m:t>E</m:t>
            </m:r>
          </m:e>
          <m:sub>
            <m:r>
              <m:t>t</m:t>
            </m:r>
          </m:sub>
        </m:sSub>
        <m:r>
          <m:rPr>
            <m:sty m:val="p"/>
          </m:rPr>
          <m:t>)</m:t>
        </m:r>
      </m:oMath>
      <w:r>
        <w:t xml:space="preserve"> </w:t>
      </w:r>
      <w:r>
        <w:t xml:space="preserve">collapsed by</w:t>
      </w:r>
      <w:r>
        <w:t xml:space="preserve"> </w:t>
      </w:r>
      <m:oMath>
        <m:r>
          <m:t>50.0</m:t>
        </m:r>
        <m:r>
          <m:rPr>
            <m:sty m:val="p"/>
          </m:rPr>
          <m:t>%</m:t>
        </m:r>
      </m:oMath>
      <w:r>
        <w:t xml:space="preserve"> </w:t>
      </w:r>
      <w:r>
        <w:t xml:space="preserve">off-criticality (ratio</w:t>
      </w:r>
      <w:r>
        <w:t xml:space="preserve"> </w:t>
      </w:r>
      <m:oMath>
        <m:r>
          <m:t>0.50</m:t>
        </m:r>
        <m:r>
          <m:rPr>
            <m:sty m:val="p"/>
          </m:rPr>
          <m:t>≤</m:t>
        </m:r>
        <m:r>
          <m:t>0.65</m:t>
        </m:r>
      </m:oMath>
      <w:r>
        <w:t xml:space="preserve">; Criterion CRIT-3 PASS). However, finite-size avalanche scaling yielded</w:t>
      </w:r>
      <w:r>
        <w:t xml:space="preserve"> </w:t>
      </w:r>
      <m:oMath>
        <m:r>
          <m:t>α</m:t>
        </m:r>
        <m:r>
          <m:rPr>
            <m:sty m:val="p"/>
          </m:rPr>
          <m:t>=</m:t>
        </m:r>
        <m:r>
          <m:t>0.682</m:t>
        </m:r>
      </m:oMath>
      <w:r>
        <w:t xml:space="preserve"> </w:t>
      </w:r>
      <w:r>
        <w:t xml:space="preserve">and</w:t>
      </w:r>
      <w:r>
        <w:t xml:space="preserve"> </w:t>
      </w:r>
      <m:oMath>
        <m:sSup>
          <m:e>
            <m:r>
              <m:t>R</m:t>
            </m:r>
          </m:e>
          <m:sup>
            <m:r>
              <m:t>2</m:t>
            </m:r>
          </m:sup>
        </m:sSup>
        <m:r>
          <m:rPr>
            <m:sty m:val="p"/>
          </m:rPr>
          <m:t>=</m:t>
        </m:r>
        <m:r>
          <m:t>0.867</m:t>
        </m:r>
      </m:oMath>
      <w:r>
        <w:t xml:space="preserve"> </w:t>
      </w:r>
      <w:r>
        <w:t xml:space="preserve">(Criterion CRIT-2 FAIL as frozen vs. theoretical</w:t>
      </w:r>
      <w:r>
        <w:t xml:space="preserve"> </w:t>
      </w:r>
      <m:oMath>
        <m:r>
          <m:t>1.50</m:t>
        </m:r>
      </m:oMath>
      <w:r>
        <w:t xml:space="preserve">), reproducing the exact sub-sampling distortion demonstrated by Touboul &amp; Destexhe (2017) and confirming that power-law avalanche diagnostics are highly sensitive to finite-size observation windows.</w:t>
      </w:r>
    </w:p>
    <w:p>
      <w:pPr>
        <w:pStyle w:val="BodyText"/>
      </w:pPr>
    </w:p>
    <w:p>
      <w:pPr>
        <w:pStyle w:val="BodyText"/>
      </w:pPr>
      <w:r>
        <w:t xml:space="preserve">Figure 38.</w:t>
      </w:r>
      <w:r>
        <w:t xml:space="preserve"> </w:t>
      </w:r>
      <w:r>
        <w:t xml:space="preserve">Sim CRIT-Series: Neural Criticality and Branching Dynamics (</w:t>
      </w:r>
      <w:r>
        <w:t xml:space="preserve">N</w:t>
      </w:r>
      <w:r>
        <w:t xml:space="preserve"> = 1,024</w:t>
      </w:r>
      <w:r>
        <w:t xml:space="preserve">, seed 42). (a) CRIT-1: Sensory dynamic range peaks at critical branching parameter</w:t>
      </w:r>
      <w:r>
        <w:t xml:space="preserve"> </w:t>
      </w:r>
      <w:r>
        <w:t xml:space="preserve">σ</w:t>
      </w:r>
      <w:r>
        <w:t xml:space="preserve">*</w:t>
      </w:r>
      <w:r>
        <w:t xml:space="preserve"> = 1.00</w:t>
      </w:r>
      <w:r>
        <w:t xml:space="preserve"> </w:t>
      </w:r>
      <w:r>
        <w:t xml:space="preserve">with</w:t>
      </w:r>
      <w:r>
        <w:t xml:space="preserve"> </w:t>
      </w:r>
      <w:r>
        <w:t xml:space="preserve">18.1 dB</w:t>
      </w:r>
      <w:r>
        <w:t xml:space="preserve"> </w:t>
      </w:r>
      <w:r>
        <w:t xml:space="preserve">excess. (b) CRIT-2: Finite-size avalanche scaling (</w:t>
      </w:r>
      <w:r>
        <w:t xml:space="preserve">α</w:t>
      </w:r>
      <w:r>
        <w:t xml:space="preserve"> = 0.682, </w:t>
      </w:r>
      <w:r>
        <w:t xml:space="preserve">R</w:t>
      </w:r>
      <w:r>
        <w:t xml:space="preserve">2</w:t>
      </w:r>
      <w:r>
        <w:t xml:space="preserve"> = 0.867</w:t>
      </w:r>
      <w:r>
        <w:t xml:space="preserve">), reproducing the Touboul–Destexhe sub-sampling artifact. (c) CRIT-3: Mutual information transmission collapses by</w:t>
      </w:r>
      <w:r>
        <w:t xml:space="preserve"> </w:t>
      </w:r>
      <w:r>
        <w:t xml:space="preserve">50.0%</w:t>
      </w:r>
      <w:r>
        <w:t xml:space="preserve"> </w:t>
      </w:r>
      <w:r>
        <w:t xml:space="preserve">off-criticality.</w:t>
      </w:r>
    </w:p>
    <w:bookmarkEnd w:id="49"/>
    <w:bookmarkStart w:id="50" w:name="Xc086ffb4d4719c6e5850b9ee03ec24e7a3435f6"/>
    <w:p>
      <w:pPr>
        <w:pStyle w:val="Heading2"/>
      </w:pPr>
      <w:r>
        <w:t xml:space="preserve">5.18 Basal Cognition and Non-Neural Problem Solving [SIMULATION — barrier circumvention]</w:t>
      </w:r>
    </w:p>
    <w:p>
      <w:pPr>
        <w:pStyle w:val="FirstParagraph"/>
      </w:pPr>
      <w:r>
        <w:t xml:space="preserve">To formally test Michael Levin’s hypothesis that goal-directed navigation and collective problem solving do not require a central brain or nervous system, we executed the</w:t>
      </w:r>
      <w:r>
        <w:t xml:space="preserve"> </w:t>
      </w:r>
      <w:r>
        <w:rPr>
          <w:b/>
          <w:bCs/>
        </w:rPr>
        <w:t xml:space="preserve">Sim B-Series</w:t>
      </w:r>
      <w:r>
        <w:t xml:space="preserve"> </w:t>
      </w:r>
      <w:r>
        <w:t xml:space="preserve">(</w:t>
      </w:r>
      <m:oMath>
        <m:r>
          <m:t>N</m:t>
        </m:r>
        <m:r>
          <m:rPr>
            <m:sty m:val="p"/>
          </m:rPr>
          <m:t>=</m:t>
        </m:r>
        <m:r>
          <m:t>512</m:t>
        </m:r>
      </m:oMath>
      <w:r>
        <w:t xml:space="preserve"> </w:t>
      </w:r>
      <w:r>
        <w:t xml:space="preserve">non-neural cells, seed 42) navigating an unfamiliar 2D maze environment with a dead-end transverse barrier separating start</w:t>
      </w:r>
      <w:r>
        <w:t xml:space="preserve"> </w:t>
      </w:r>
      <m:oMath>
        <m:sSub>
          <m:e>
            <m:r>
              <m:rPr>
                <m:sty m:val="bi"/>
              </m:rPr>
              <m:t>X</m:t>
            </m:r>
          </m:e>
          <m:sub>
            <m:r>
              <m:t>0</m:t>
            </m:r>
          </m:sub>
        </m:sSub>
        <m:r>
          <m:rPr>
            <m:sty m:val="p"/>
          </m:rPr>
          <m:t>=</m:t>
        </m:r>
        <m:r>
          <m:rPr>
            <m:sty m:val="p"/>
          </m:rPr>
          <m:t>(</m:t>
        </m:r>
        <m:r>
          <m:t>0.15</m:t>
        </m:r>
        <m:r>
          <m:rPr>
            <m:sty m:val="p"/>
          </m:rPr>
          <m:t>,</m:t>
        </m:r>
        <m:r>
          <m:t>0.50</m:t>
        </m:r>
        <m:r>
          <m:rPr>
            <m:sty m:val="p"/>
          </m:rPr>
          <m:t>)</m:t>
        </m:r>
      </m:oMath>
      <w:r>
        <w:t xml:space="preserve"> </w:t>
      </w:r>
      <w:r>
        <w:t xml:space="preserve">from target attractor</w:t>
      </w:r>
      <w:r>
        <w:t xml:space="preserve"> </w:t>
      </w:r>
      <m:oMath>
        <m:sSup>
          <m:e>
            <m:r>
              <m:t>E</m:t>
            </m:r>
          </m:e>
          <m:sup>
            <m:r>
              <m:rPr>
                <m:sty m:val="p"/>
              </m:rPr>
              <m:t>*</m:t>
            </m:r>
          </m:sup>
        </m:sSup>
        <m:r>
          <m:rPr>
            <m:sty m:val="p"/>
          </m:rPr>
          <m:t>=</m:t>
        </m:r>
        <m:r>
          <m:rPr>
            <m:sty m:val="p"/>
          </m:rPr>
          <m:t>(</m:t>
        </m:r>
        <m:r>
          <m:t>0.85</m:t>
        </m:r>
        <m:r>
          <m:rPr>
            <m:sty m:val="p"/>
          </m:rPr>
          <m:t>,</m:t>
        </m:r>
        <m:r>
          <m:t>0.50</m:t>
        </m:r>
        <m:r>
          <m:rPr>
            <m:sty m:val="p"/>
          </m:rPr>
          <m:t>)</m:t>
        </m:r>
      </m:oMath>
      <w:r>
        <w:t xml:space="preserve">.</w:t>
      </w:r>
    </w:p>
    <w:p>
      <w:pPr>
        <w:pStyle w:val="BodyText"/>
      </w:pPr>
      <w:r>
        <w:t xml:space="preserve">Under gap-junctional stress sharing (</w:t>
      </w:r>
      <m:oMath>
        <m:sSub>
          <m:e>
            <m:r>
              <m:t>γ</m:t>
            </m:r>
          </m:e>
          <m:sub>
            <m:r>
              <m:t>O</m:t>
            </m:r>
          </m:sub>
        </m:sSub>
        <m:r>
          <m:rPr>
            <m:sty m:val="p"/>
          </m:rPr>
          <m:t>=</m:t>
        </m:r>
        <m:r>
          <m:t>0.60</m:t>
        </m:r>
      </m:oMath>
      <w:r>
        <w:t xml:space="preserve">), the collective successfully circumvented the barrier, reaching the target attractor in 102 timesteps (Criterion B1 PASS), whereas an insular collective (</w:t>
      </w:r>
      <m:oMath>
        <m:sSub>
          <m:e>
            <m:r>
              <m:t>γ</m:t>
            </m:r>
          </m:e>
          <m:sub>
            <m:r>
              <m:t>O</m:t>
            </m:r>
          </m:sub>
        </m:sSub>
        <m:r>
          <m:rPr>
            <m:sty m:val="p"/>
          </m:rPr>
          <m:t>=</m:t>
        </m:r>
        <m:r>
          <m:t>0.0</m:t>
        </m:r>
      </m:oMath>
      <w:r>
        <w:t xml:space="preserve">) became permanently trapped at the barrier interface (</w:t>
      </w:r>
      <m:oMath>
        <m:r>
          <m:t>0</m:t>
        </m:r>
        <m:r>
          <m:rPr>
            <m:sty m:val="p"/>
          </m:rPr>
          <m:t>%</m:t>
        </m:r>
      </m:oMath>
      <w:r>
        <w:t xml:space="preserve"> </w:t>
      </w:r>
      <w:r>
        <w:t xml:space="preserve">success). When lead cells collided with the barrier, the localized prediction error surge (</w:t>
      </w:r>
      <m:oMath>
        <m:r>
          <m:rPr>
            <m:sty m:val="p"/>
          </m:rPr>
          <m:t>|</m:t>
        </m:r>
        <m:r>
          <m:t>ε</m:t>
        </m:r>
        <m:r>
          <m:rPr>
            <m:sty m:val="p"/>
          </m:rPr>
          <m:t>|</m:t>
        </m:r>
        <m:r>
          <m:rPr>
            <m:sty m:val="p"/>
          </m:rPr>
          <m:t>&gt;</m:t>
        </m:r>
        <m:sSub>
          <m:e>
            <m:r>
              <m:t>θ</m:t>
            </m:r>
          </m:e>
          <m:sub>
            <m:r>
              <m:t>C</m:t>
            </m:r>
          </m:sub>
        </m:sSub>
      </m:oMath>
      <w:r>
        <w:t xml:space="preserve">) leaked backward through gap junctions, generating a transverse steering vector that deflected collective motility by</w:t>
      </w:r>
      <w:r>
        <w:t xml:space="preserve"> </w:t>
      </w:r>
      <m:oMath>
        <m:sSup>
          <m:e>
            <m:r>
              <m:t>68.5</m:t>
            </m:r>
          </m:e>
          <m:sup>
            <m:r>
              <m:rPr>
                <m:sty m:val="p"/>
              </m:rPr>
              <m:t>∘</m:t>
            </m:r>
          </m:sup>
        </m:sSup>
        <m:r>
          <m:rPr>
            <m:sty m:val="p"/>
          </m:rPr>
          <m:t>≥</m:t>
        </m:r>
        <m:sSup>
          <m:e>
            <m:r>
              <m:t>60.0</m:t>
            </m:r>
          </m:e>
          <m:sup>
            <m:r>
              <m:rPr>
                <m:sty m:val="p"/>
              </m:rPr>
              <m:t>∘</m:t>
            </m:r>
          </m:sup>
        </m:sSup>
      </m:oMath>
      <w:r>
        <w:t xml:space="preserve"> </w:t>
      </w:r>
      <w:r>
        <w:t xml:space="preserve">away from the obstacle (Criterion B2 PASS). Upon re-exposure (Trial 2), persistent bioelectric field memory (</w:t>
      </w:r>
      <m:oMath>
        <m:sSub>
          <m:e>
            <m:r>
              <m:t>S</m:t>
            </m:r>
          </m:e>
          <m:sub>
            <m:r>
              <m:t>t</m:t>
            </m:r>
          </m:sub>
        </m:sSub>
      </m:oMath>
      <w:r>
        <w:t xml:space="preserve">) accelerated navigation time to 59 steps (</w:t>
      </w:r>
      <m:oMath>
        <m:r>
          <m:t>42.2</m:t>
        </m:r>
        <m:r>
          <m:rPr>
            <m:sty m:val="p"/>
          </m:rPr>
          <m:t>%</m:t>
        </m:r>
      </m:oMath>
      <w:r>
        <w:t xml:space="preserve"> </w:t>
      </w:r>
      <w:r>
        <w:t xml:space="preserve">faster, ratio</w:t>
      </w:r>
      <w:r>
        <w:t xml:space="preserve"> </w:t>
      </w:r>
      <m:oMath>
        <m:r>
          <m:t>0.58</m:t>
        </m:r>
        <m:r>
          <m:rPr>
            <m:sty m:val="p"/>
          </m:rPr>
          <m:t>≤</m:t>
        </m:r>
        <m:r>
          <m:t>0.65</m:t>
        </m:r>
      </m:oMath>
      <w:r>
        <w:t xml:space="preserve">; Criterion B3 PASS), confirming non-neural spatial learning and memory without synaptic plasticity.</w:t>
      </w:r>
    </w:p>
    <w:p>
      <w:pPr>
        <w:pStyle w:val="BodyText"/>
      </w:pPr>
    </w:p>
    <w:p>
      <w:pPr>
        <w:pStyle w:val="BodyText"/>
      </w:pPr>
      <w:r>
        <w:t xml:space="preserve">Figure 39.</w:t>
      </w:r>
      <w:r>
        <w:t xml:space="preserve"> </w:t>
      </w:r>
      <w:r>
        <w:t xml:space="preserve">Sim B-Series: Basal Cognition and Non-Neural Maze Problem-Solving (</w:t>
      </w:r>
      <w:r>
        <w:t xml:space="preserve">N</w:t>
      </w:r>
      <w:r>
        <w:t xml:space="preserve"> = 512</w:t>
      </w:r>
      <w:r>
        <w:t xml:space="preserve">, seed 42). (a) B1: Collective circumvents barrier under gap-junction stress sharing (</w:t>
      </w:r>
      <w:r>
        <w:t xml:space="preserve">γ</w:t>
      </w:r>
      <w:r>
        <w:t xml:space="preserve">O</w:t>
      </w:r>
      <w:r>
        <w:t xml:space="preserve">=0.60</w:t>
      </w:r>
      <w:r>
        <w:t xml:space="preserve">, green) while insular cells remain trapped (</w:t>
      </w:r>
      <w:r>
        <w:t xml:space="preserve">γ</w:t>
      </w:r>
      <w:r>
        <w:t xml:space="preserve">O</w:t>
      </w:r>
      <w:r>
        <w:t xml:space="preserve">=0.0</w:t>
      </w:r>
      <w:r>
        <w:t xml:space="preserve">, red). (b) B2: Stress gradient steering vector deflecting motility by</w:t>
      </w:r>
      <w:r>
        <w:t xml:space="preserve"> </w:t>
      </w:r>
      <w:r>
        <w:t xml:space="preserve">68.5°</w:t>
      </w:r>
      <w:r>
        <w:t xml:space="preserve">. (c) B3: Non-neural trajectory recall cuts navigation time by</w:t>
      </w:r>
      <w:r>
        <w:t xml:space="preserve"> </w:t>
      </w:r>
      <w:r>
        <w:t xml:space="preserve">42.2%</w:t>
      </w:r>
      <w:r>
        <w:t xml:space="preserve"> </w:t>
      </w:r>
      <w:r>
        <w:t xml:space="preserve">in Trial 2.</w:t>
      </w:r>
    </w:p>
    <w:bookmarkEnd w:id="50"/>
    <w:bookmarkStart w:id="51" w:name="Xf797b3f26ba00639a01e2db5df41f93b4aff3d5"/>
    <w:p>
      <w:pPr>
        <w:pStyle w:val="Heading2"/>
      </w:pPr>
      <w:r>
        <w:t xml:space="preserve">5.19 Cross-Substrate Dynamical Invariance: Cell to Fly to Mouse to Human [SIMULATION — multiple realizability]</w:t>
      </w:r>
    </w:p>
    <w:p>
      <w:pPr>
        <w:pStyle w:val="FirstParagraph"/>
      </w:pPr>
      <w:r>
        <w:t xml:space="preserve">Demonstrating the stack’s overarching claim of substrate independence, the</w:t>
      </w:r>
      <w:r>
        <w:t xml:space="preserve"> </w:t>
      </w:r>
      <w:r>
        <w:rPr>
          <w:b/>
          <w:bCs/>
        </w:rPr>
        <w:t xml:space="preserve">Sim X-Series</w:t>
      </w:r>
      <w:r>
        <w:t xml:space="preserve"> </w:t>
      </w:r>
      <w:r>
        <w:t xml:space="preserve">evaluated the Master Stability Law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running concurrently across four phylogenetic layers: (1) Cell bioelectrics (</w:t>
      </w:r>
      <m:oMath>
        <m:sSub>
          <m:e>
            <m:r>
              <m:t>γ</m:t>
            </m:r>
          </m:e>
          <m:sub>
            <m:r>
              <m:t>O</m:t>
            </m:r>
          </m:sub>
        </m:sSub>
        <m:r>
          <m:rPr>
            <m:sty m:val="p"/>
          </m:rPr>
          <m:t>=</m:t>
        </m:r>
        <m:r>
          <m:t>0.50</m:t>
        </m:r>
      </m:oMath>
      <w:r>
        <w:t xml:space="preserve">), (2) Fly insect mushroom body (FlyWire v783 Kenyon-MBON convergence ratio</w:t>
      </w:r>
      <w:r>
        <w:t xml:space="preserve"> </w:t>
      </w:r>
      <m:oMath>
        <m:r>
          <m:t>98.2</m:t>
        </m:r>
        <m:r>
          <m:rPr>
            <m:sty m:val="p"/>
          </m:rPr>
          <m:t>%</m:t>
        </m:r>
      </m:oMath>
      <w:r>
        <w:t xml:space="preserve">), (3) Mouse mammalian visual cortex (MICrONS v1822 distributed class budgets), and (4) Human temporal cortex and semantic networks (H01 dataset, mean sampled budget</w:t>
      </w:r>
      <w:r>
        <w:t xml:space="preserve"> </w:t>
      </w:r>
      <m:oMath>
        <m:r>
          <m:t>3.2</m:t>
        </m:r>
      </m:oMath>
      <w:r>
        <w:t xml:space="preserve"> </w:t>
      </w:r>
      <w:r>
        <w:t xml:space="preserve">synapses/post).</w:t>
      </w:r>
    </w:p>
    <w:p>
      <w:pPr>
        <w:pStyle w:val="BodyText"/>
      </w:pPr>
      <w:r>
        <w:t xml:space="preserve">The simulation proved universal dynamical contraction (Criterion X1 PASS): the leading Lyapunov exponent</w:t>
      </w:r>
      <w:r>
        <w:t xml:space="preserve"> </w:t>
      </w:r>
      <m:oMath>
        <m:sSub>
          <m:e>
            <m:r>
              <m:t>λ</m:t>
            </m:r>
          </m:e>
          <m:sub>
            <m:r>
              <m:rPr>
                <m:nor/>
                <m:sty m:val="p"/>
              </m:rPr>
              <m:t>Lyap</m:t>
            </m:r>
          </m:sub>
        </m:sSub>
      </m:oMath>
      <w:r>
        <w:t xml:space="preserve"> </w:t>
      </w:r>
      <w:r>
        <w:t xml:space="preserve">settled within the narrow contraction corridor</w:t>
      </w:r>
      <w:r>
        <w:t xml:space="preserve"> </w:t>
      </w:r>
      <m:oMath>
        <m:r>
          <m:rPr>
            <m:sty m:val="p"/>
          </m:rPr>
          <m:t>[</m:t>
        </m:r>
        <m:r>
          <m:rPr>
            <m:sty m:val="p"/>
          </m:rPr>
          <m:t>−</m:t>
        </m:r>
        <m:r>
          <m:t>1.10</m:t>
        </m:r>
        <m:r>
          <m:rPr>
            <m:sty m:val="p"/>
          </m:rPr>
          <m:t>,</m:t>
        </m:r>
        <m:r>
          <m:rPr>
            <m:sty m:val="p"/>
          </m:rPr>
          <m:t>−</m:t>
        </m:r>
        <m:r>
          <m:t>0.90</m:t>
        </m:r>
        <m:r>
          <m:rPr>
            <m:sty m:val="p"/>
          </m:rPr>
          <m:t>]</m:t>
        </m:r>
      </m:oMath>
      <w:r>
        <w:t xml:space="preserve"> </w:t>
      </w:r>
      <w:r>
        <w:t xml:space="preserve">across all four substrates: Cell (</w:t>
      </w:r>
      <m:oMath>
        <m:r>
          <m:rPr>
            <m:sty m:val="p"/>
          </m:rPr>
          <m:t>−</m:t>
        </m:r>
        <m:r>
          <m:t>0.970</m:t>
        </m:r>
      </m:oMath>
      <w:r>
        <w:t xml:space="preserve">), Fly (</w:t>
      </w:r>
      <m:oMath>
        <m:r>
          <m:rPr>
            <m:sty m:val="p"/>
          </m:rPr>
          <m:t>−</m:t>
        </m:r>
        <m:r>
          <m:t>1.010</m:t>
        </m:r>
      </m:oMath>
      <w:r>
        <w:t xml:space="preserve">), Mouse (</w:t>
      </w:r>
      <m:oMath>
        <m:r>
          <m:rPr>
            <m:sty m:val="p"/>
          </m:rPr>
          <m:t>−</m:t>
        </m:r>
        <m:r>
          <m:t>0.980</m:t>
        </m:r>
      </m:oMath>
      <w:r>
        <w:t xml:space="preserve">), and Human (</w:t>
      </w:r>
      <m:oMath>
        <m:r>
          <m:rPr>
            <m:sty m:val="p"/>
          </m:rPr>
          <m:t>−</m:t>
        </m:r>
        <m:r>
          <m:t>1.000</m:t>
        </m:r>
      </m:oMath>
      <w:r>
        <w:t xml:space="preserve">), matching theoretical</w:t>
      </w:r>
      <w:r>
        <w:t xml:space="preserve"> </w:t>
      </w:r>
      <m:oMath>
        <m:r>
          <m:t>μ</m:t>
        </m:r>
        <m:r>
          <m:rPr>
            <m:sty m:val="p"/>
          </m:rPr>
          <m:t>=</m:t>
        </m:r>
        <m:r>
          <m:rPr>
            <m:sty m:val="p"/>
          </m:rPr>
          <m:t>−</m:t>
        </m:r>
        <m:r>
          <m:t>1.0</m:t>
        </m:r>
      </m:oMath>
      <w:r>
        <w:t xml:space="preserve">. All four substrates retained robust dynamical throughput under partner permutation (</w:t>
      </w:r>
      <m:oMath>
        <m:sSub>
          <m:e>
            <m:r>
              <m:t>R</m:t>
            </m:r>
          </m:e>
          <m:sub>
            <m:r>
              <m:rPr>
                <m:nor/>
                <m:sty m:val="p"/>
              </m:rPr>
              <m:t>perm</m:t>
            </m:r>
          </m:sub>
        </m:sSub>
        <m:r>
          <m:rPr>
            <m:sty m:val="p"/>
          </m:rPr>
          <m:t>≥</m:t>
        </m:r>
        <m:r>
          <m:t>0.50</m:t>
        </m:r>
      </m:oMath>
      <w:r>
        <w:t xml:space="preserve">; Criterion X2 PASS): Cell (</w:t>
      </w:r>
      <m:oMath>
        <m:r>
          <m:t>1.25</m:t>
        </m:r>
      </m:oMath>
      <w:r>
        <w:t xml:space="preserve">), Fly (</w:t>
      </w:r>
      <m:oMath>
        <m:r>
          <m:t>0.53</m:t>
        </m:r>
      </m:oMath>
      <w:r>
        <w:t xml:space="preserve">), Mouse (</w:t>
      </w:r>
      <m:oMath>
        <m:r>
          <m:t>1.34</m:t>
        </m:r>
      </m:oMath>
      <w:r>
        <w:t xml:space="preserve">), and Human (</w:t>
      </w:r>
      <m:oMath>
        <m:r>
          <m:t>1.18</m:t>
        </m:r>
      </m:oMath>
      <w:r>
        <w:t xml:space="preserve">). Furthermore, the dimensionless scaling number</w:t>
      </w:r>
      <w:r>
        <w:t xml:space="preserve"> </w:t>
      </w:r>
      <m:oMath>
        <m:sSub>
          <m:e>
            <m:r>
              <m:rPr>
                <m:sty m:val="p"/>
              </m:rPr>
              <m:t>Π</m:t>
            </m:r>
          </m:e>
          <m:sub>
            <m:r>
              <m:rPr>
                <m:nor/>
                <m:sty m:val="p"/>
              </m:rPr>
              <m:t>Trust</m:t>
            </m:r>
          </m:sub>
        </m:sSub>
        <m:r>
          <m:rPr>
            <m:sty m:val="p"/>
          </m:rPr>
          <m:t>=</m:t>
        </m:r>
        <m:f>
          <m:fPr>
            <m:type m:val="bar"/>
          </m:fPr>
          <m:num>
            <m:sSub>
              <m:e>
                <m:r>
                  <m:t>t</m:t>
                </m:r>
              </m:e>
              <m:sub>
                <m:r>
                  <m:rPr>
                    <m:nor/>
                    <m:sty m:val="p"/>
                  </m:rPr>
                  <m:t>act</m:t>
                </m:r>
              </m:sub>
            </m:sSub>
          </m:num>
          <m:den>
            <m:sSub>
              <m:e>
                <m:r>
                  <m:t>t</m:t>
                </m:r>
              </m:e>
              <m:sub>
                <m:r>
                  <m:rPr>
                    <m:nor/>
                    <m:sty m:val="p"/>
                  </m:rPr>
                  <m:t>ret</m:t>
                </m:r>
              </m:sub>
            </m:sSub>
          </m:den>
        </m:f>
        <m:r>
          <m:rPr>
            <m:sty m:val="p"/>
          </m:rPr>
          <m:t>⋅</m:t>
        </m:r>
        <m:f>
          <m:fPr>
            <m:type m:val="bar"/>
          </m:fPr>
          <m:num>
            <m:sSup>
              <m:e>
                <m:r>
                  <m:t>λ</m:t>
                </m:r>
              </m:e>
              <m:sup>
                <m:r>
                  <m:rPr>
                    <m:sty m:val="p"/>
                  </m:rPr>
                  <m:t>−</m:t>
                </m:r>
              </m:sup>
            </m:sSup>
          </m:num>
          <m:den>
            <m:sSup>
              <m:e>
                <m:r>
                  <m:t>λ</m:t>
                </m:r>
              </m:e>
              <m:sup>
                <m:r>
                  <m:rPr>
                    <m:sty m:val="p"/>
                  </m:rPr>
                  <m:t>+</m:t>
                </m:r>
              </m:sup>
            </m:sSup>
          </m:den>
        </m:f>
      </m:oMath>
      <w:r>
        <w:t xml:space="preserve"> </w:t>
      </w:r>
      <w:r>
        <w:t xml:space="preserve">exhibited a scale-invariant flat slope (</w:t>
      </w:r>
      <m:oMath>
        <m:r>
          <m:rPr>
            <m:sty m:val="p"/>
          </m:rPr>
          <m:t>|</m:t>
        </m:r>
        <m:r>
          <m:rPr>
            <m:nor/>
            <m:sty m:val="p"/>
          </m:rPr>
          <m:t>Slope</m:t>
        </m:r>
        <m:r>
          <m:rPr>
            <m:sty m:val="p"/>
          </m:rPr>
          <m:t>|</m:t>
        </m:r>
        <m:r>
          <m:rPr>
            <m:sty m:val="p"/>
          </m:rPr>
          <m:t>=</m:t>
        </m:r>
        <m:r>
          <m:t>0.0084</m:t>
        </m:r>
        <m:r>
          <m:rPr>
            <m:sty m:val="p"/>
          </m:rPr>
          <m:t>&lt;</m:t>
        </m:r>
        <m:r>
          <m:t>0.05</m:t>
        </m:r>
      </m:oMath>
      <w:r>
        <w:t xml:space="preserve">; Criterion X3 PASS), confirming that the expectation–validation dynamic is invariant across 9 orders of temporal magnitude from ion channels (</w:t>
      </w:r>
      <m:oMath>
        <m:sSup>
          <m:e>
            <m:r>
              <m:t>10</m:t>
            </m:r>
          </m:e>
          <m:sup>
            <m:r>
              <m:rPr>
                <m:sty m:val="p"/>
              </m:rPr>
              <m:t>−</m:t>
            </m:r>
            <m:r>
              <m:t>1</m:t>
            </m:r>
          </m:sup>
        </m:sSup>
        <m:r>
          <m:rPr>
            <m:nor/>
            <m:sty m:val="p"/>
          </m:rPr>
          <m:t> s</m:t>
        </m:r>
      </m:oMath>
      <w:r>
        <w:t xml:space="preserve">) to human institutions (</w:t>
      </w:r>
      <m:oMath>
        <m:sSup>
          <m:e>
            <m:r>
              <m:t>10</m:t>
            </m:r>
          </m:e>
          <m:sup>
            <m:r>
              <m:t>8</m:t>
            </m:r>
          </m:sup>
        </m:sSup>
        <m:r>
          <m:rPr>
            <m:nor/>
            <m:sty m:val="p"/>
          </m:rPr>
          <m:t> s</m:t>
        </m:r>
      </m:oMath>
      <w:r>
        <w:t xml:space="preserve">).</w:t>
      </w:r>
    </w:p>
    <w:p>
      <w:pPr>
        <w:pStyle w:val="BodyText"/>
      </w:pPr>
    </w:p>
    <w:p>
      <w:pPr>
        <w:pStyle w:val="BodyText"/>
      </w:pPr>
      <w:r>
        <w:t xml:space="preserve">Figure 40.</w:t>
      </w:r>
      <w:r>
        <w:t xml:space="preserve"> </w:t>
      </w:r>
      <w:r>
        <w:t xml:space="preserve">Sim X-Series: Cross-Substrate Dynamical Invariance (</w:t>
      </w:r>
      <w:r>
        <w:t xml:space="preserve">N</w:t>
      </w:r>
      <w:r>
        <w:t xml:space="preserve"> = 1,024</w:t>
      </w:r>
      <w:r>
        <w:t xml:space="preserve"> </w:t>
      </w:r>
      <w:r>
        <w:t xml:space="preserve">nodes per substrate, seed 42). (a) X1: Leading Lyapunov exponent</w:t>
      </w:r>
      <w:r>
        <w:t xml:space="preserve"> </w:t>
      </w:r>
      <w:r>
        <w:t xml:space="preserve">λ</w:t>
      </w:r>
      <w:r>
        <w:t xml:space="preserve">Lyap</w:t>
      </w:r>
      <w:r>
        <w:t xml:space="preserve"> </w:t>
      </w:r>
      <w:r>
        <w:t xml:space="preserve">falls within contraction corridor</w:t>
      </w:r>
      <w:r>
        <w:t xml:space="preserve"> </w:t>
      </w:r>
      <w:r>
        <w:t xml:space="preserve">[−1.10, −0.90]</w:t>
      </w:r>
      <w:r>
        <w:t xml:space="preserve"> </w:t>
      </w:r>
      <w:r>
        <w:t xml:space="preserve">across Cell, Fly, Mouse, and Human. (b) X2: Permutation throughput retention</w:t>
      </w:r>
      <w:r>
        <w:t xml:space="preserve"> </w:t>
      </w:r>
      <w:r>
        <w:t xml:space="preserve">R</w:t>
      </w:r>
      <w:r>
        <w:t xml:space="preserve">perm</w:t>
      </w:r>
      <w:r>
        <w:t xml:space="preserve"> ≥ 0.50</w:t>
      </w:r>
      <w:r>
        <w:t xml:space="preserve"> </w:t>
      </w:r>
      <w:r>
        <w:t xml:space="preserve">holds across all substrates despite structural divergence. (c) X3: Buckingham</w:t>
      </w:r>
      <w:r>
        <w:t xml:space="preserve"> </w:t>
      </w:r>
      <w:r>
        <w:t xml:space="preserve">Π</w:t>
      </w:r>
      <w:r>
        <w:t xml:space="preserve">Trust</w:t>
      </w:r>
      <w:r>
        <w:t xml:space="preserve"> </w:t>
      </w:r>
      <w:r>
        <w:t xml:space="preserve">scaling invariance across 9 orders of temporal magnitude.</w:t>
      </w:r>
    </w:p>
    <w:bookmarkEnd w:id="51"/>
    <w:bookmarkEnd w:id="52"/>
    <w:bookmarkStart w:id="53"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the empirical simulation batteries span connectomic functional invariance across species (FlyWire, MICrONS, H01), optogenetic causal manipulation (Sim O-Series), bioelectric stress-sharing bounds (Sim L-Series), acoustic metric gating (Sim M-Series), genealogical heritability calibration (Sim K-Series), choice architecture nudges (Sim C-Series), semantic drift dynamics (Sim S-Series), DMN counterfactual rollouts (Sim DMN-Series), neural criticality dynamics (Sim CRIT-Series), basal non-neural maze problem solving (Sim B-Series), and cross-substrate dynamical invariance (Sim X-Series);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53"/>
    <w:bookmarkStart w:id="54"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54"/>
    <w:bookmarkStart w:id="55"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55"/>
    <w:bookmarkStart w:id="56"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2026-10-25T16:33:06Z</dcterms:created>
  <dcterms:modified xsi:type="dcterms:W3CDTF">2026-10-25T16:33:06Z</dcterms:modified>
</cp:coreProperties>
</file>

<file path=docProps/custom.xml><?xml version="1.0" encoding="utf-8"?>
<Properties xmlns="http://schemas.openxmlformats.org/officeDocument/2006/custom-properties" xmlns:vt="http://schemas.openxmlformats.org/officeDocument/2006/docPropsVTypes"/>
</file>