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png" ContentType="image/png"/>
  <Override PartName="/word/media/rId108.png" ContentType="image/png"/>
  <Override PartName="/word/media/rId112.png" ContentType="image/png"/>
  <Override PartName="/word/media/rId116.png" ContentType="image/png"/>
  <Override PartName="/word/media/rId120.png" ContentType="image/png"/>
  <Override PartName="/word/media/rId55.png" ContentType="image/png"/>
  <Override PartName="/word/media/rId62.png" ContentType="image/png"/>
  <Override PartName="/word/media/rId65.png" ContentType="image/png"/>
  <Override PartName="/word/media/rId69.png" ContentType="image/png"/>
  <Override PartName="/word/media/rId58.png" ContentType="image/png"/>
  <Override PartName="/word/media/rId72.png" ContentType="image/png"/>
  <Override PartName="/word/media/rId32.png" ContentType="image/png"/>
  <Override PartName="/word/media/rId50.png" ContentType="image/png"/>
  <Override PartName="/word/media/rId148.png" ContentType="image/png"/>
  <Override PartName="/word/media/rId152.png" ContentType="image/png"/>
  <Override PartName="/word/media/rId20.png" ContentType="image/png"/>
  <Override PartName="/word/media/rId157.png" ContentType="image/png"/>
  <Override PartName="/word/media/rId162.png" ContentType="image/png"/>
  <Override PartName="/word/media/rId40.png" ContentType="image/png"/>
  <Override PartName="/word/media/rId139.png" ContentType="image/png"/>
  <Override PartName="/word/media/rId80.png" ContentType="image/png"/>
  <Override PartName="/word/media/rId84.png" ContentType="image/png"/>
  <Override PartName="/word/media/rId76.png" ContentType="image/png"/>
  <Override PartName="/word/media/rId100.png" ContentType="image/png"/>
  <Override PartName="/word/media/rId104.png" ContentType="image/png"/>
  <Override PartName="/word/media/rId143.png" ContentType="image/png"/>
  <Override PartName="/word/media/rId181.png" ContentType="image/png"/>
  <Override PartName="/word/media/rId186.png" ContentType="image/png"/>
  <Override PartName="/word/media/rId167.png" ContentType="image/png"/>
  <Override PartName="/word/media/rId171.png" ContentType="image/png"/>
  <Override PartName="/word/media/rId131.png" ContentType="image/png"/>
  <Override PartName="/word/media/rId135.png" ContentType="image/png"/>
  <Override PartName="/word/media/rId88.png" ContentType="image/png"/>
  <Override PartName="/word/media/rId92.png" ContentType="image/png"/>
  <Override PartName="/word/media/rId96.png" ContentType="image/png"/>
  <Override PartName="/word/media/rId124.png" ContentType="image/png"/>
  <Override PartName="/word/media/rId12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DOCAS Framework: A Computational Model of Trust Dynamics as a Parallel Multi-Timescale Neuromodulatory Architecture</w:t>
      </w:r>
    </w:p>
    <w:p>
      <w:pPr>
        <w:pStyle w:val="Author"/>
      </w:pPr>
      <w:r>
        <w:t xml:space="preserve">Devon Shigaki (ORCID: 0009-0003-8977-8010)</w:t>
      </w:r>
      <w:r>
        <w:br/>
      </w:r>
      <w:r>
        <w:t xml:space="preserve">The FreshCredit Lab — Independent Research</w:t>
      </w:r>
      <w:r>
        <w:br/>
      </w:r>
      <w:r>
        <w:t xml:space="preserve">Correspondence: freshcredit.xyz</w:t>
      </w:r>
    </w:p>
    <w:p>
      <w:pPr>
        <w:pStyle w:val="Date"/>
      </w:pPr>
      <w:r>
        <w:t xml:space="preserve">Version 4.0 — October 2026</w:t>
      </w:r>
    </w:p>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r>
          <m:rPr>
            <m:sty m:val="p"/>
          </m:rPr>
          <m:t>=</m:t>
        </m:r>
        <m:r>
          <m:t>λ</m:t>
        </m:r>
        <m:sSub>
          <m:e>
            <m:r>
              <m:t>ε</m:t>
            </m:r>
          </m:e>
          <m:sub>
            <m:r>
              <m:t>t</m:t>
            </m:r>
          </m:sub>
        </m:sSub>
      </m:oMath>
      <w:r>
        <w:t xml:space="preserve">, with the stack-wide convention</w:t>
      </w:r>
      <w:r>
        <w:t xml:space="preserve"> </w:t>
      </w:r>
      <m:oMath>
        <m:sSub>
          <m:e>
            <m:r>
              <m:t>ε</m:t>
            </m:r>
          </m:e>
          <m:sub>
            <m:r>
              <m:t>t</m:t>
            </m:r>
          </m:sub>
        </m:sSub>
        <m:r>
          <m:rPr>
            <m:sty m:val="p"/>
          </m:rPr>
          <m:t>=</m:t>
        </m:r>
        <m:sSub>
          <m:e>
            <m:r>
              <m:t>V</m:t>
            </m:r>
          </m:e>
          <m:sub>
            <m:r>
              <m:t>t</m:t>
            </m:r>
          </m:sub>
        </m:sSub>
        <m:r>
          <m:rPr>
            <m:sty m:val="p"/>
          </m:rPr>
          <m:t>−</m:t>
        </m:r>
        <m:sSub>
          <m:e>
            <m:r>
              <m:t>E</m:t>
            </m:r>
          </m:e>
          <m:sub>
            <m:r>
              <m:t>t</m:t>
            </m:r>
          </m:sub>
        </m:sSub>
      </m:oMath>
      <w:r>
        <w:t xml:space="preserve"> </w:t>
      </w:r>
      <w:r>
        <w:t xml:space="preserve">(validation-minus-expectation; positive</w:t>
      </w:r>
      <w:r>
        <w:t xml:space="preserve"> </w:t>
      </w:r>
      <m:oMath>
        <m:r>
          <m:t>ε</m:t>
        </m:r>
      </m:oMath>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m:oMath>
        <m:r>
          <m:rPr>
            <m:sty m:val="p"/>
          </m:rPr>
          <m:t>∼</m:t>
        </m:r>
      </m:oMath>
      <w:r>
        <w:t xml:space="preserve">2,700 s; up to five if serotonergic tone is included) — phasic dopamine bursts of</w:t>
      </w:r>
      <w:r>
        <w:t xml:space="preserve"> </w:t>
      </w:r>
      <m:oMath>
        <m:r>
          <m:rPr>
            <m:sty m:val="p"/>
          </m:rPr>
          <m:t>∼</m:t>
        </m:r>
      </m:oMath>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m:oMath>
        <m:r>
          <m:rPr>
            <m:sty m:val="p"/>
          </m:rPr>
          <m:t>≠</m:t>
        </m:r>
      </m:oMath>
      <w:r>
        <w:t xml:space="preserve"> </w:t>
      </w:r>
      <w:r>
        <w:t xml:space="preserve">“reward;́́ oxytocin</w:t>
      </w:r>
      <w:r>
        <w:t xml:space="preserve"> </w:t>
      </w:r>
      <m:oMath>
        <m:r>
          <m:rPr>
            <m:sty m:val="p"/>
          </m:rPr>
          <m:t>≠</m:t>
        </m:r>
      </m:oMath>
      <w:r>
        <w:t xml:space="preserve"> </w:t>
      </w:r>
      <w:r>
        <w:t xml:space="preserve">“trust moleculeó́r “bonding hormone;́́ cortisol</w:t>
      </w:r>
      <w:r>
        <w:t xml:space="preserve"> </w:t>
      </w:r>
      <m:oMath>
        <m:r>
          <m:rPr>
            <m:sty m:val="p"/>
          </m:rPr>
          <m:t>≠</m:t>
        </m:r>
      </m:oMath>
      <w:r>
        <w:t xml:space="preserve"> </w:t>
      </w:r>
      <w:r>
        <w:t xml:space="preserve">generic “stress;́́ serotonin</w:t>
      </w:r>
      <w:r>
        <w:t xml:space="preserve"> </w:t>
      </w:r>
      <m:oMath>
        <m:r>
          <m:rPr>
            <m:sty m:val="p"/>
          </m:rPr>
          <m:t>≠</m:t>
        </m:r>
      </m:oMath>
      <w:r>
        <w:t xml:space="preserve"> </w:t>
      </w:r>
      <w:r>
        <w:t xml:space="preserve">“status/contentment)́́. We formalize channel interactions through</w:t>
      </w:r>
      <w:r>
        <w:t xml:space="preserve"> </w:t>
      </w:r>
      <m:oMath>
        <m:r>
          <m:t>τ</m:t>
        </m:r>
      </m:oMath>
      <w:r>
        <w:t xml:space="preserve"> </w:t>
      </w:r>
      <w:r>
        <w:t xml:space="preserve">= -EFE, the negative of expected free energy as introduced in active inference</w:t>
      </w:r>
      <w:r>
        <w:t xml:space="preserve"> </w:t>
      </w:r>
      <w:r>
        <w:t xml:space="preserve">, with valence</w:t>
      </w:r>
      <w:r>
        <w:t xml:space="preserve"> </w:t>
      </w:r>
      <m:oMath>
        <m:r>
          <m:rPr>
            <m:sty m:val="p"/>
          </m:rPr>
          <m:t>=</m:t>
        </m:r>
        <m:r>
          <m:rPr>
            <m:sty m:val="p"/>
          </m:rPr>
          <m:t>s</m:t>
        </m:r>
        <m:r>
          <m:rPr>
            <m:sty m:val="p"/>
          </m:rPr>
          <m:t>i</m:t>
        </m:r>
        <m:r>
          <m:rPr>
            <m:sty m:val="p"/>
          </m:rPr>
          <m:t>g</m:t>
        </m:r>
        <m:r>
          <m:rPr>
            <m:sty m:val="p"/>
          </m:rPr>
          <m:t>n</m:t>
        </m:r>
        <m:r>
          <m:rPr>
            <m:sty m:val="p"/>
          </m:rPr>
          <m:t>(</m:t>
        </m:r>
        <m:r>
          <m:rPr>
            <m:sty m:val="p"/>
          </m:rPr>
          <m:t>Δ</m:t>
        </m:r>
        <m:r>
          <m:t>τ</m:t>
        </m:r>
        <m:r>
          <m:rPr>
            <m:sty m:val="p"/>
          </m:rPr>
          <m:t>)</m:t>
        </m:r>
      </m:oMath>
      <w:r>
        <w:t xml:space="preserve">, arousal</w:t>
      </w:r>
      <w:r>
        <w:t xml:space="preserve"> </w:t>
      </w:r>
      <m:oMath>
        <m:r>
          <m:rPr>
            <m:sty m:val="p"/>
          </m:rPr>
          <m:t>=</m:t>
        </m:r>
        <m:r>
          <m:rPr>
            <m:sty m:val="p"/>
          </m:rPr>
          <m:t>|</m:t>
        </m:r>
        <m:r>
          <m:rPr>
            <m:sty m:val="p"/>
          </m:rPr>
          <m:t>Δ</m:t>
        </m:r>
        <m:r>
          <m:t>τ</m:t>
        </m:r>
        <m:r>
          <m:rPr>
            <m:sty m:val="p"/>
          </m:rPr>
          <m:t>|</m:t>
        </m:r>
      </m:oMath>
      <w:r>
        <w:t xml:space="preserve">, dominance</w:t>
      </w:r>
      <w:r>
        <w:t xml:space="preserve"> </w:t>
      </w:r>
      <m:oMath>
        <m:r>
          <m:rPr>
            <m:sty m:val="p"/>
          </m:rPr>
          <m:t>=</m:t>
        </m:r>
        <m:r>
          <m:t>d</m:t>
        </m:r>
        <m:r>
          <m:rPr>
            <m:sty m:val="p"/>
          </m:rPr>
          <m:t>(</m:t>
        </m:r>
        <m:r>
          <m:rPr>
            <m:sty m:val="p"/>
          </m:rPr>
          <m:t>Δ</m:t>
        </m:r>
        <m:r>
          <m:t>τ</m:t>
        </m:r>
        <m:r>
          <m:rPr>
            <m:sty m:val="p"/>
          </m:rPr>
          <m:t>)</m:t>
        </m:r>
        <m:r>
          <m:rPr>
            <m:sty m:val="p"/>
          </m:rPr>
          <m:t>/</m:t>
        </m:r>
        <m:r>
          <m:t>d</m:t>
        </m:r>
        <m:r>
          <m:t>t</m:t>
        </m:r>
      </m:oMath>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m:oMath>
        <m:r>
          <m:t>p</m:t>
        </m:r>
        <m:r>
          <m:rPr>
            <m:sty m:val="p"/>
          </m:rPr>
          <m:t>=</m:t>
        </m:r>
        <m:r>
          <m:t>5.39</m:t>
        </m:r>
        <m:r>
          <m:rPr>
            <m:sty m:val="p"/>
          </m:rPr>
          <m:t>×</m:t>
        </m:r>
        <m:sSup>
          <m:e>
            <m:r>
              <m:t>10</m:t>
            </m:r>
          </m:e>
          <m:sup>
            <m:r>
              <m:rPr>
                <m:sty m:val="p"/>
              </m:rPr>
              <m:t>−</m:t>
            </m:r>
            <m:r>
              <m:t>11</m:t>
            </m:r>
          </m:sup>
        </m:sSup>
      </m:oMath>
      <w:r>
        <w:t xml:space="preserve">, OR = 0.89;</w:t>
      </w:r>
      <w:r>
        <w:t xml:space="preserve"> </w:t>
      </w:r>
      <w:r>
        <w:t xml:space="preserve">) but failed its lookup in the largest independent anxiety GWAS (</w:t>
      </w:r>
      <m:oMath>
        <m:r>
          <m:t>p</m:t>
        </m:r>
        <m:r>
          <m:rPr>
            <m:sty m:val="p"/>
          </m:rPr>
          <m:t>=</m:t>
        </m:r>
        <m:r>
          <m:t>.18</m:t>
        </m:r>
      </m:oMath>
      <w:r>
        <w:t xml:space="preserve">, OR = 0.97;</w:t>
      </w:r>
      <w:r>
        <w:t xml:space="preserve"> </w:t>
      </w:r>
      <w:r>
        <w:t xml:space="preserve">). The PDE4B</w:t>
      </w:r>
      <w:r>
        <w:t xml:space="preserve"> </w:t>
      </w:r>
      <m:oMath>
        <m:r>
          <m:rPr>
            <m:sty m:val="p"/>
          </m:rPr>
          <m:t>→</m:t>
        </m:r>
      </m:oMath>
      <w:r>
        <w:t xml:space="preserve"> </w:t>
      </w:r>
      <w:r>
        <w:t xml:space="preserve">cAMP</w:t>
      </w:r>
      <w:r>
        <w:t xml:space="preserve"> </w:t>
      </w:r>
      <m:oMath>
        <m:r>
          <m:rPr>
            <m:sty m:val="p"/>
          </m:rPr>
          <m:t>→</m:t>
        </m:r>
      </m:oMath>
      <w:r>
        <w:t xml:space="preserve"> </w:t>
      </w:r>
      <w:r>
        <w:t xml:space="preserve">trust-sensitivity-</w:t>
      </w:r>
      <m:oMath>
        <m:r>
          <m:t>λ</m:t>
        </m:r>
      </m:oMath>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m:oMath>
        <m:r>
          <m:t>τ</m:t>
        </m:r>
      </m:oMath>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m:oMath>
        <m:r>
          <m:rPr>
            <m:sty m:val="p"/>
          </m:rPr>
          <m:t>∼</m:t>
        </m:r>
      </m:oMath>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m:oMath>
        <m:r>
          <m:rPr>
            <m:sty m:val="p"/>
          </m:rPr>
          <m:t>∼</m:t>
        </m:r>
      </m:oMath>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w:t>
      </w:r>
      <w:r>
        <w:t xml:space="preserve"> </w:t>
      </w:r>
      <w:r>
        <w:t xml:space="preserve"> </w:t>
      </w:r>
      <w:r>
        <w:t xml:space="preserve">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w:t>
      </w:r>
      <w:r>
        <w:rPr>
          <w:i/>
          <w:iCs/>
        </w:rPr>
        <w:t xml:space="preserve">;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w:t>
      </w:r>
      <w:r>
        <w:t xml:space="preserve"> </w:t>
      </w:r>
      <w:r>
        <w:t xml:space="preserve">, supplies the prediction engine; discharged in silico with the released TRIBE v2 weights in §5.2); (2) Gallant/Huth — predicted cortical vectors align with the semantic atlas of natural speech</w:t>
      </w:r>
      <w:r>
        <w:t xml:space="preserve"> </w:t>
      </w:r>
      <w:r>
        <w:t xml:space="preserve">; (3) CLICS — cross-linguistic colexification distances (CLICS 4.0, 3,000+ languages;</w:t>
      </w:r>
      <w:r>
        <w:t xml:space="preserve"> </w:t>
      </w:r>
      <w:r>
        <w:t xml:space="preserve">) correlate with cortical distances under Mantel test; (4) vec2vec — the geometries are partially translatable through the shared latent space demonstrated by</w:t>
      </w:r>
      <w:r>
        <w:t xml:space="preserve"> </w:t>
      </w:r>
      <w:r>
        <w:t xml:space="preserve">; discharged at instrument level in §5.2 (released translators verified with real transfer; the DOCAS-specific LLaMA</w:t>
      </w:r>
      <w:r>
        <w:t xml:space="preserve"> </w:t>
      </w:r>
      <m:oMath>
        <m:r>
          <m:rPr>
            <m:sty m:val="p"/>
          </m:rPr>
          <m:t>↔</m:t>
        </m:r>
      </m:oMath>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w:t>
      </w:r>
      <w:r>
        <w:t xml:space="preserve">;</w:t>
      </w:r>
      <w:r>
        <w:t xml:space="preserve"> </w:t>
      </w:r>
      <w:r>
        <w:t xml:space="preserve">;</w:t>
      </w:r>
      <w:r>
        <w:t xml:space="preserve"> </w:t>
      </w:r>
      <w:r>
        <w:t xml:space="preserve">;</w:t>
      </w:r>
      <w:r>
        <w:t xml:space="preserve"> </w:t>
      </w:r>
      <w:r>
        <w:t xml:space="preserve">;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m:oMath>
        <m:r>
          <m:t>λ</m:t>
        </m:r>
      </m:oMath>
      <w:r>
        <w:t xml:space="preserve">, the discovery association having failed independent replication (§4.2); (7) cooperation — the social coupling term is validated by the evolutionary-game-theoretic record</w:t>
      </w:r>
      <w:r>
        <w:t xml:space="preserve"> </w:t>
      </w:r>
      <w:r>
        <w:t xml:space="preserve">.</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m:oMath>
        <m:r>
          <m:rPr>
            <m:sty m:val="p"/>
          </m:rPr>
          <m:t>→</m:t>
        </m:r>
      </m:oMath>
      <w:r>
        <w:t xml:space="preserve"> </w:t>
      </w:r>
      <w:r>
        <w:t xml:space="preserve">Sim D13 marginal positive) recorded as such.</w:t>
      </w:r>
    </w:p>
    <w:bookmarkEnd w:id="10"/>
    <w:bookmarkEnd w:id="11"/>
    <w:bookmarkStart w:id="25"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w:t>
      </w:r>
      <w:r>
        <w:t xml:space="preserve"> </w:t>
      </w:r>
      <w:r>
        <w:t xml:space="preserve">. “Expectationí́s preferred to “rewardb́́ecause the dopaminergic signal tracks the predictive model itself, not hedonic value: momentary subjective well-being is explained by the recent history of expectations and prediction errors, with model weights significant at Z &gt; 3.3, p &lt; 0.001</w:t>
      </w:r>
      <w:r>
        <w:t xml:space="preserve"> </w:t>
      </w:r>
      <w:r>
        <w:t xml:space="preserve">, and pharmacological dopamine manipulation causally shifts even abstract, non-survival rewards such as music</w:t>
      </w:r>
      <w:r>
        <w:t xml:space="preserve"> </w:t>
      </w:r>
      <w:r>
        <w:t xml:space="preserve">.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m:oMath>
        <m:r>
          <m:rPr>
            <m:sty m:val="p"/>
          </m:rPr>
          <m:t>∼</m:t>
        </m:r>
      </m:oMath>
      <w:r>
        <w:t xml:space="preserve">100–300 ms latency and</w:t>
      </w:r>
      <w:r>
        <w:t xml:space="preserve"> </w:t>
      </w:r>
      <m:oMath>
        <m:r>
          <m:rPr>
            <m:sty m:val="p"/>
          </m:rPr>
          <m:t>∼</m:t>
        </m:r>
      </m:oMath>
      <w:r>
        <w:t xml:space="preserve">100–400 ms duration</w:t>
      </w:r>
      <w:r>
        <w:t xml:space="preserve"> </w:t>
      </w:r>
      <w:r>
        <w:t xml:space="preserve">, and sub-second striatal dopamine transients are confirmed in humans</w:t>
      </w:r>
      <w:r>
        <w:t xml:space="preserve"> </w:t>
      </w:r>
      <w:r>
        <w:t xml:space="preserve"> </w:t>
      </w:r>
      <w:r>
        <w:t xml:space="preserve">— while tonic dopamine (minutes) does different work (motivation, vigor). “Expectationt́́herefore names the fast phasic channel of the D system, not the whole of dopaminergic function. Second, the phasic response is itself composite:</w:t>
      </w:r>
      <w:r>
        <w:t xml:space="preserve"> </w:t>
      </w:r>
      <w:r>
        <w:t xml:space="preserve"> </w:t>
      </w:r>
      <w:r>
        <w:t xml:space="preserve">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w:t>
      </w:r>
      <w:r>
        <w:t xml:space="preserve"> </w:t>
      </w:r>
      <w:r>
        <w:t xml:space="preserve"> </w:t>
      </w:r>
      <w:r>
        <w:t xml:space="preserve">and constant-step-size temporal-difference learning</w:t>
      </w:r>
      <w:r>
        <w:t xml:space="preserve"> </w:t>
      </w:r>
      <w:r>
        <w:t xml:space="preserve">; the framework’s contribution is not the update rule but the coupling of five such error-driven channels into one measurement loop, and its fixed-</w:t>
      </w:r>
      <m:oMath>
        <m:r>
          <m:t>λ</m:t>
        </m:r>
      </m:oMath>
      <w:r>
        <w:t xml:space="preserve"> </w:t>
      </w:r>
      <w:r>
        <w:t xml:space="preserve">simplification is knowingly behind the volatility-adaptive Bayesian learners of</w:t>
      </w:r>
      <w:r>
        <w:t xml:space="preserve"> </w:t>
      </w:r>
      <w:r>
        <w:t xml:space="preserve"> </w:t>
      </w:r>
      <w:r>
        <w:t xml:space="preserve">(§6,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w:t>
      </w:r>
      <w:r>
        <w:t xml:space="preserve"> </w:t>
      </w:r>
      <w:r>
        <w:t xml:space="preserve"> </w:t>
      </w:r>
      <w:r>
        <w:t xml:space="preserve">is dead. Meta-analysis of the trust-game literature (pooled n = 481) finds a combined effect statistically indistinguishable from zero — d = 0.077, 95% CI</w:t>
      </w:r>
      <w:r>
        <w:t xml:space="preserve"> </w:t>
      </w:r>
      <m:oMath>
        <m:r>
          <m:rPr>
            <m:sty m:val="p"/>
          </m:rPr>
          <m:t>[</m:t>
        </m:r>
        <m:r>
          <m:rPr>
            <m:sty m:val="p"/>
          </m:rPr>
          <m:t>−</m:t>
        </m:r>
        <m:r>
          <m:t>0.124</m:t>
        </m:r>
        <m:r>
          <m:rPr>
            <m:sty m:val="p"/>
          </m:rPr>
          <m:t>,</m:t>
        </m:r>
        <m:r>
          <m:t> </m:t>
        </m:r>
        <m:r>
          <m:t>0.278</m:t>
        </m:r>
        <m:r>
          <m:rPr>
            <m:sty m:val="p"/>
          </m:rPr>
          <m:t>]</m:t>
        </m:r>
      </m:oMath>
      <w:r>
        <w:t xml:space="preserve">, p = .45</w:t>
      </w:r>
      <w:r>
        <w:t xml:space="preserve"> </w:t>
      </w:r>
      <w:r>
        <w:t xml:space="preserve"> </w:t>
      </w:r>
      <w:r>
        <w:t xml:space="preserve">— and a pre-registered, high-powered, double-blind registered replication found no effect</w:t>
      </w:r>
      <w:r>
        <w:t xml:space="preserve"> </w:t>
      </w:r>
      <w:r>
        <w:t xml:space="preserve">. A mechanistic critique compounds the statistical one: only</w:t>
      </w:r>
      <w:r>
        <w:t xml:space="preserve"> </w:t>
      </w:r>
      <m:oMath>
        <m:r>
          <m:rPr>
            <m:sty m:val="p"/>
          </m:rPr>
          <m:t>∼</m:t>
        </m:r>
      </m:oMath>
      <w:r>
        <w:t xml:space="preserve">0.005% of an intranasal dose reaches CSF</w:t>
      </w:r>
      <w:r>
        <w:t xml:space="preserve"> </w:t>
      </w:r>
      <w:r>
        <w:t xml:space="preserve">.</w:t>
      </w:r>
      <w:r>
        <w:t xml:space="preserve"> </w:t>
      </w:r>
      <w:r>
        <w:rPr>
          <w:i/>
          <w:iCs/>
        </w:rPr>
        <w:t xml:space="preserve">Against the “bonding hormonef́́raming:</w:t>
      </w:r>
      <w:r>
        <w:t xml:space="preserve"> </w:t>
      </w:r>
      <w:r>
        <w:t xml:space="preserve">oxytocin’s effects are context- and person-dependent</w:t>
      </w:r>
      <w:r>
        <w:t xml:space="preserve"> </w:t>
      </w:r>
      <w:r>
        <w:t xml:space="preserve">, amplifying the salience of social cues for good or ill — envy and in-group bias alongside prosociality — the social-salience account</w:t>
      </w:r>
      <w:r>
        <w:t xml:space="preserve"> </w:t>
      </w:r>
      <w:r>
        <w:t xml:space="preserve">; a related reframing casts oxytocin as an allostatic/flexibility regulator</w:t>
      </w:r>
      <w:r>
        <w:t xml:space="preserve"> </w:t>
      </w:r>
      <w:r>
        <w:t xml:space="preserve">.</w:t>
      </w:r>
    </w:p>
    <w:p>
      <w:pPr>
        <w:pStyle w:val="BodyText"/>
      </w:pPr>
      <w:r>
        <w:t xml:space="preserve">Validation, in DOCAS, is precisely a salience-gated confirmation signal: oxytocinergic modulation determines whether returned feedback is registered as validating, and from whom — the O component of the trust vector.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w:t>
      </w:r>
      <w:r>
        <w:t xml:space="preserve"> </w:t>
      </w:r>
      <w:r>
        <w:t xml:space="preserve"> </w:t>
      </w:r>
      <w:r>
        <w:t xml:space="preserve">— the biological cost of a validation channel going silent. The timescale honesty applies here too: endogenous oxytocin release tracks social events over seconds to minutes, and exogenous intranasal effects peak</w:t>
      </w:r>
      <w:r>
        <w:t xml:space="preserve"> </w:t>
      </w:r>
      <m:oMath>
        <m:r>
          <m:rPr>
            <m:sty m:val="p"/>
          </m:rPr>
          <m:t>∼</m:t>
        </m:r>
      </m:oMath>
      <w:r>
        <w:t xml:space="preserve">30–90 min post-administration</w:t>
      </w:r>
      <w:r>
        <w:t xml:space="preserve"> </w:t>
      </w:r>
      <w:r>
        <w:t xml:space="preserve"> </w:t>
      </w:r>
      <w:r>
        <w:t xml:space="preserve">—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w:t>
      </w:r>
      <w:r>
        <w:t xml:space="preserve"> </w:t>
      </w:r>
      <w:r>
        <w:t xml:space="preserve">. The empirical signature is specific: meta-analytically, cortisol elevations are elicited by unpredictability, uncontrollability, and social-evaluative threat — precisely the conditions of model mismatch — not by generic demand</w:t>
      </w:r>
      <w:r>
        <w:t xml:space="preserve"> </w:t>
      </w:r>
      <w:r>
        <w:t xml:space="preserve">. Elevated glucocorticoids increase vigilance and promote exploratory or corrective action</w:t>
      </w:r>
      <w:r>
        <w:t xml:space="preserve"> </w:t>
      </w:r>
      <w:r>
        <w:t xml:space="preserve">; successful recognition — restoration of predictability and control — terminates the cortisol response</w:t>
      </w:r>
      <w:r>
        <w:t xml:space="preserve"> </w:t>
      </w:r>
      <w:r>
        <w:t xml:space="preserve">; and persistent recognition failure produces chronic stress and allostatic load</w:t>
      </w:r>
      <w:r>
        <w:t xml:space="preserve"> </w:t>
      </w:r>
      <w:r>
        <w:t xml:space="preserve">. The mechanism behind the Recognition assignment is consolidation weighting: glucocorticoids dose-dependently enhance the consolidation of emotionally salient material</w:t>
      </w:r>
      <w:r>
        <w:t xml:space="preserve"> </w:t>
      </w:r>
      <w:r>
        <w:t xml:space="preserve">, the effect requires arousal-induced noradrenergic activation in the basolateral amygdala</w:t>
      </w:r>
      <w:r>
        <w:t xml:space="preserve"> </w:t>
      </w:r>
      <w:r>
        <w:t xml:space="preserve">, and it is phase-dependent — consolidation enhanced, retrieval impaired</w:t>
      </w:r>
      <w:r>
        <w:t xml:space="preserve"> </w:t>
      </w:r>
      <w:r>
        <w:t xml:space="preserve">.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w:t>
      </w:r>
      <w:r>
        <w:t xml:space="preserve"> </w:t>
      </w:r>
      <w:r>
        <w:t xml:space="preserve">) — the channel tags salience rather than linearly compressing time horizons.</w:t>
      </w:r>
    </w:p>
    <w:p>
      <w:pPr>
        <w:pStyle w:val="BodyText"/>
      </w:pPr>
      <w:r>
        <w:t xml:space="preserve">The timescale caveat is sharpest here. Cortisol has no fast dynamics: acute-stress cortisol peaks</w:t>
      </w:r>
      <w:r>
        <w:t xml:space="preserve"> </w:t>
      </w:r>
      <m:oMath>
        <m:r>
          <m:rPr>
            <m:sty m:val="p"/>
          </m:rPr>
          <m:t>∼</m:t>
        </m:r>
      </m:oMath>
      <w:r>
        <w:t xml:space="preserve">20–40 min after stressor onset</w:t>
      </w:r>
      <w:r>
        <w:t xml:space="preserve"> </w:t>
      </w:r>
      <w:r>
        <w:t xml:space="preserve">, and the cortisol awakening response — a superimposed 50–60% rise peaking</w:t>
      </w:r>
      <w:r>
        <w:t xml:space="preserve"> </w:t>
      </w:r>
      <m:oMath>
        <m:r>
          <m:rPr>
            <m:sty m:val="p"/>
          </m:rPr>
          <m:t>∼</m:t>
        </m:r>
      </m:oMath>
      <w:r>
        <w:t xml:space="preserve">30–45 min after awakening, anticipating the day’s demands — is a robust, dissociable diurnal component</w:t>
      </w:r>
      <w:r>
        <w:t xml:space="preserve"> </w:t>
      </w:r>
      <w:r>
        <w:t xml:space="preserve">.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m:oMath>
        <m:sSub>
          <m:e>
            <m:r>
              <m:t>r</m:t>
            </m:r>
          </m:e>
          <m:sub>
            <m:r>
              <m:t>t</m:t>
            </m:r>
          </m:sub>
        </m:sSub>
        <m:r>
          <m:rPr>
            <m:sty m:val="p"/>
          </m:rPr>
          <m:t>∈</m:t>
        </m:r>
        <m:r>
          <m:rPr>
            <m:sty m:val="p"/>
          </m:rPr>
          <m:t>[</m:t>
        </m:r>
        <m:r>
          <m:t>0</m:t>
        </m:r>
        <m:r>
          <m:rPr>
            <m:sty m:val="p"/>
          </m:rPr>
          <m:t>,</m:t>
        </m:r>
        <m:r>
          <m:t>1</m:t>
        </m:r>
        <m:r>
          <m:rPr>
            <m:sty m:val="p"/>
          </m:rPr>
          <m:t>]</m:t>
        </m:r>
      </m:oMath>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w:t>
      </w:r>
      <w:r>
        <w:t xml:space="preserve"> </w:t>
      </w:r>
      <w:r>
        <w:t xml:space="preserve">.</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w:t>
      </w:r>
      <w:r>
        <w:t xml:space="preserve"> </w:t>
      </w:r>
      <w:r>
        <w:t xml:space="preserve">: circulating epinephrine cannot be the carrier of a central activation signal. Peripheral epinephrine influences brain function only indirectly, via vagal afferents (peripheral</w:t>
      </w:r>
      <w:r>
        <w:t xml:space="preserve"> </w:t>
      </w:r>
      <m:oMath>
        <m:r>
          <m:t>β</m:t>
        </m:r>
      </m:oMath>
      <w:r>
        <w:t xml:space="preserve">-receptors</w:t>
      </w:r>
      <w:r>
        <w:t xml:space="preserve"> </w:t>
      </w:r>
      <m:oMath>
        <m:r>
          <m:rPr>
            <m:sty m:val="p"/>
          </m:rPr>
          <m:t>→</m:t>
        </m:r>
      </m:oMath>
      <w:r>
        <w:t xml:space="preserve"> </w:t>
      </w:r>
      <w:r>
        <w:t xml:space="preserve">nucleus tractus solitarius</w:t>
      </w:r>
      <w:r>
        <w:t xml:space="preserve"> </w:t>
      </w:r>
      <m:oMath>
        <m:r>
          <m:rPr>
            <m:sty m:val="p"/>
          </m:rPr>
          <m:t>→</m:t>
        </m:r>
      </m:oMath>
      <w:r>
        <w:t xml:space="preserve"> </w:t>
      </w:r>
      <w:r>
        <w:t xml:space="preserve">LC;</w:t>
      </w:r>
      <w:r>
        <w:t xml:space="preserve"> </w:t>
      </w:r>
      <w:r>
        <w:t xml:space="preserve">).</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m:oMath>
        <m:r>
          <m:rPr>
            <m:sty m:val="p"/>
          </m:rPr>
          <m:t>∼</m:t>
        </m:r>
      </m:oMath>
      <w:r>
        <w:t xml:space="preserve">100–200 ms latency, task-event-locked) support exploitation and focused performance, while tonic LC mode (seconds–minutes) supports disengagement and exploration, with transitions driven by utility assessments in ACC/OFC — the adaptive-gain theory</w:t>
      </w:r>
      <w:r>
        <w:t xml:space="preserve"> </w:t>
      </w:r>
      <w:r>
        <w:t xml:space="preserve">.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w:t>
      </w:r>
      <w:r>
        <w:t xml:space="preserve"> </w:t>
      </w:r>
      <w:r>
        <w:t xml:space="preserve">, while freeze is a controlled, adaptive immobility — not passive shutdown — induced when prediction error is high and model confidence is low; it functions as a data-gathering action that suppresses premature output, maximizes sensory intake, and accelerates model updating</w:t>
      </w:r>
      <w:r>
        <w:t xml:space="preserve"> </w:t>
      </w:r>
      <w:r>
        <w:t xml:space="preserve">. Activation is the behavioral output channel of the architecture and corresponds to the corrective term that dissipates</w:t>
      </w:r>
      <w:r>
        <w:t xml:space="preserve"> </w:t>
      </w:r>
      <m:oMath>
        <m:r>
          <m:t>ε</m:t>
        </m:r>
      </m:oMath>
      <w:r>
        <w:t xml:space="preserve"> </w:t>
      </w:r>
      <w:r>
        <w:t xml:space="preserve">at rate</w:t>
      </w:r>
      <w:r>
        <w:t xml:space="preserve"> </w:t>
      </w:r>
      <m:oMath>
        <m:r>
          <m:t>μ</m:t>
        </m:r>
      </m:oMath>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w:t>
      </w:r>
      <w:r>
        <w:t xml:space="preserve"> </w:t>
      </w:r>
      <w:r>
        <w:t xml:space="preserve">; and the behavioral-inhibition tradition argues that 5-HT restrains premature responding</w:t>
      </w:r>
      <w:r>
        <w:t xml:space="preserve"> </w:t>
      </w:r>
      <w:r>
        <w:t xml:space="preserve">, with prefrontal 5-HT depletion causing reversal-learning inflexibility</w:t>
      </w:r>
      <w:r>
        <w:t xml:space="preserve"> </w:t>
      </w:r>
      <w:r>
        <w:t xml:space="preserve"> </w:t>
      </w:r>
      <w:r>
        <w:t xml:space="preserve">and acute tryptophan depletion increasing punishment-driven rejection of unfair offers</w:t>
      </w:r>
      <w:r>
        <w:t xml:space="preserve"> </w:t>
      </w:r>
      <w:r>
        <w:t xml:space="preserve">. The contrary evidence, which must be cited with it:</w:t>
      </w:r>
      <w:r>
        <w:t xml:space="preserve"> </w:t>
      </w:r>
      <w:r>
        <w:t xml:space="preserve"> </w:t>
      </w:r>
      <w:r>
        <w:t xml:space="preserve">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w:t>
      </w:r>
      <w:r>
        <w:t xml:space="preserve"> </w:t>
      </w:r>
      <w:r>
        <w:t xml:space="preserve">, undercutting the opponent-aversive-channel account</w:t>
      </w:r>
      <w:r>
        <w:t xml:space="preserve"> </w:t>
      </w:r>
      <w:r>
        <w:t xml:space="preserve">; and newer accounts assign 5-HT to cognitive flexibility rather than stability per se</w:t>
      </w:r>
      <w:r>
        <w:t xml:space="preserve"> </w:t>
      </w:r>
      <w:r>
        <w:t xml:space="preserve">.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m:oMath>
        <m:r>
          <m:t>λ</m:t>
        </m:r>
      </m:oMath>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w:t>
      </w:r>
      <w:r>
        <w:t xml:space="preserve"> </w:t>
      </w:r>
      <w:r>
        <w:t xml:space="preserve">. Network neuroscience converges on the same verdict from a second direction: cognitive and emotional capacities are properties of distributed, overlapping network interactions rather than of dedicated substrates</w:t>
      </w:r>
      <w:r>
        <w:t xml:space="preserve"> </w:t>
      </w:r>
      <w:r>
        <w:t xml:space="preserve">, and emotion specifically is better modeled as large-scale cortical–subcortical network integration spanning the neuroaxis than as localized circuits</w:t>
      </w:r>
      <w:r>
        <w:t xml:space="preserve"> </w:t>
      </w:r>
      <w:r>
        <w:t xml:space="preserve">. The chemical version of that hypothesis (“dopamine = pleasure,́́ “oxytocin = love,́́ “cortisol = stress)́́ fails with it, and DOCAS does not revive it. The framework makes three weaker, different claims:</w:t>
      </w:r>
    </w:p>
    <w:p>
      <w:pPr>
        <w:pStyle w:val="BodyText"/>
      </w:pPr>
      <w:r>
        <w:t xml:space="preserve">1. extbf</w:t>
      </w:r>
      <w: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w:t>
      </w:r>
      <w:r>
        <w:t xml:space="preserve"> </w:t>
      </w:r>
      <w:r>
        <w:t xml:space="preserve">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w:t>
      </w:r>
      <w:r>
        <w:t xml:space="preserve"> </w:t>
      </w:r>
      <w:r>
        <w:t xml:space="preserve">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w:t>
      </w:r>
      <w:r>
        <w:t xml:space="preserve"> </w:t>
      </w:r>
      <w:r>
        <w:t xml:space="preserve">.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m:oMath>
              <m:r>
                <m:rPr>
                  <m:sty m:val="p"/>
                </m:rPr>
                <m:t>∼</m:t>
              </m:r>
            </m:oMath>
            <w:r>
              <w:t xml:space="preserve">100–400 ms (RPE)</w:t>
            </w:r>
          </w:p>
        </w:tc>
        <w:tc>
          <w:tcPr/>
          <w:p>
            <w:pPr>
              <w:pStyle w:val="Compact"/>
              <w:jc w:val="left"/>
            </w:pPr>
            <w:r>
              <w:t xml:space="preserve">tonic, minutes (motivation/vigor)</w:t>
            </w:r>
          </w:p>
        </w:tc>
        <w:tc>
          <w:tcPr/>
          <w:p>
            <w:pPr>
              <w:pStyle w:val="Compact"/>
              <w:jc w:val="left"/>
            </w:pPr>
            <w:r>
              <w:t xml:space="preserve">;</w:t>
            </w:r>
            <w:r>
              <w:t xml:space="preserve"> </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jc w:val="lef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w:t>
            </w:r>
            <w:r>
              <w:t xml:space="preserve"> </w:t>
            </w:r>
            <w:r>
              <w:t xml:space="preserve">;</w:t>
            </w: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m:oMath>
              <m:r>
                <m:rPr>
                  <m:sty m:val="p"/>
                </m:rPr>
                <m:t>∼</m:t>
              </m:r>
            </m:oMath>
            <w:r>
              <w:t xml:space="preserve">100–500 ms, event-locked</w:t>
            </w:r>
          </w:p>
        </w:tc>
        <w:tc>
          <w:tcPr/>
          <w:p>
            <w:pPr>
              <w:pStyle w:val="Compact"/>
              <w:jc w:val="left"/>
            </w:pPr>
            <w:r>
              <w:t xml:space="preserve">tonic modes, seconds–minutes</w:t>
            </w:r>
          </w:p>
        </w:tc>
        <w:tc>
          <w:tcPr/>
          <w:p>
            <w:pPr>
              <w:pStyle w:val="Compact"/>
              <w:jc w:val="left"/>
            </w:pPr>
            <w:r>
              <w:t xml:space="preserve">;</w:t>
            </w:r>
            <w:r>
              <w:t xml:space="preserve"> </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w:t>
            </w:r>
            <w:r>
              <w:t xml:space="preserve"> </w:t>
            </w:r>
            <w:r>
              <w:t xml:space="preserve">;</w:t>
            </w: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r>
              <w:t xml:space="preserve"> </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m:oMath>
        <m:sSup>
          <m:e>
            <m:r>
              <m:t>10</m:t>
            </m:r>
          </m:e>
          <m:sup>
            <m:r>
              <m:rPr>
                <m:sty m:val="p"/>
              </m:rPr>
              <m:t>−</m:t>
            </m:r>
            <m:r>
              <m:t>1</m:t>
            </m:r>
          </m:sup>
        </m:sSup>
      </m:oMath>
      <w:r>
        <w:t xml:space="preserve"> </w:t>
      </w:r>
      <w:r>
        <w:t xml:space="preserve">s to</w:t>
      </w:r>
      <w:r>
        <w:t xml:space="preserve"> </w:t>
      </w:r>
      <m:oMath>
        <m:sSup>
          <m:e>
            <m:r>
              <m:t>10</m:t>
            </m:r>
          </m:e>
          <m:sup>
            <m:r>
              <m:t>3</m:t>
            </m:r>
          </m:sup>
        </m:sSup>
      </m:oMath>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m:oMath>
        <m:r>
          <m:t>ε</m:t>
        </m:r>
      </m:oMath>
      <w:r>
        <w:t xml:space="preserve"> </w:t>
      </w:r>
      <w:r>
        <w:t xml:space="preserve">perturbs S — are parameterized by the theory’s trust-sensitivity coefficient</w:t>
      </w:r>
      <w:r>
        <w:t xml:space="preserve"> </w:t>
      </w:r>
      <m:oMath>
        <m:r>
          <m:t>λ</m:t>
        </m:r>
      </m:oMath>
      <w:r>
        <w:t xml:space="preserve">; Section 4 evaluates the genetic evidence for its mechanistic substrate, and finds it hypothesis-grade (§4.2).</w:t>
      </w:r>
    </w:p>
    <w:bookmarkEnd w:id="19"/>
    <w:bookmarkStart w:id="24"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m:oMath>
        <m:sSub>
          <m:e>
            <m:r>
              <m:t>E</m:t>
            </m:r>
          </m:e>
          <m:sub>
            <m:r>
              <m:t>t</m:t>
            </m:r>
          </m:sub>
        </m:sSub>
      </m:oMath>
      <w:r>
        <w:t xml:space="preserve"> </w:t>
      </w:r>
      <w:r>
        <w:t xml:space="preserve">be the observer’s prediction,</w:t>
      </w:r>
      <w:r>
        <w:t xml:space="preserve"> </w:t>
      </w:r>
      <m:oMath>
        <m:sSub>
          <m:e>
            <m:r>
              <m:t>V</m:t>
            </m:r>
          </m:e>
          <m:sub>
            <m:r>
              <m:t>t</m:t>
            </m:r>
          </m:sub>
        </m:sSub>
      </m:oMath>
      <w:r>
        <w:t xml:space="preserve"> </w:t>
      </w:r>
      <w:r>
        <w:t xml:space="preserve">the registered validation, and</w:t>
      </w:r>
      <w:r>
        <w:t xml:space="preserve"> </w:t>
      </w:r>
      <m:oMath>
        <m:sSub>
          <m:e>
            <m:r>
              <m:t>ε</m:t>
            </m:r>
          </m:e>
          <m:sub>
            <m:r>
              <m:t>t</m:t>
            </m:r>
          </m:sub>
        </m:sSub>
        <m:r>
          <m:rPr>
            <m:sty m:val="p"/>
          </m:rPr>
          <m:t>=</m:t>
        </m:r>
        <m:sSub>
          <m:e>
            <m:r>
              <m:t>V</m:t>
            </m:r>
          </m:e>
          <m:sub>
            <m:r>
              <m:t>t</m:t>
            </m:r>
          </m:sub>
        </m:sSub>
        <m:r>
          <m:rPr>
            <m:sty m:val="p"/>
          </m:rPr>
          <m:t>−</m:t>
        </m:r>
        <m:sSub>
          <m:e>
            <m:r>
              <m:t>E</m:t>
            </m:r>
          </m:e>
          <m:sub>
            <m:r>
              <m:t>t</m:t>
            </m:r>
          </m:sub>
        </m:sSub>
      </m:oMath>
      <w:r>
        <w:t xml:space="preserve"> </w:t>
      </w:r>
      <w:r>
        <w:t xml:space="preserve">the signed mismatch (validation-minus-expectation, so that positive</w:t>
      </w:r>
      <w:r>
        <w:t xml:space="preserve"> </w:t>
      </w:r>
      <m:oMath>
        <m:r>
          <m:t>ε</m:t>
        </m:r>
      </m:oMath>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numPr>
          <w:ilvl w:val="0"/>
          <w:numId w:val="1001"/>
        </w:numPr>
      </w:pPr>
      <w:r>
        <w:rPr>
          <w:b/>
          <w:bCs/>
        </w:rPr>
        <w:t xml:space="preserve">D — error-precision gain.</w:t>
      </w:r>
      <w:r>
        <w:t xml:space="preserve"> </w:t>
      </w:r>
      <m:oMath>
        <m:sSub>
          <m:e>
            <m:r>
              <m:t>E</m:t>
            </m:r>
          </m:e>
          <m:sub>
            <m:r>
              <m:t>t</m:t>
            </m:r>
            <m:r>
              <m:rPr>
                <m:sty m:val="p"/>
              </m:rPr>
              <m:t>+</m:t>
            </m:r>
            <m:r>
              <m:t>1</m:t>
            </m:r>
          </m:sub>
        </m:sSub>
        <m:r>
          <m:rPr>
            <m:sty m:val="p"/>
          </m:rPr>
          <m:t>=</m:t>
        </m:r>
        <m:sSub>
          <m:e>
            <m:r>
              <m:t>E</m:t>
            </m:r>
          </m:e>
          <m:sub>
            <m:r>
              <m:t>t</m:t>
            </m:r>
          </m:sub>
        </m:sSub>
        <m:r>
          <m:rPr>
            <m:sty m:val="p"/>
          </m:rPr>
          <m:t>+</m:t>
        </m:r>
        <m:sSub>
          <m:e>
            <m:r>
              <m:t>α</m:t>
            </m:r>
          </m:e>
          <m:sub>
            <m:r>
              <m:t>D</m:t>
            </m:r>
          </m:sub>
        </m:sSub>
        <m:r>
          <m:t> </m:t>
        </m:r>
        <m:sSub>
          <m:e>
            <m:r>
              <m:rPr>
                <m:sty m:val="p"/>
              </m:rPr>
              <m:t>Π</m:t>
            </m:r>
          </m:e>
          <m:sub>
            <m:r>
              <m:t>t</m:t>
            </m:r>
          </m:sub>
        </m:sSub>
        <m:r>
          <m:t> </m:t>
        </m:r>
        <m:sSub>
          <m:e>
            <m:r>
              <m:t>ε</m:t>
            </m:r>
          </m:e>
          <m:sub>
            <m:r>
              <m:t>t</m:t>
            </m:r>
          </m:sub>
        </m:sSub>
      </m:oMath>
      <w:r>
        <w:t xml:space="preserve">, where</w:t>
      </w:r>
      <w:r>
        <w:t xml:space="preserve"> </w:t>
      </w:r>
      <m:oMath>
        <m:sSub>
          <m:e>
            <m:r>
              <m:rPr>
                <m:sty m:val="p"/>
              </m:rPr>
              <m:t>Π</m:t>
            </m:r>
          </m:e>
          <m:sub>
            <m:r>
              <m:t>t</m:t>
            </m:r>
          </m:sub>
        </m:sSub>
        <m:r>
          <m:rPr>
            <m:sty m:val="p"/>
          </m:rPr>
          <m:t>&gt;</m:t>
        </m:r>
        <m:r>
          <m:t>0</m:t>
        </m:r>
      </m:oMath>
      <w:r>
        <w:t xml:space="preserve"> </w:t>
      </w:r>
      <w:r>
        <w:t xml:space="preserve">is the precision (inverse variance) assigned to the error channel. Dopaminergic function is the multiplicative gain on the prediction-error term: the signal scales how much the observed mismatch moves the model (</w:t>
      </w:r>
      <w:r>
        <w:t xml:space="preserve">; precision-weighting in predictive processing;</w:t>
      </w:r>
      <w:r>
        <w:t xml:space="preserve"> </w:t>
      </w:r>
      <w:r>
        <w:t xml:space="preserve">).</w:t>
      </w:r>
      <w:r>
        <w:t xml:space="preserve"> </w:t>
      </w:r>
      <w:r>
        <w:t xml:space="preserve">-</w:t>
      </w:r>
      <w:r>
        <w:t xml:space="preserve"> </w:t>
      </w:r>
      <w:r>
        <w:rPr>
          <w:b/>
          <w:bCs/>
        </w:rPr>
        <w:t xml:space="preserve">O — social-channel coupling.</w:t>
      </w:r>
      <w:r>
        <w:t xml:space="preserve"> </w:t>
      </w:r>
      <m:oMath>
        <m:sSub>
          <m:e>
            <m:r>
              <m:t>V</m:t>
            </m:r>
          </m:e>
          <m:sub>
            <m:r>
              <m:t>t</m:t>
            </m:r>
          </m:sub>
        </m:sSub>
        <m:r>
          <m:rPr>
            <m:sty m:val="p"/>
          </m:rPr>
          <m:t>=</m:t>
        </m:r>
        <m:sSub>
          <m:e>
            <m:r>
              <m:t>γ</m:t>
            </m:r>
          </m:e>
          <m:sub>
            <m:r>
              <m:t>O</m:t>
            </m:r>
          </m:sub>
        </m:sSub>
        <m:r>
          <m:t> </m:t>
        </m:r>
        <m:sSub>
          <m:e>
            <m:r>
              <m:t>s</m:t>
            </m:r>
          </m:e>
          <m:sub>
            <m:r>
              <m:t>t</m:t>
            </m:r>
          </m:sub>
        </m:sSub>
        <m:r>
          <m:rPr>
            <m:sty m:val="p"/>
          </m:rPr>
          <m:t>+</m:t>
        </m:r>
        <m:r>
          <m:rPr>
            <m:sty m:val="p"/>
          </m:rPr>
          <m:t>(</m:t>
        </m:r>
        <m:r>
          <m:t>1</m:t>
        </m:r>
        <m:r>
          <m:rPr>
            <m:sty m:val="p"/>
          </m:rPr>
          <m:t>−</m:t>
        </m:r>
        <m:sSub>
          <m:e>
            <m:r>
              <m:t>γ</m:t>
            </m:r>
          </m:e>
          <m:sub>
            <m:r>
              <m:t>O</m:t>
            </m:r>
          </m:sub>
        </m:sSub>
        <m:r>
          <m:rPr>
            <m:sty m:val="p"/>
          </m:rPr>
          <m:t>)</m:t>
        </m:r>
        <m:r>
          <m:t> </m:t>
        </m:r>
        <m:sSubSup>
          <m:e>
            <m:r>
              <m:t>v</m:t>
            </m:r>
          </m:e>
          <m:sub>
            <m:r>
              <m:t>t</m:t>
            </m:r>
          </m:sub>
          <m:sup>
            <m:r>
              <m:t>0</m:t>
            </m:r>
          </m:sup>
        </m:sSubSup>
      </m:oMath>
      <w:r>
        <w:t xml:space="preserve">, where</w:t>
      </w:r>
      <w:r>
        <w:t xml:space="preserve"> </w:t>
      </w:r>
      <m:oMath>
        <m:sSub>
          <m:e>
            <m:r>
              <m:t>s</m:t>
            </m:r>
          </m:e>
          <m:sub>
            <m:r>
              <m:t>t</m:t>
            </m:r>
          </m:sub>
        </m:sSub>
      </m:oMath>
      <w:r>
        <w:t xml:space="preserve"> </w:t>
      </w:r>
      <w:r>
        <w:t xml:space="preserve">is the conspecific validation signal,</w:t>
      </w:r>
      <w:r>
        <w:t xml:space="preserve"> </w:t>
      </w:r>
      <m:oMath>
        <m:sSubSup>
          <m:e>
            <m:r>
              <m:t>v</m:t>
            </m:r>
          </m:e>
          <m:sub>
            <m:r>
              <m:t>t</m:t>
            </m:r>
          </m:sub>
          <m:sup>
            <m:r>
              <m:t>0</m:t>
            </m:r>
          </m:sup>
        </m:sSubSup>
      </m:oMath>
      <w:r>
        <w:t xml:space="preserve"> </w:t>
      </w:r>
      <w:r>
        <w:t xml:space="preserve">the default (unsocial) observation, and</w:t>
      </w:r>
      <w:r>
        <w:t xml:space="preserve"> </w:t>
      </w:r>
      <m:oMath>
        <m:sSub>
          <m:e>
            <m:r>
              <m:t>γ</m:t>
            </m:r>
          </m:e>
          <m:sub>
            <m:r>
              <m:t>O</m:t>
            </m:r>
          </m:sub>
        </m:sSub>
        <m:r>
          <m:rPr>
            <m:sty m:val="p"/>
          </m:rPr>
          <m:t>∈</m:t>
        </m:r>
        <m:r>
          <m:rPr>
            <m:sty m:val="p"/>
          </m:rPr>
          <m:t>[</m:t>
        </m:r>
        <m:r>
          <m:t>0</m:t>
        </m:r>
        <m:r>
          <m:rPr>
            <m:sty m:val="p"/>
          </m:rPr>
          <m:t>,</m:t>
        </m:r>
        <m:r>
          <m:t>1</m:t>
        </m:r>
        <m:r>
          <m:rPr>
            <m:sty m:val="p"/>
          </m:rPr>
          <m:t>]</m:t>
        </m:r>
      </m:oMath>
      <w:r>
        <w:t xml:space="preserve"> </w:t>
      </w:r>
      <w:r>
        <w:t xml:space="preserve">the coupling coefficient. Oxytocinergic function is setting</w:t>
      </w:r>
      <w:r>
        <w:t xml:space="preserve"> </w:t>
      </w:r>
      <m:oMath>
        <m:sSub>
          <m:e>
            <m:r>
              <m:t>γ</m:t>
            </m:r>
          </m:e>
          <m:sub>
            <m:r>
              <m:t>O</m:t>
            </m:r>
          </m:sub>
        </m:sSub>
      </m:oMath>
      <w:r>
        <w:t xml:space="preserve"> </w:t>
      </w:r>
      <w:r>
        <w:t xml:space="preserve">for social sources — the gate that decides which signals count as validation and from whom.</w:t>
      </w:r>
      <w:r>
        <w:t xml:space="preserve"> </w:t>
      </w:r>
      <w:r>
        <w:t xml:space="preserve">-</w:t>
      </w:r>
      <w:r>
        <w:t xml:space="preserve"> </w:t>
      </w:r>
      <w:r>
        <w:rPr>
          <w:b/>
          <w:bCs/>
        </w:rPr>
        <w:t xml:space="preserve">C — mismatch-salience detection.</w:t>
      </w:r>
      <w:r>
        <w:t xml:space="preserve"> </w:t>
      </w:r>
      <m:oMath>
        <m:sSub>
          <m:e>
            <m:r>
              <m:t>C</m:t>
            </m:r>
          </m:e>
          <m:sub>
            <m:r>
              <m:t>t</m:t>
            </m:r>
          </m:sub>
        </m:sSub>
        <m:r>
          <m:rPr>
            <m:sty m:val="p"/>
          </m:rPr>
          <m:t>=</m:t>
        </m:r>
        <m:r>
          <m:rPr>
            <m:sty m:val="p"/>
          </m:rPr>
          <m:t>l</m:t>
        </m:r>
        <m:r>
          <m:rPr>
            <m:sty m:val="p"/>
          </m:rPr>
          <m:t>o</m:t>
        </m:r>
        <m:r>
          <m:rPr>
            <m:sty m:val="p"/>
          </m:rPr>
          <m:t>g</m:t>
        </m:r>
        <m:r>
          <m:rPr>
            <m:sty m:val="p"/>
          </m:rPr>
          <m:t>i</m:t>
        </m:r>
        <m:r>
          <m:rPr>
            <m:sty m:val="p"/>
          </m:rPr>
          <m:t>s</m:t>
        </m:r>
        <m:r>
          <m:rPr>
            <m:sty m:val="p"/>
          </m:rPr>
          <m:t>t</m:t>
        </m:r>
        <m:r>
          <m:rPr>
            <m:sty m:val="p"/>
          </m:rPr>
          <m:t>i</m:t>
        </m:r>
        <m:r>
          <m:rPr>
            <m:sty m:val="p"/>
          </m:rPr>
          <m:t>c</m:t>
        </m:r>
        <m:r>
          <m:t>​</m:t>
        </m:r>
        <m:d>
          <m:dPr>
            <m:begChr m:val="("/>
            <m:sepChr m:val=""/>
            <m:endChr m:val=")"/>
            <m:grow/>
          </m:dPr>
          <m:e>
            <m:sSub>
              <m:e>
                <m:r>
                  <m:t>β</m:t>
                </m:r>
              </m:e>
              <m:sub>
                <m:r>
                  <m:t>C</m:t>
                </m:r>
              </m:sub>
            </m:sSub>
            <m:r>
              <m:t> </m:t>
            </m:r>
            <m:d>
              <m:dPr>
                <m:begChr m:val="("/>
                <m:sepChr m:val=""/>
                <m:endChr m:val=")"/>
                <m:grow/>
              </m:dPr>
              <m:e>
                <m:r>
                  <m:rPr>
                    <m:sty m:val="p"/>
                  </m:rPr>
                  <m:t>|</m:t>
                </m:r>
                <m:sSub>
                  <m:e>
                    <m:r>
                      <m:t>ε</m:t>
                    </m:r>
                  </m:e>
                  <m:sub>
                    <m:r>
                      <m:t>t</m:t>
                    </m:r>
                  </m:sub>
                </m:sSub>
                <m:r>
                  <m:rPr>
                    <m:sty m:val="p"/>
                  </m:rPr>
                  <m:t>|</m:t>
                </m:r>
                <m:r>
                  <m:rPr>
                    <m:sty m:val="p"/>
                  </m:rPr>
                  <m:t>−</m:t>
                </m:r>
                <m:sSub>
                  <m:e>
                    <m:r>
                      <m:t>θ</m:t>
                    </m:r>
                  </m:e>
                  <m:sub>
                    <m:r>
                      <m:t>C</m:t>
                    </m:r>
                  </m:sub>
                </m:sSub>
              </m:e>
            </m:d>
          </m:e>
        </m:d>
      </m:oMath>
      <w:r>
        <w:t xml:space="preserve">, with</w:t>
      </w:r>
      <w:r>
        <w:t xml:space="preserve"> </w:t>
      </w:r>
      <m:oMath>
        <m:r>
          <m:rPr>
            <m:sty m:val="p"/>
          </m:rPr>
          <m:t>l</m:t>
        </m:r>
        <m:r>
          <m:rPr>
            <m:sty m:val="p"/>
          </m:rPr>
          <m:t>o</m:t>
        </m:r>
        <m:r>
          <m:rPr>
            <m:sty m:val="p"/>
          </m:rPr>
          <m:t>g</m:t>
        </m:r>
        <m:r>
          <m:rPr>
            <m:sty m:val="p"/>
          </m:rPr>
          <m:t>i</m:t>
        </m:r>
        <m:r>
          <m:rPr>
            <m:sty m:val="p"/>
          </m:rPr>
          <m:t>s</m:t>
        </m:r>
        <m:r>
          <m:rPr>
            <m:sty m:val="p"/>
          </m:rPr>
          <m:t>t</m:t>
        </m:r>
        <m:r>
          <m:rPr>
            <m:sty m:val="p"/>
          </m:rPr>
          <m:t>i</m:t>
        </m:r>
        <m:r>
          <m:rPr>
            <m:sty m:val="p"/>
          </m:rPr>
          <m:t>c</m:t>
        </m:r>
        <m:r>
          <m:rPr>
            <m:sty m:val="p"/>
          </m:rPr>
          <m:t>(</m:t>
        </m:r>
        <m:r>
          <m:rPr>
            <m:sty m:val="p"/>
          </m:rPr>
          <m:t>⋅</m:t>
        </m:r>
        <m:r>
          <m:rPr>
            <m:sty m:val="p"/>
          </m:rPr>
          <m:t>)</m:t>
        </m:r>
      </m:oMath>
      <w:r>
        <w:t xml:space="preserve"> </w:t>
      </w:r>
      <w:r>
        <w:t xml:space="preserve">the logistic function. Recognition is a thresholded readout of unsigned mismatch; corticosteroid state translates the threshold</w:t>
      </w:r>
      <w:r>
        <w:t xml:space="preserve"> </w:t>
      </w:r>
      <m:oMath>
        <m:sSub>
          <m:e>
            <m:r>
              <m:t>θ</m:t>
            </m:r>
          </m:e>
          <m:sub>
            <m:r>
              <m:t>C</m:t>
            </m:r>
          </m:sub>
        </m:sSub>
      </m:oMath>
      <w:r>
        <w:t xml:space="preserve"> </w:t>
      </w:r>
      <w:r>
        <w:t xml:space="preserve">and slope</w:t>
      </w:r>
      <w:r>
        <w:t xml:space="preserve"> </w:t>
      </w:r>
      <m:oMath>
        <m:sSub>
          <m:e>
            <m:r>
              <m:t>β</m:t>
            </m:r>
          </m:e>
          <m:sub>
            <m:r>
              <m:t>C</m:t>
            </m:r>
          </m:sub>
        </m:sSub>
      </m:oMath>
      <w:r>
        <w:t xml:space="preserve">. The recognition gate</w:t>
      </w:r>
      <w:r>
        <w:t xml:space="preserve"> </w:t>
      </w:r>
      <m:oMath>
        <m:sSub>
          <m:e>
            <m:r>
              <m:t>r</m:t>
            </m:r>
          </m:e>
          <m:sub>
            <m:r>
              <m:t>t</m:t>
            </m:r>
          </m:sub>
        </m:sSub>
      </m:oMath>
      <w:r>
        <w:t xml:space="preserve"> </w:t>
      </w:r>
      <w:r>
        <w:t xml:space="preserve">of the master law is a monotone readout of</w:t>
      </w:r>
      <w:r>
        <w:t xml:space="preserve"> </w:t>
      </w:r>
      <m:oMath>
        <m:sSub>
          <m:e>
            <m:r>
              <m:t>C</m:t>
            </m:r>
          </m:e>
          <m:sub>
            <m:r>
              <m:t>t</m:t>
            </m:r>
          </m:sub>
        </m:sSub>
      </m:oMath>
      <w:r>
        <w:t xml:space="preserve">: the fraction of the mismatch admitted downstream.</w:t>
      </w:r>
      <w:r>
        <w:t xml:space="preserve"> </w:t>
      </w:r>
      <w:r>
        <w:t xml:space="preserve">-</w:t>
      </w:r>
      <w:r>
        <w:t xml:space="preserve"> </w:t>
      </w:r>
      <w:r>
        <w:rPr>
          <w:b/>
          <w:bCs/>
        </w:rPr>
        <w:t xml:space="preserve">A — output gain.</w:t>
      </w:r>
      <w:r>
        <w:t xml:space="preserve"> </w:t>
      </w:r>
      <m:oMath>
        <m:sSub>
          <m:e>
            <m:r>
              <m:t>A</m:t>
            </m:r>
          </m:e>
          <m:sub>
            <m:r>
              <m:t>t</m:t>
            </m:r>
          </m:sub>
        </m:sSub>
        <m:r>
          <m:rPr>
            <m:sty m:val="p"/>
          </m:rPr>
          <m:t>=</m:t>
        </m:r>
        <m:sSub>
          <m:e>
            <m:r>
              <m:t>g</m:t>
            </m:r>
          </m:e>
          <m:sub>
            <m:r>
              <m:t>A</m:t>
            </m:r>
          </m:sub>
        </m:sSub>
        <m:r>
          <m:rPr>
            <m:sty m:val="p"/>
          </m:rPr>
          <m:t>⋅</m:t>
        </m:r>
        <m:r>
          <m:t>f</m:t>
        </m:r>
        <m:r>
          <m:rPr>
            <m:sty m:val="p"/>
          </m:rPr>
          <m:t>(</m:t>
        </m:r>
        <m:r>
          <m:rPr>
            <m:sty m:val="p"/>
          </m:rPr>
          <m:t>Δ</m:t>
        </m:r>
        <m:sSub>
          <m:e>
            <m:r>
              <m:t>τ</m:t>
            </m:r>
          </m:e>
          <m:sub>
            <m:r>
              <m:t>t</m:t>
            </m:r>
          </m:sub>
        </m:sSub>
        <m:r>
          <m:rPr>
            <m:sty m:val="p"/>
          </m:rPr>
          <m:t>)</m:t>
        </m:r>
      </m:oMath>
      <w:r>
        <w:t xml:space="preserve">,</w:t>
      </w:r>
      <w:r>
        <w:t xml:space="preserve"> </w:t>
      </w:r>
      <m:oMath>
        <m:sSub>
          <m:e>
            <m:r>
              <m:t>g</m:t>
            </m:r>
          </m:e>
          <m:sub>
            <m:r>
              <m:t>A</m:t>
            </m:r>
          </m:sub>
        </m:sSub>
      </m:oMath>
      <w:r>
        <w:t xml:space="preserve"> </w:t>
      </w:r>
      <w:r>
        <w:t xml:space="preserve">&gt; 0 scaling the slope that converts recognized mismatch into behavioral output — noradrenergic adaptive gain</w:t>
      </w:r>
      <w:r>
        <w:t xml:space="preserve"> </w:t>
      </w:r>
      <w:r>
        <w:t xml:space="preserve"> </w:t>
      </w:r>
      <w:r>
        <w:t xml:space="preserve">— corresponding to the corrective term that dissipates</w:t>
      </w:r>
      <w:r>
        <w:t xml:space="preserve"> </w:t>
      </w:r>
      <m:oMath>
        <m:r>
          <m:t>ε</m:t>
        </m:r>
      </m:oMath>
      <w:r>
        <w:t xml:space="preserve"> </w:t>
      </w:r>
      <w:r>
        <w:t xml:space="preserve">at rate</w:t>
      </w:r>
      <w:r>
        <w:t xml:space="preserve"> </w:t>
      </w:r>
      <m:oMath>
        <m:r>
          <m:t>μ</m:t>
        </m:r>
      </m:oMath>
      <w:r>
        <w:t xml:space="preserve"> </w:t>
      </w:r>
      <w:r>
        <w:t xml:space="preserve">in the theory’s dynamics.</w:t>
      </w:r>
      <w:r>
        <w:t xml:space="preserve"> </w:t>
      </w:r>
      <w:r>
        <w:t xml:space="preserve">-</w:t>
      </w:r>
      <w:r>
        <w:t xml:space="preserve"> </w:t>
      </w:r>
      <w:r>
        <w:rPr>
          <w:b/>
          <w:bCs/>
        </w:rPr>
        <w:t xml:space="preserve">S — integration time-constant.</w:t>
      </w:r>
      <w:r>
        <w:t xml:space="preserve"> </w:t>
      </w:r>
      <w:r>
        <w:t xml:space="preserve">Serotonergic function is setting the retention horizon</w:t>
      </w:r>
      <w:r>
        <w:t xml:space="preserve"> </w:t>
      </w:r>
      <m:oMath>
        <m:sSub>
          <m:e>
            <m:r>
              <m:t>h</m:t>
            </m:r>
          </m:e>
          <m:sub>
            <m:r>
              <m:t>S</m:t>
            </m:r>
          </m:sub>
        </m:sSub>
      </m:oMath>
      <w:r>
        <w:t xml:space="preserve"> </w:t>
      </w:r>
      <w:r>
        <w:t xml:space="preserve">— the number of steps over which outcomes revise the stabilized baseline — entering the update as the leak</w:t>
      </w:r>
      <w:r>
        <w:t xml:space="preserve"> </w:t>
      </w:r>
      <m:oMath>
        <m:sSub>
          <m:e>
            <m:r>
              <m:t>δ</m:t>
            </m:r>
          </m:e>
          <m:sub>
            <m:r>
              <m:t>S</m:t>
            </m:r>
          </m:sub>
        </m:sSub>
        <m:r>
          <m:rPr>
            <m:sty m:val="p"/>
          </m:rPr>
          <m:t>=</m:t>
        </m:r>
        <m:r>
          <m:t>1</m:t>
        </m:r>
        <m:r>
          <m:rPr>
            <m:sty m:val="p"/>
          </m:rPr>
          <m:t>/</m:t>
        </m:r>
        <m:sSub>
          <m:e>
            <m:r>
              <m:t>h</m:t>
            </m:r>
          </m:e>
          <m:sub>
            <m:r>
              <m:t>S</m:t>
            </m:r>
          </m:sub>
        </m:sSub>
      </m:oMath>
      <w:r>
        <w:t xml:space="preserve"> </w:t>
      </w:r>
      <w:r>
        <w:t xml:space="preserve">(</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BodyText"/>
      </w:pPr>
      <m:oMathPara>
        <m:oMathParaPr>
          <m:jc m:val="center"/>
        </m:oMathParaPr>
        <m:oMath>
          <m:eqArr>
            <m:e>
              <m:sSub>
                <m:e>
                  <m:r>
                    <m:t>S</m:t>
                  </m:r>
                </m:e>
                <m:sub>
                  <m:r>
                    <m:t>t</m:t>
                  </m:r>
                  <m:r>
                    <m:rPr>
                      <m:sty m:val="p"/>
                    </m:rPr>
                    <m:t>+</m:t>
                  </m:r>
                  <m:r>
                    <m:t>1</m:t>
                  </m:r>
                </m:sub>
              </m:sSub>
              <m:r>
                <m:rPr>
                  <m:sty m:val="p"/>
                </m:rPr>
                <m:t>=</m:t>
              </m:r>
              <m:r>
                <m:t>​</m:t>
              </m:r>
              <m:r>
                <m:t>&amp;</m:t>
              </m:r>
              <m:sSub>
                <m:e>
                  <m:r>
                    <m:t>S</m:t>
                  </m:r>
                </m:e>
                <m:sub>
                  <m:r>
                    <m:t>t</m:t>
                  </m:r>
                </m:sub>
              </m:sSub>
              <m:r>
                <m:rPr>
                  <m:sty m:val="p"/>
                </m:rPr>
                <m:t>+</m:t>
              </m:r>
              <m:sSup>
                <m:e>
                  <m:r>
                    <m:t>λ</m:t>
                  </m:r>
                </m:e>
                <m:sup>
                  <m:r>
                    <m:rPr>
                      <m:sty m:val="p"/>
                    </m:rPr>
                    <m:t>+</m:t>
                  </m:r>
                </m:sup>
              </m:sSup>
              <m:r>
                <m:t>​</m:t>
              </m:r>
              <m:r>
                <m:rPr>
                  <m:sty m:val="p"/>
                </m:rPr>
                <m:t>⋅</m:t>
              </m:r>
              <m:r>
                <m:rPr>
                  <m:sty m:val="p"/>
                </m:rPr>
                <m:t>max</m:t>
              </m:r>
              <m:r>
                <m:rPr>
                  <m:sty m:val="p"/>
                </m:rPr>
                <m:t>(</m:t>
              </m:r>
              <m:sSub>
                <m:e>
                  <m:r>
                    <m:t>ε</m:t>
                  </m:r>
                </m:e>
                <m:sub>
                  <m:r>
                    <m:t>t</m:t>
                  </m:r>
                </m:sub>
              </m:sSub>
              <m:r>
                <m:rPr>
                  <m:sty m:val="p"/>
                </m:rPr>
                <m:t>,</m:t>
              </m:r>
              <m:r>
                <m:t>0</m:t>
              </m:r>
              <m:r>
                <m:rPr>
                  <m:sty m:val="p"/>
                </m:rPr>
                <m:t>)</m:t>
              </m:r>
              <m:r>
                <m:rPr>
                  <m:sty m:val="p"/>
                </m:rPr>
                <m:t>⋅</m:t>
              </m:r>
              <m:sSub>
                <m:e>
                  <m:r>
                    <m:t>r</m:t>
                  </m:r>
                </m:e>
                <m:sub>
                  <m:r>
                    <m:t>t</m:t>
                  </m:r>
                </m:sub>
              </m:sSub>
              <m:r>
                <m:rPr>
                  <m:sty m:val="p"/>
                </m:rPr>
                <m:t>+</m:t>
              </m:r>
              <m:sSup>
                <m:e>
                  <m:r>
                    <m:t>λ</m:t>
                  </m:r>
                </m:e>
                <m:sup>
                  <m:r>
                    <m:rPr>
                      <m:sty m:val="p"/>
                    </m:rPr>
                    <m:t>−</m:t>
                  </m:r>
                </m:sup>
              </m:sSup>
              <m:r>
                <m:t>​</m:t>
              </m:r>
              <m:r>
                <m:rPr>
                  <m:sty m:val="p"/>
                </m:rPr>
                <m:t>⋅</m:t>
              </m:r>
              <m:r>
                <m:rPr>
                  <m:sty m:val="p"/>
                </m:rPr>
                <m:t>min</m:t>
              </m:r>
              <m:r>
                <m:rPr>
                  <m:sty m:val="p"/>
                </m:rPr>
                <m:t>(</m:t>
              </m:r>
              <m:sSub>
                <m:e>
                  <m:r>
                    <m:t>ε</m:t>
                  </m:r>
                </m:e>
                <m:sub>
                  <m:r>
                    <m:t>t</m:t>
                  </m:r>
                </m:sub>
              </m:sSub>
              <m:r>
                <m:rPr>
                  <m:sty m:val="p"/>
                </m:rPr>
                <m:t>,</m:t>
              </m:r>
              <m:r>
                <m:t>0</m:t>
              </m:r>
              <m:r>
                <m:rPr>
                  <m:sty m:val="p"/>
                </m:rPr>
                <m:t>)</m:t>
              </m:r>
              <m:r>
                <m:rPr>
                  <m:sty m:val="p"/>
                </m:rPr>
                <m:t>⋅</m:t>
              </m:r>
              <m:sSub>
                <m:e>
                  <m:r>
                    <m:t>r</m:t>
                  </m:r>
                </m:e>
                <m:sub>
                  <m:r>
                    <m:t>t</m:t>
                  </m:r>
                </m:sub>
              </m:sSub>
            </m:e>
            <m:e>
              <m:r>
                <m:t>&amp;</m:t>
              </m:r>
              <m:r>
                <m:rPr>
                  <m:sty m:val="p"/>
                </m:rPr>
                <m:t>−</m:t>
              </m:r>
              <m:sSub>
                <m:e>
                  <m:r>
                    <m:t>δ</m:t>
                  </m:r>
                </m:e>
                <m:sub>
                  <m:r>
                    <m:t>S</m:t>
                  </m:r>
                </m:sub>
              </m:sSub>
              <m:r>
                <m:rPr>
                  <m:sty m:val="p"/>
                </m:rPr>
                <m:t>⋅</m:t>
              </m:r>
              <m:r>
                <m:rPr>
                  <m:sty m:val="p"/>
                </m:rPr>
                <m:t>(</m:t>
              </m:r>
              <m:sSub>
                <m:e>
                  <m:r>
                    <m:t>S</m:t>
                  </m:r>
                </m:e>
                <m:sub>
                  <m:r>
                    <m:t>t</m:t>
                  </m:r>
                </m:sub>
              </m:sSub>
              <m:r>
                <m:rPr>
                  <m:sty m:val="p"/>
                </m:rPr>
                <m:t>−</m:t>
              </m:r>
              <m:sSub>
                <m:e>
                  <m:r>
                    <m:t>S</m:t>
                  </m:r>
                </m:e>
                <m:sub>
                  <m:r>
                    <m:rPr>
                      <m:sty m:val="p"/>
                    </m:rPr>
                    <m:t>b</m:t>
                  </m:r>
                  <m:r>
                    <m:rPr>
                      <m:sty m:val="p"/>
                    </m:rPr>
                    <m:t>a</m:t>
                  </m:r>
                  <m:r>
                    <m:rPr>
                      <m:sty m:val="p"/>
                    </m:rPr>
                    <m:t>s</m:t>
                  </m:r>
                  <m:r>
                    <m:rPr>
                      <m:sty m:val="p"/>
                    </m:rPr>
                    <m:t>e</m:t>
                  </m:r>
                </m:sub>
              </m:sSub>
              <m:r>
                <m:rPr>
                  <m:sty m:val="p"/>
                </m:rPr>
                <m:t>)</m:t>
              </m:r>
            </m:e>
          </m:eqArr>
        </m:oMath>
      </m:oMathPara>
    </w:p>
    <w:p>
      <w:pPr>
        <w:pStyle w:val="FirstParagraph"/>
      </w:pPr>
      <w:r>
        <w:t xml:space="preserve">with</w:t>
      </w:r>
      <w:r>
        <w:t xml:space="preserve"> </w:t>
      </w:r>
      <m:oMath>
        <m:sSup>
          <m:e>
            <m:r>
              <m:t>λ</m:t>
            </m:r>
          </m:e>
          <m:sup>
            <m:r>
              <m:rPr>
                <m:sty m:val="p"/>
              </m:rPr>
              <m:t>+</m:t>
            </m:r>
          </m:sup>
        </m:sSup>
        <m:r>
          <m:rPr>
            <m:sty m:val="p"/>
          </m:rPr>
          <m:t>,</m:t>
        </m:r>
        <m:sSup>
          <m:e>
            <m:r>
              <m:t>λ</m:t>
            </m:r>
          </m:e>
          <m:sup>
            <m:r>
              <m:rPr>
                <m:sty m:val="p"/>
              </m:rPr>
              <m:t>−</m:t>
            </m:r>
          </m:sup>
        </m:sSup>
        <m:r>
          <m:rPr>
            <m:sty m:val="p"/>
          </m:rPr>
          <m:t>≥</m:t>
        </m:r>
        <m:r>
          <m:t>0</m:t>
        </m:r>
      </m:oMath>
      <w:r>
        <w:t xml:space="preserve"> </w:t>
      </w:r>
      <w:r>
        <w:t xml:space="preserve">the confirmation/betrayal sensitivities,</w:t>
      </w:r>
      <w:r>
        <w:t xml:space="preserve"> </w:t>
      </w:r>
      <m:oMath>
        <m:sSub>
          <m:e>
            <m:r>
              <m:t>r</m:t>
            </m:r>
          </m:e>
          <m:sub>
            <m:r>
              <m:t>t</m:t>
            </m:r>
          </m:sub>
        </m:sSub>
        <m:r>
          <m:rPr>
            <m:sty m:val="p"/>
          </m:rPr>
          <m:t>∈</m:t>
        </m:r>
        <m:r>
          <m:rPr>
            <m:sty m:val="p"/>
          </m:rPr>
          <m:t>[</m:t>
        </m:r>
        <m:r>
          <m:t>0</m:t>
        </m:r>
        <m:r>
          <m:rPr>
            <m:sty m:val="p"/>
          </m:rPr>
          <m:t>,</m:t>
        </m:r>
        <m:r>
          <m:t>1</m:t>
        </m:r>
        <m:r>
          <m:rPr>
            <m:sty m:val="p"/>
          </m:rPr>
          <m:t>]</m:t>
        </m:r>
      </m:oMath>
      <w:r>
        <w:t xml:space="preserve"> </w:t>
      </w:r>
      <w:r>
        <w:t xml:space="preserve">the recognition gate,</w:t>
      </w:r>
      <w:r>
        <w:t xml:space="preserve"> </w:t>
      </w:r>
      <m:oMath>
        <m:sSub>
          <m:e>
            <m:r>
              <m:t>δ</m:t>
            </m:r>
          </m:e>
          <m:sub>
            <m:r>
              <m:t>S</m:t>
            </m:r>
          </m:sub>
        </m:sSub>
        <m:r>
          <m:rPr>
            <m:sty m:val="p"/>
          </m:rPr>
          <m:t>≥</m:t>
        </m:r>
        <m:r>
          <m:t>0</m:t>
        </m:r>
      </m:oMath>
      <w:r>
        <w:t xml:space="preserve"> </w:t>
      </w:r>
      <w:r>
        <w:t xml:space="preserve">the retention leak, and</w:t>
      </w:r>
      <w:r>
        <w:t xml:space="preserve"> </w:t>
      </w:r>
      <m:oMath>
        <m:sSub>
          <m:e>
            <m:r>
              <m:t>S</m:t>
            </m:r>
          </m:e>
          <m:sub>
            <m:r>
              <m:t>b</m:t>
            </m:r>
            <m:r>
              <m:t>a</m:t>
            </m:r>
            <m:r>
              <m:t>s</m:t>
            </m:r>
            <m:r>
              <m:t>e</m:t>
            </m:r>
          </m:sub>
        </m:sSub>
      </m:oMath>
      <w:r>
        <w:t xml:space="preserve"> </w:t>
      </w:r>
      <w:r>
        <w:t xml:space="preserve">the baseline toward which stabilization decays. The DOCAS biological layer is the preset</w:t>
      </w:r>
      <w:r>
        <w:t xml:space="preserve"> </w:t>
      </w:r>
      <m:oMath>
        <m:sSup>
          <m:e>
            <m:r>
              <m:t>λ</m:t>
            </m:r>
          </m:e>
          <m:sup>
            <m:r>
              <m:rPr>
                <m:sty m:val="p"/>
              </m:rPr>
              <m:t>+</m:t>
            </m:r>
          </m:sup>
        </m:sSup>
        <m:r>
          <m:rPr>
            <m:sty m:val="p"/>
          </m:rPr>
          <m:t>=</m:t>
        </m:r>
        <m:sSup>
          <m:e>
            <m:r>
              <m:t>λ</m:t>
            </m:r>
          </m:e>
          <m:sup>
            <m:r>
              <m:rPr>
                <m:sty m:val="p"/>
              </m:rPr>
              <m:t>−</m:t>
            </m:r>
          </m:sup>
        </m:sSup>
        <m:r>
          <m:rPr>
            <m:sty m:val="p"/>
          </m:rPr>
          <m:t>=</m:t>
        </m:r>
        <m:r>
          <m:t>λ</m:t>
        </m:r>
      </m:oMath>
      <w:r>
        <w:t xml:space="preserve">,</w:t>
      </w:r>
      <w:r>
        <w:t xml:space="preserve"> </w:t>
      </w:r>
      <m:oMath>
        <m:sSub>
          <m:e>
            <m:r>
              <m:t>r</m:t>
            </m:r>
          </m:e>
          <m:sub>
            <m:r>
              <m:t>t</m:t>
            </m:r>
          </m:sub>
        </m:sSub>
        <m:r>
          <m:rPr>
            <m:sty m:val="p"/>
          </m:rPr>
          <m:t>∈</m:t>
        </m:r>
        <m:r>
          <m:rPr>
            <m:sty m:val="p"/>
          </m:rPr>
          <m:t>[</m:t>
        </m:r>
        <m:r>
          <m:t>0</m:t>
        </m:r>
        <m:r>
          <m:rPr>
            <m:sty m:val="p"/>
          </m:rPr>
          <m:t>,</m:t>
        </m:r>
        <m:r>
          <m:t>1</m:t>
        </m:r>
        <m:r>
          <m:rPr>
            <m:sty m:val="p"/>
          </m:rPr>
          <m:t>]</m:t>
        </m:r>
      </m:oMath>
      <w:r>
        <w:t xml:space="preserve">,</w:t>
      </w:r>
      <w:r>
        <w:t xml:space="preserve"> </w:t>
      </w:r>
      <m:oMath>
        <m:sSub>
          <m:e>
            <m:r>
              <m:t>δ</m:t>
            </m:r>
          </m:e>
          <m:sub>
            <m:r>
              <m:t>S</m:t>
            </m:r>
          </m:sub>
        </m:sSub>
        <m:r>
          <m:rPr>
            <m:sty m:val="p"/>
          </m:rPr>
          <m:t>&gt;</m:t>
        </m:r>
        <m:r>
          <m:t>0</m:t>
        </m:r>
      </m:oMath>
      <w:r>
        <w:t xml:space="preserve">,</w:t>
      </w:r>
      <w:r>
        <w:t xml:space="preserve"> </w:t>
      </w:r>
      <m:oMath>
        <m:sSub>
          <m:e>
            <m:r>
              <m:t>S</m:t>
            </m:r>
          </m:e>
          <m:sub>
            <m:r>
              <m:t>b</m:t>
            </m:r>
            <m:r>
              <m:t>a</m:t>
            </m:r>
            <m:r>
              <m:t>s</m:t>
            </m:r>
            <m:r>
              <m:t>e</m:t>
            </m:r>
          </m:sub>
        </m:sSub>
      </m:oMath>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r>
            <m:t>λ</m:t>
          </m:r>
          <m:r>
            <m:t> </m:t>
          </m:r>
          <m:sSub>
            <m:e>
              <m:r>
                <m:t>r</m:t>
              </m:r>
            </m:e>
            <m:sub>
              <m:r>
                <m:t>t</m:t>
              </m:r>
            </m:sub>
          </m:sSub>
          <m:r>
            <m:t> </m:t>
          </m:r>
          <m:sSub>
            <m:e>
              <m:r>
                <m:t>ε</m:t>
              </m:r>
            </m:e>
            <m:sub>
              <m:r>
                <m:t>t</m:t>
              </m:r>
            </m:sub>
          </m:sSub>
          <m:r>
            <m:rPr>
              <m:sty m:val="p"/>
            </m:rPr>
            <m:t>−</m:t>
          </m:r>
          <m:sSub>
            <m:e>
              <m:r>
                <m:t>δ</m:t>
              </m:r>
            </m:e>
            <m:sub>
              <m:r>
                <m:t>S</m:t>
              </m:r>
            </m:sub>
          </m:sSub>
          <m:r>
            <m:rPr>
              <m:sty m:val="p"/>
            </m:rPr>
            <m:t>(</m:t>
          </m:r>
          <m:sSub>
            <m:e>
              <m:r>
                <m:t>S</m:t>
              </m:r>
            </m:e>
            <m:sub>
              <m:r>
                <m:t>t</m:t>
              </m:r>
            </m:sub>
          </m:sSub>
          <m:r>
            <m:rPr>
              <m:sty m:val="p"/>
            </m:rPr>
            <m:t>−</m:t>
          </m:r>
          <m:sSub>
            <m:e>
              <m:r>
                <m:t>S</m:t>
              </m:r>
            </m:e>
            <m:sub>
              <m:r>
                <m:rPr>
                  <m:sty m:val="p"/>
                </m:rPr>
                <m:t>b</m:t>
              </m:r>
              <m:r>
                <m:rPr>
                  <m:sty m:val="p"/>
                </m:rPr>
                <m:t>a</m:t>
              </m:r>
              <m:r>
                <m:rPr>
                  <m:sty m:val="p"/>
                </m:rPr>
                <m:t>s</m:t>
              </m:r>
              <m:r>
                <m:rPr>
                  <m:sty m:val="p"/>
                </m:rPr>
                <m:t>e</m:t>
              </m:r>
            </m:sub>
          </m:sSub>
          <m:r>
            <m:rPr>
              <m:sty m:val="p"/>
            </m:rPr>
            <m:t>)</m:t>
          </m:r>
          <m:r>
            <m:rPr>
              <m:sty m:val="p"/>
            </m:rPr>
            <m:t>.</m:t>
          </m:r>
        </m:oMath>
      </m:oMathPara>
    </w:p>
    <w:p>
      <w:pPr>
        <w:pStyle w:val="FirstParagraph"/>
      </w:pPr>
      <w:r>
        <w:t xml:space="preserve">The baseline-restoring form of the leak is not cosmetic. The earlier pure-leak version (decay toward zero) decays trust to zero without events — simulated half-life</w:t>
      </w:r>
      <w:r>
        <w:t xml:space="preserve"> </w:t>
      </w:r>
      <m:oMath>
        <m:r>
          <m:rPr>
            <m:sty m:val="p"/>
          </m:rPr>
          <m:t>≈</m:t>
        </m:r>
      </m:oMath>
      <w:r>
        <w:t xml:space="preserve"> </w:t>
      </w:r>
      <w:r>
        <w:t xml:space="preserve">69 events at</w:t>
      </w:r>
      <w:r>
        <w:t xml:space="preserve"> </w:t>
      </w:r>
      <m:oMath>
        <m:r>
          <m:t>δ</m:t>
        </m:r>
        <m:r>
          <m:rPr>
            <m:sty m:val="p"/>
          </m:rPr>
          <m:t>=</m:t>
        </m:r>
        <m:r>
          <m:t>0.01</m:t>
        </m:r>
      </m:oMath>
      <w:r>
        <w:t xml:space="preserve">, exactly matching theory</w:t>
      </w:r>
      <w:r>
        <w:t xml:space="preserve"> </w:t>
      </w:r>
      <m:oMath>
        <m:r>
          <m:rPr>
            <m:sty m:val="p"/>
          </m:rPr>
          <m:t>ln</m:t>
        </m:r>
        <m:r>
          <m:t>2</m:t>
        </m:r>
        <m:r>
          <m:rPr>
            <m:sty m:val="p"/>
          </m:rPr>
          <m:t>/</m:t>
        </m:r>
        <m:r>
          <m:t>δ</m:t>
        </m:r>
      </m:oMath>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m:oMath>
        <m:sSub>
          <m:e>
            <m:r>
              <m:t>S</m:t>
            </m:r>
          </m:e>
          <m:sub>
            <m:r>
              <m:t>b</m:t>
            </m:r>
            <m:r>
              <m:t>a</m:t>
            </m:r>
            <m:r>
              <m:t>s</m:t>
            </m:r>
            <m:r>
              <m:t>e</m:t>
            </m:r>
          </m:sub>
        </m:sSub>
      </m:oMath>
      <w:r>
        <w:t xml:space="preserve"> </w:t>
      </w:r>
      <w:r>
        <w:t xml:space="preserve">in 207 events (</w:t>
      </w:r>
      <m:oMath>
        <m:r>
          <m:rPr>
            <m:sty m:val="p"/>
          </m:rPr>
          <m:t>−</m:t>
        </m:r>
        <m:r>
          <m:t>20</m:t>
        </m:r>
      </m:oMath>
      <w:r>
        <w:t xml:space="preserve"> </w:t>
      </w:r>
      <w:r>
        <w:t xml:space="preserve">shock; 69/138 for</w:t>
      </w:r>
      <w:r>
        <w:t xml:space="preserve"> </w:t>
      </w:r>
      <m:oMath>
        <m:r>
          <m:rPr>
            <m:sty m:val="p"/>
          </m:rPr>
          <m:t>−</m:t>
        </m:r>
        <m:r>
          <m:t>5</m:t>
        </m:r>
      </m:oMath>
      <w:r>
        <w:t xml:space="preserve">/</w:t>
      </w:r>
      <m:oMath>
        <m:r>
          <m:rPr>
            <m:sty m:val="p"/>
          </m:rPr>
          <m:t>−</m:t>
        </m:r>
        <m:r>
          <m:t>10</m:t>
        </m:r>
      </m:oMath>
      <w:r>
        <w:t xml:space="preserve">) after a shock-then-silence probe (Technical Appendix, Sim-Battery A, fig1a, fig2). The theory’s physics layer is recovered as the</w:t>
      </w:r>
      <w:r>
        <w:t xml:space="preserve"> </w:t>
      </w:r>
      <w:r>
        <w:rPr>
          <w:b/>
          <w:bCs/>
        </w:rPr>
        <w:t xml:space="preserve">proven limit</w:t>
      </w:r>
      <w:r>
        <w:t xml:space="preserve"> </w:t>
      </w:r>
      <m:oMath>
        <m:sSub>
          <m:e>
            <m:r>
              <m:t>δ</m:t>
            </m:r>
          </m:e>
          <m:sub>
            <m:r>
              <m:t>S</m:t>
            </m:r>
          </m:sub>
        </m:sSub>
        <m:r>
          <m:rPr>
            <m:sty m:val="p"/>
          </m:rPr>
          <m:t>→</m:t>
        </m:r>
        <m:r>
          <m:t>0</m:t>
        </m:r>
      </m:oMath>
      <w:r>
        <w:t xml:space="preserve">,</w:t>
      </w:r>
      <w:r>
        <w:t xml:space="preserve"> </w:t>
      </w:r>
      <m:oMath>
        <m:r>
          <m:t>r</m:t>
        </m:r>
        <m:r>
          <m:rPr>
            <m:sty m:val="p"/>
          </m:rPr>
          <m:t>→</m:t>
        </m:r>
        <m:r>
          <m:t>1</m:t>
        </m:r>
      </m:oMath>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(break/build asymmetry), an explicitly labeled extension, not part of the DOCAS preset.</w:t>
      </w:r>
    </w:p>
    <w:p>
      <w:pPr>
        <w:pStyle w:val="BodyText"/>
      </w:pPr>
      <w:r>
        <w:t xml:space="preserve">Collect the channel gains as</w:t>
      </w:r>
      <w:r>
        <w:t xml:space="preserve"> </w:t>
      </w:r>
      <m:oMath>
        <m:r>
          <m:t>g</m:t>
        </m:r>
        <m:r>
          <m:rPr>
            <m:sty m:val="p"/>
          </m:rPr>
          <m:t>=</m:t>
        </m:r>
        <m:r>
          <m:rPr>
            <m:sty m:val="p"/>
          </m:rPr>
          <m:t>(</m:t>
        </m:r>
        <m:r>
          <m:rPr>
            <m:sty m:val="p"/>
          </m:rPr>
          <m:t>Π</m:t>
        </m:r>
        <m:r>
          <m:rPr>
            <m:sty m:val="p"/>
          </m:rPr>
          <m:t>,</m:t>
        </m:r>
        <m:r>
          <m:t> </m:t>
        </m:r>
        <m:sSub>
          <m:e>
            <m:r>
              <m:t>γ</m:t>
            </m:r>
          </m:e>
          <m:sub>
            <m:r>
              <m:t>O</m:t>
            </m:r>
          </m:sub>
        </m:sSub>
        <m:r>
          <m:rPr>
            <m:sty m:val="p"/>
          </m:rPr>
          <m:t>,</m:t>
        </m:r>
        <m:r>
          <m:t> </m:t>
        </m:r>
        <m:r>
          <m:rPr>
            <m:sty m:val="p"/>
          </m:rPr>
          <m:t>(</m:t>
        </m:r>
        <m:sSub>
          <m:e>
            <m:r>
              <m:t>θ</m:t>
            </m:r>
          </m:e>
          <m:sub>
            <m:r>
              <m:t>C</m:t>
            </m:r>
          </m:sub>
        </m:sSub>
        <m:r>
          <m:rPr>
            <m:sty m:val="p"/>
          </m:rPr>
          <m:t>,</m:t>
        </m:r>
        <m:sSub>
          <m:e>
            <m:r>
              <m:t>β</m:t>
            </m:r>
          </m:e>
          <m:sub>
            <m:r>
              <m:t>C</m:t>
            </m:r>
          </m:sub>
        </m:sSub>
        <m:r>
          <m:rPr>
            <m:sty m:val="p"/>
          </m:rPr>
          <m:t>)</m:t>
        </m:r>
        <m:r>
          <m:rPr>
            <m:sty m:val="p"/>
          </m:rPr>
          <m:t>,</m:t>
        </m:r>
        <m:r>
          <m:t> </m:t>
        </m:r>
        <m:sSub>
          <m:e>
            <m:r>
              <m:t>g</m:t>
            </m:r>
          </m:e>
          <m:sub>
            <m:r>
              <m:t>A</m:t>
            </m:r>
          </m:sub>
        </m:sSub>
        <m:r>
          <m:rPr>
            <m:sty m:val="p"/>
          </m:rPr>
          <m:t>,</m:t>
        </m:r>
        <m:r>
          <m:t> </m:t>
        </m:r>
        <m:sSub>
          <m:e>
            <m:r>
              <m:t>h</m:t>
            </m:r>
          </m:e>
          <m:sub>
            <m:r>
              <m:t>S</m:t>
            </m:r>
          </m:sub>
        </m:sSub>
        <m:r>
          <m:rPr>
            <m:sty m:val="p"/>
          </m:rPr>
          <m:t>)</m:t>
        </m:r>
      </m:oMath>
      <w:r>
        <w:t xml:space="preserve"> </w:t>
      </w:r>
      <w:r>
        <w:t xml:space="preserve">and the neuromodulatory state as</w:t>
      </w:r>
      <w:r>
        <w:t xml:space="preserve"> </w:t>
      </w:r>
      <m:oMath>
        <m:r>
          <m:t>m</m:t>
        </m:r>
        <m:r>
          <m:rPr>
            <m:sty m:val="p"/>
          </m:rPr>
          <m:t>=</m:t>
        </m:r>
        <m:r>
          <m:rPr>
            <m:sty m:val="p"/>
          </m:rPr>
          <m:t>(</m:t>
        </m:r>
        <m:r>
          <m:rPr>
            <m:sty m:val="p"/>
          </m:rPr>
          <m:t>D</m:t>
        </m:r>
        <m:r>
          <m:rPr>
            <m:sty m:val="p"/>
          </m:rPr>
          <m:t>A</m:t>
        </m:r>
        <m:r>
          <m:rPr>
            <m:sty m:val="p"/>
          </m:rPr>
          <m:t>,</m:t>
        </m:r>
        <m:r>
          <m:rPr>
            <m:sty m:val="p"/>
          </m:rPr>
          <m:t>O</m:t>
        </m:r>
        <m:r>
          <m:rPr>
            <m:sty m:val="p"/>
          </m:rPr>
          <m:t>T</m:t>
        </m:r>
        <m:r>
          <m:rPr>
            <m:sty m:val="p"/>
          </m:rPr>
          <m:t>,</m:t>
        </m:r>
        <m:r>
          <m:rPr>
            <m:sty m:val="p"/>
          </m:rPr>
          <m:t>C</m:t>
        </m:r>
        <m:r>
          <m:rPr>
            <m:sty m:val="p"/>
          </m:rPr>
          <m:t>O</m:t>
        </m:r>
        <m:r>
          <m:rPr>
            <m:sty m:val="p"/>
          </m:rPr>
          <m:t>R</m:t>
        </m:r>
        <m:r>
          <m:rPr>
            <m:sty m:val="p"/>
          </m:rPr>
          <m:t>T</m:t>
        </m:r>
        <m:r>
          <m:rPr>
            <m:sty m:val="p"/>
          </m:rPr>
          <m:t>,</m:t>
        </m:r>
        <m:r>
          <m:rPr>
            <m:sty m:val="p"/>
          </m:rPr>
          <m:t>N</m:t>
        </m:r>
        <m:r>
          <m:rPr>
            <m:sty m:val="p"/>
          </m:rPr>
          <m:t>A</m:t>
        </m:r>
        <m:r>
          <m:rPr>
            <m:sty m:val="p"/>
          </m:rPr>
          <m:t>,</m:t>
        </m:r>
        <m:r>
          <m:rPr>
            <m:sty m:val="p"/>
          </m:rPr>
          <m:t>5</m:t>
        </m:r>
        <m:r>
          <m:rPr>
            <m:sty m:val="p"/>
          </m:rPr>
          <m:t>−</m:t>
        </m:r>
        <m:r>
          <m:rPr>
            <m:sty m:val="p"/>
          </m:rPr>
          <m:t>H</m:t>
        </m:r>
        <m:r>
          <m:rPr>
            <m:sty m:val="p"/>
          </m:rPr>
          <m:t>T</m:t>
        </m:r>
        <m:r>
          <m:rPr>
            <m:sty m:val="p"/>
          </m:rPr>
          <m:t>)</m:t>
        </m:r>
      </m:oMath>
      <w:r>
        <w:t xml:space="preserve">; the modulators act on the loop through a gain matrix</w:t>
      </w:r>
      <w:r>
        <w:t xml:space="preserve"> </w:t>
      </w:r>
      <m:oMath>
        <m:r>
          <m:t>g</m:t>
        </m:r>
        <m:r>
          <m:rPr>
            <m:sty m:val="p"/>
          </m:rPr>
          <m:t>=</m:t>
        </m:r>
        <m:r>
          <m:t>M</m:t>
        </m:r>
        <m:r>
          <m:t> </m:t>
        </m:r>
        <m:r>
          <m:t>m</m:t>
        </m:r>
      </m:oMath>
      <w:r>
        <w:t xml:space="preserve">. The component-wise non-negative vector</w:t>
      </w:r>
      <w:r>
        <w:t xml:space="preserve"> </w:t>
      </w:r>
      <m:oMath>
        <m:r>
          <m:t>a</m:t>
        </m:r>
        <m:r>
          <m:rPr>
            <m:sty m:val="p"/>
          </m:rPr>
          <m:t>(</m:t>
        </m:r>
        <m:r>
          <m:t>t</m:t>
        </m:r>
        <m:r>
          <m:rPr>
            <m:sty m:val="p"/>
          </m:rPr>
          <m:t>)</m:t>
        </m:r>
        <m:r>
          <m:rPr>
            <m:sty m:val="p"/>
          </m:rPr>
          <m:t>=</m:t>
        </m:r>
        <m:r>
          <m:rPr>
            <m:sty m:val="p"/>
          </m:rPr>
          <m:t>(</m:t>
        </m:r>
        <m:sSub>
          <m:e>
            <m:r>
              <m:rPr>
                <m:sty m:val="p"/>
              </m:rPr>
              <m:t>Π</m:t>
            </m:r>
          </m:e>
          <m:sub>
            <m:r>
              <m:t>t</m:t>
            </m:r>
          </m:sub>
        </m:sSub>
        <m:r>
          <m:rPr>
            <m:sty m:val="p"/>
          </m:rPr>
          <m:t>,</m:t>
        </m:r>
        <m:sSub>
          <m:e>
            <m:r>
              <m:t>γ</m:t>
            </m:r>
          </m:e>
          <m:sub>
            <m:r>
              <m:t>O</m:t>
            </m:r>
            <m:r>
              <m:rPr>
                <m:sty m:val="p"/>
              </m:rPr>
              <m:t>,</m:t>
            </m:r>
            <m:r>
              <m:t>t</m:t>
            </m:r>
          </m:sub>
        </m:sSub>
        <m:r>
          <m:rPr>
            <m:sty m:val="p"/>
          </m:rPr>
          <m:t>,</m:t>
        </m:r>
        <m:sSub>
          <m:e>
            <m:r>
              <m:t>C</m:t>
            </m:r>
          </m:e>
          <m:sub>
            <m:r>
              <m:t>t</m:t>
            </m:r>
          </m:sub>
        </m:sSub>
        <m:r>
          <m:rPr>
            <m:sty m:val="p"/>
          </m:rPr>
          <m:t>,</m:t>
        </m:r>
        <m:sSub>
          <m:e>
            <m:r>
              <m:t>g</m:t>
            </m:r>
          </m:e>
          <m:sub>
            <m:r>
              <m:t>A</m:t>
            </m:r>
          </m:sub>
        </m:sSub>
        <m:r>
          <m:t>f</m:t>
        </m:r>
        <m:r>
          <m:rPr>
            <m:sty m:val="p"/>
          </m:rPr>
          <m:t>(</m:t>
        </m:r>
        <m:r>
          <m:rPr>
            <m:sty m:val="p"/>
          </m:rPr>
          <m:t>Δ</m:t>
        </m:r>
        <m:sSub>
          <m:e>
            <m:r>
              <m:t>τ</m:t>
            </m:r>
          </m:e>
          <m:sub>
            <m:r>
              <m:t>t</m:t>
            </m:r>
          </m:sub>
        </m:sSub>
        <m:r>
          <m:rPr>
            <m:sty m:val="p"/>
          </m:rPr>
          <m:t>)</m:t>
        </m:r>
        <m:r>
          <m:rPr>
            <m:sty m:val="p"/>
          </m:rPr>
          <m:t>,</m:t>
        </m:r>
        <m:r>
          <m:t>λ</m:t>
        </m:r>
        <m:sSub>
          <m:e>
            <m:r>
              <m:t>r</m:t>
            </m:r>
          </m:e>
          <m:sub>
            <m:r>
              <m:t>t</m:t>
            </m:r>
          </m:sub>
        </m:sSub>
        <m:r>
          <m:rPr>
            <m:sty m:val="p"/>
          </m:rPr>
          <m:t>)</m:t>
        </m:r>
      </m:oMath>
      <w:r>
        <w:t xml:space="preserve"> </w:t>
      </w:r>
      <w:r>
        <w:t xml:space="preserve">is what the theory’s Fisher–Rao construction normalizes into the stage-mix simplex coordinate</w:t>
      </w:r>
      <w:r>
        <w:t xml:space="preserve"> </w:t>
      </w:r>
      <m:oMath>
        <m:r>
          <m:t>θ</m:t>
        </m:r>
      </m:oMath>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m:oMath>
        <m:r>
          <m:rPr>
            <m:sty m:val="p"/>
          </m:rPr>
          <m:t>|</m:t>
        </m:r>
        <m:sSub>
          <m:e>
            <m:r>
              <m:t>M</m:t>
            </m:r>
          </m:e>
          <m:sub>
            <m:r>
              <m:t>i</m:t>
            </m:r>
            <m:r>
              <m:t>i</m:t>
            </m:r>
          </m:sub>
        </m:sSub>
        <m:r>
          <m:rPr>
            <m:sty m:val="p"/>
          </m:rPr>
          <m:t>|</m:t>
        </m:r>
        <m:r>
          <m:rPr>
            <m:sty m:val="p"/>
          </m:rPr>
          <m:t>&gt;</m:t>
        </m:r>
        <m:nary>
          <m:naryPr>
            <m:chr m:val="∑"/>
            <m:limLoc m:val="undOvr"/>
            <m:subHide m:val="off"/>
            <m:supHide m:val="on"/>
          </m:naryPr>
          <m:sub>
            <m:r>
              <m:t>j</m:t>
            </m:r>
            <m:r>
              <m:rPr>
                <m:sty m:val="p"/>
              </m:rPr>
              <m:t>≠</m:t>
            </m:r>
            <m:r>
              <m:t>i</m:t>
            </m:r>
          </m:sub>
          <m:sup>
            <m:r>
              <m:t>​</m:t>
            </m:r>
          </m:sup>
          <m:e>
            <m:r>
              <m:rPr>
                <m:sty m:val="p"/>
              </m:rPr>
              <m:t>|</m:t>
            </m:r>
          </m:e>
        </m:nary>
        <m:sSub>
          <m:e>
            <m:r>
              <m:t>M</m:t>
            </m:r>
          </m:e>
          <m:sub>
            <m:r>
              <m:t>i</m:t>
            </m:r>
            <m:r>
              <m:t>j</m:t>
            </m:r>
          </m:sub>
        </m:sSub>
        <m:r>
          <m:rPr>
            <m:sty m:val="p"/>
          </m:rPr>
          <m:t>|</m:t>
        </m:r>
      </m:oMath>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m:oMath>
        <m:r>
          <m:t>ε</m:t>
        </m:r>
      </m:oMath>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bookmarkStart w:id="23" w:name="fig:operators"/>
    <w:p>
      <w:pPr>
        <w:pStyle w:val="CaptionedFigure"/>
      </w:pPr>
      <w:r>
        <w:drawing>
          <wp:inline>
            <wp:extent cx="4907280" cy="1406753"/>
            <wp:effectExtent b="0" l="0" r="0" t="0"/>
            <wp:docPr descr="" title="" id="21" name="Picture"/>
            <a:graphic>
              <a:graphicData uri="http://schemas.openxmlformats.org/drawingml/2006/picture">
                <pic:pic>
                  <pic:nvPicPr>
                    <pic:cNvPr descr="figures/figD_operators_masterlaw.png" id="22" name="Picture"/>
                    <pic:cNvPicPr>
                      <a:picLocks noChangeArrowheads="1" noChangeAspect="1"/>
                    </pic:cNvPicPr>
                  </pic:nvPicPr>
                  <pic:blipFill>
                    <a:blip r:embed="rId20"/>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Operator composition and master-law verification (independent verification re-run, numpy, seed 42). The composed D</w:t>
      </w:r>
      <m:oMath>
        <m:r>
          <m:rPr>
            <m:sty m:val="p"/>
          </m:rPr>
          <m:t>→</m:t>
        </m:r>
      </m:oMath>
      <w:r>
        <w:t xml:space="preserve">O</w:t>
      </w:r>
      <m:oMath>
        <m:r>
          <m:rPr>
            <m:sty m:val="p"/>
          </m:rPr>
          <m:t>→</m:t>
        </m:r>
      </m:oMath>
      <w:r>
        <w:t xml:space="preserve">C</w:t>
      </w:r>
      <m:oMath>
        <m:r>
          <m:rPr>
            <m:sty m:val="p"/>
          </m:rPr>
          <m:t>→</m:t>
        </m:r>
      </m:oMath>
      <w:r>
        <w:t xml:space="preserve">A</w:t>
      </w:r>
      <m:oMath>
        <m:r>
          <m:rPr>
            <m:sty m:val="p"/>
          </m:rPr>
          <m:t>→</m:t>
        </m:r>
      </m:oMath>
      <w:r>
        <w:t xml:space="preserve">S operator loop reproduces the master-law DOCAS preset to machine precision (max</w:t>
      </w:r>
      <w:r>
        <w:t xml:space="preserve"> </w:t>
      </w:r>
      <m:oMath>
        <m:r>
          <m:rPr>
            <m:sty m:val="p"/>
          </m:rPr>
          <m:t>|</m:t>
        </m:r>
        <m:r>
          <m:rPr>
            <m:sty m:val="p"/>
          </m:rPr>
          <m:t>Δ</m:t>
        </m:r>
        <m:r>
          <m:t>S</m:t>
        </m:r>
        <m:r>
          <m:rPr>
            <m:sty m:val="p"/>
          </m:rPr>
          <m:t>|</m:t>
        </m:r>
        <m:r>
          <m:rPr>
            <m:sty m:val="p"/>
          </m:rPr>
          <m:t>=</m:t>
        </m:r>
        <m:r>
          <m:t>4.4</m:t>
        </m:r>
        <m:r>
          <m:rPr>
            <m:sty m:val="p"/>
          </m:rPr>
          <m:t>×</m:t>
        </m:r>
        <m:sSup>
          <m:e>
            <m:r>
              <m:t>10</m:t>
            </m:r>
          </m:e>
          <m:sup>
            <m:r>
              <m:rPr>
                <m:sty m:val="p"/>
              </m:rPr>
              <m:t>−</m:t>
            </m:r>
            <m:r>
              <m:t>16</m:t>
            </m:r>
          </m:sup>
        </m:sSup>
      </m:oMath>
      <w:r>
        <w:t xml:space="preserve"> </w:t>
      </w:r>
      <w:r>
        <w:t xml:space="preserve">over 2</w:t>
      </w:r>
      <w:r>
        <w:t xml:space="preserve">,</w:t>
      </w:r>
      <w:r>
        <w:t xml:space="preserve">000 steps), and the trajectories approach the theory’s physics-layer limit as</w:t>
      </w:r>
      <w:r>
        <w:t xml:space="preserve"> </w:t>
      </w:r>
      <m:oMath>
        <m:sSub>
          <m:e>
            <m:r>
              <m:t>δ</m:t>
            </m:r>
          </m:e>
          <m:sub>
            <m:r>
              <m:t>S</m:t>
            </m:r>
          </m:sub>
        </m:sSub>
        <m:r>
          <m:rPr>
            <m:sty m:val="p"/>
          </m:rPr>
          <m:t>→</m:t>
        </m:r>
        <m:r>
          <m:t>0</m:t>
        </m:r>
      </m:oMath>
      <w:r>
        <w:t xml:space="preserve">,</w:t>
      </w:r>
      <w:r>
        <w:t xml:space="preserve"> </w:t>
      </w:r>
      <m:oMath>
        <m:r>
          <m:t>r</m:t>
        </m:r>
        <m:r>
          <m:rPr>
            <m:sty m:val="p"/>
          </m:rPr>
          <m:t>→</m:t>
        </m:r>
        <m:r>
          <m:t>1</m:t>
        </m:r>
      </m:oMath>
      <w:r>
        <w:t xml:space="preserve">. Self-consistency check of the definitions; not evidence about biology.</w:t>
      </w:r>
    </w:p>
    <w:bookmarkEnd w:id="23"/>
    <w:bookmarkEnd w:id="24"/>
    <w:bookmarkEnd w:id="25"/>
    <w:bookmarkStart w:id="26" w:name="Xcf4ceab600ec791195c43e74c59990a3ad3129c"/>
    <w:p>
      <w:pPr>
        <w:pStyle w:val="Heading1"/>
      </w:pPr>
      <w:r>
        <w:t xml:space="preserve">3 Formalization:</w:t>
      </w:r>
      <w:r>
        <w:t xml:space="preserve"> </w:t>
      </w:r>
      <m:oMath>
        <m:r>
          <m:t>τ</m:t>
        </m:r>
      </m:oMath>
      <w:r>
        <w:t xml:space="preserve"> </w:t>
      </w:r>
      <w:r>
        <w:t xml:space="preserve">and the Affective Readout</w:t>
      </w:r>
    </w:p>
    <w:p>
      <w:pPr>
        <w:pStyle w:val="FirstParagraph"/>
      </w:pPr>
      <w:r>
        <w:t xml:space="preserve">Following the free-energy formulation of action and perception, define</w:t>
      </w:r>
      <w:r>
        <w:t xml:space="preserve"> </w:t>
      </w:r>
      <m:oMath>
        <m:r>
          <m:t>τ</m:t>
        </m:r>
      </m:oMath>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w:t>
      </w:r>
      <w:r>
        <w:t xml:space="preserve"> </w:t>
      </w:r>
      <w:r>
        <w:t xml:space="preserve"> </w:t>
      </w:r>
      <w:r>
        <w:t xml:space="preserve">(</w:t>
      </w:r>
      <w:r>
        <w:rPr>
          <w:i/>
          <w:iCs/>
        </w:rPr>
        <w:t xml:space="preserve">Cognitive Neuroscience</w:t>
      </w:r>
      <w:r>
        <w:t xml:space="preserve">) and</w:t>
      </w:r>
      <w:r>
        <w:t xml:space="preserve"> </w:t>
      </w:r>
      <w:r>
        <w:t xml:space="preserve"> </w:t>
      </w:r>
      <w:r>
        <w:t xml:space="preserve">(</w:t>
      </w:r>
      <w:r>
        <w:rPr>
          <w:i/>
          <w:iCs/>
        </w:rPr>
        <w:t xml:space="preserve">Neural Computation</w:t>
      </w:r>
      <w:r>
        <w:t xml:space="preserve">), building on the free-energy principle</w:t>
      </w:r>
      <w:r>
        <w:t xml:space="preserve"> </w:t>
      </w:r>
      <w:r>
        <w:t xml:space="preserve">.</w:t>
      </w:r>
      <w:r>
        <w:t xml:space="preserve"> </w:t>
      </w:r>
      <m:oMath>
        <m:r>
          <m:t>τ</m:t>
        </m:r>
      </m:oMath>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m:oMath>
        <m:r>
          <m:t>τ</m:t>
        </m:r>
      </m:oMath>
      <w:r>
        <w:t xml:space="preserve">, and the standard affective dimensions fall out as readouts of its trajectory:</w:t>
      </w:r>
    </w:p>
    <w:p>
      <w:pPr>
        <w:pStyle w:val="BodyText"/>
      </w:pPr>
      <m:oMathPara>
        <m:oMathParaPr>
          <m:jc m:val="center"/>
        </m:oMathParaPr>
        <m:oMath>
          <m:eqArr>
            <m:e>
              <m:r>
                <m:t>&amp;</m:t>
              </m:r>
              <m:r>
                <m:rPr>
                  <m:sty m:val="p"/>
                </m:rPr>
                <m:t>v</m:t>
              </m:r>
              <m:r>
                <m:rPr>
                  <m:sty m:val="p"/>
                </m:rPr>
                <m:t>a</m:t>
              </m:r>
              <m:r>
                <m:rPr>
                  <m:sty m:val="p"/>
                </m:rPr>
                <m:t>l</m:t>
              </m:r>
              <m:r>
                <m:rPr>
                  <m:sty m:val="p"/>
                </m:rPr>
                <m:t>e</m:t>
              </m:r>
              <m:r>
                <m:rPr>
                  <m:sty m:val="p"/>
                </m:rPr>
                <m:t>n</m:t>
              </m:r>
              <m:r>
                <m:rPr>
                  <m:sty m:val="p"/>
                </m:rPr>
                <m:t>c</m:t>
              </m:r>
              <m:r>
                <m:rPr>
                  <m:sty m:val="p"/>
                </m:rPr>
                <m:t>e</m:t>
              </m:r>
              <m:r>
                <m:rPr>
                  <m:sty m:val="p"/>
                </m:rPr>
                <m:t>=</m:t>
              </m:r>
              <m:r>
                <m:rPr>
                  <m:sty m:val="p"/>
                </m:rPr>
                <m:t>s</m:t>
              </m:r>
              <m:r>
                <m:rPr>
                  <m:sty m:val="p"/>
                </m:rPr>
                <m:t>i</m:t>
              </m:r>
              <m:r>
                <m:rPr>
                  <m:sty m:val="p"/>
                </m:rPr>
                <m:t>g</m:t>
              </m:r>
              <m:r>
                <m:rPr>
                  <m:sty m:val="p"/>
                </m:rPr>
                <m:t>n</m:t>
              </m:r>
              <m:r>
                <m:rPr>
                  <m:sty m:val="p"/>
                </m:rPr>
                <m:t>(</m:t>
              </m:r>
              <m:r>
                <m:rPr>
                  <m:sty m:val="p"/>
                </m:rPr>
                <m:t>Δ</m:t>
              </m:r>
              <m:r>
                <m:t>τ</m:t>
              </m:r>
              <m:r>
                <m:rPr>
                  <m:sty m:val="p"/>
                </m:rPr>
                <m:t>)</m:t>
              </m:r>
              <m:r>
                <m:rPr>
                  <m:sty m:val="p"/>
                </m:rPr>
                <m:t>;</m:t>
              </m:r>
              <m:r>
                <m:t>  </m:t>
              </m:r>
              <m:r>
                <m:rPr>
                  <m:sty m:val="p"/>
                </m:rPr>
                <m:t>a</m:t>
              </m:r>
              <m:r>
                <m:rPr>
                  <m:sty m:val="p"/>
                </m:rPr>
                <m:t>r</m:t>
              </m:r>
              <m:r>
                <m:rPr>
                  <m:sty m:val="p"/>
                </m:rPr>
                <m:t>o</m:t>
              </m:r>
              <m:r>
                <m:rPr>
                  <m:sty m:val="p"/>
                </m:rPr>
                <m:t>u</m:t>
              </m:r>
              <m:r>
                <m:rPr>
                  <m:sty m:val="p"/>
                </m:rPr>
                <m:t>s</m:t>
              </m:r>
              <m:r>
                <m:rPr>
                  <m:sty m:val="p"/>
                </m:rPr>
                <m:t>a</m:t>
              </m:r>
              <m:r>
                <m:rPr>
                  <m:sty m:val="p"/>
                </m:rPr>
                <m:t>l</m:t>
              </m:r>
              <m:r>
                <m:rPr>
                  <m:sty m:val="p"/>
                </m:rPr>
                <m:t>=</m:t>
              </m:r>
              <m:r>
                <m:rPr>
                  <m:sty m:val="p"/>
                </m:rPr>
                <m:t>|</m:t>
              </m:r>
              <m:r>
                <m:rPr>
                  <m:sty m:val="p"/>
                </m:rPr>
                <m:t>Δ</m:t>
              </m:r>
              <m:r>
                <m:t>τ</m:t>
              </m:r>
              <m:r>
                <m:rPr>
                  <m:sty m:val="p"/>
                </m:rPr>
                <m:t>|</m:t>
              </m:r>
              <m:r>
                <m:rPr>
                  <m:sty m:val="p"/>
                </m:rPr>
                <m:t>;</m:t>
              </m:r>
            </m:e>
            <m:e>
              <m:r>
                <m:t>&amp;</m:t>
              </m:r>
              <m:sSub>
                <m:e>
                  <m:r>
                    <m:rPr>
                      <m:sty m:val="p"/>
                    </m:rPr>
                    <m:t>d</m:t>
                  </m:r>
                  <m:r>
                    <m:rPr>
                      <m:sty m:val="p"/>
                    </m:rPr>
                    <m:t>o</m:t>
                  </m:r>
                  <m:r>
                    <m:rPr>
                      <m:sty m:val="p"/>
                    </m:rPr>
                    <m:t>m</m:t>
                  </m:r>
                  <m:r>
                    <m:rPr>
                      <m:sty m:val="p"/>
                    </m:rPr>
                    <m:t>i</m:t>
                  </m:r>
                  <m:r>
                    <m:rPr>
                      <m:sty m:val="p"/>
                    </m:rPr>
                    <m:t>n</m:t>
                  </m:r>
                  <m:r>
                    <m:rPr>
                      <m:sty m:val="p"/>
                    </m:rPr>
                    <m:t>a</m:t>
                  </m:r>
                  <m:r>
                    <m:rPr>
                      <m:sty m:val="p"/>
                    </m:rPr>
                    <m:t>n</m:t>
                  </m:r>
                  <m:r>
                    <m:rPr>
                      <m:sty m:val="p"/>
                    </m:rPr>
                    <m:t>c</m:t>
                  </m:r>
                  <m:r>
                    <m:rPr>
                      <m:sty m:val="p"/>
                    </m:rPr>
                    <m:t>e</m:t>
                  </m:r>
                </m:e>
                <m:sub>
                  <m:r>
                    <m:t>t</m:t>
                  </m:r>
                </m:sub>
              </m:sSub>
              <m:r>
                <m:rPr>
                  <m:sty m:val="p"/>
                </m:rPr>
                <m:t>=</m:t>
              </m:r>
              <m:sSup>
                <m:e>
                  <m:r>
                    <m:rPr>
                      <m:sty m:val="p"/>
                    </m:rPr>
                    <m:t>Δ</m:t>
                  </m:r>
                </m:e>
                <m:sup>
                  <m:r>
                    <m:t>2</m:t>
                  </m:r>
                </m:sup>
              </m:sSup>
              <m:sSub>
                <m:e>
                  <m:r>
                    <m:t>τ</m:t>
                  </m:r>
                </m:e>
                <m:sub>
                  <m:r>
                    <m:t>t</m:t>
                  </m:r>
                </m:sub>
              </m:sSub>
              <m:r>
                <m:rPr>
                  <m:sty m:val="p"/>
                </m:rPr>
                <m:t>*</m:t>
              </m:r>
              <m:sSub>
                <m:e>
                  <m:r>
                    <m:t>K</m:t>
                  </m:r>
                </m:e>
                <m:sub>
                  <m:r>
                    <m:rPr>
                      <m:sty m:val="p"/>
                    </m:rPr>
                    <m:t>s</m:t>
                  </m:r>
                  <m:r>
                    <m:rPr>
                      <m:sty m:val="p"/>
                    </m:rPr>
                    <m:t>m</m:t>
                  </m:r>
                  <m:r>
                    <m:rPr>
                      <m:sty m:val="p"/>
                    </m:rPr>
                    <m:t>o</m:t>
                  </m:r>
                  <m:r>
                    <m:rPr>
                      <m:sty m:val="p"/>
                    </m:rPr>
                    <m:t>o</m:t>
                  </m:r>
                  <m:r>
                    <m:rPr>
                      <m:sty m:val="p"/>
                    </m:rPr>
                    <m:t>t</m:t>
                  </m:r>
                  <m:r>
                    <m:rPr>
                      <m:sty m:val="p"/>
                    </m:rPr>
                    <m:t>h</m:t>
                  </m:r>
                </m:sub>
              </m:sSub>
              <m:r>
                <m:rPr>
                  <m:sty m:val="p"/>
                </m:rPr>
                <m:t>≈</m:t>
              </m:r>
              <m:f>
                <m:fPr>
                  <m:type m:val="bar"/>
                </m:fPr>
                <m:num>
                  <m:r>
                    <m:t>d</m:t>
                  </m:r>
                  <m:r>
                    <m:rPr>
                      <m:sty m:val="p"/>
                    </m:rPr>
                    <m:t>(</m:t>
                  </m:r>
                  <m:r>
                    <m:rPr>
                      <m:sty m:val="p"/>
                    </m:rPr>
                    <m:t>Δ</m:t>
                  </m:r>
                  <m:r>
                    <m:t>τ</m:t>
                  </m:r>
                  <m:r>
                    <m:rPr>
                      <m:sty m:val="p"/>
                    </m:rPr>
                    <m:t>)</m:t>
                  </m:r>
                </m:num>
                <m:den>
                  <m:r>
                    <m:t>d</m:t>
                  </m:r>
                  <m:r>
                    <m:t>t</m:t>
                  </m:r>
                </m:den>
              </m:f>
            </m:e>
          </m:eqArr>
        </m:oMath>
      </m:oMathPara>
    </w:p>
    <w:p>
      <w:pPr>
        <w:pStyle w:val="FirstParagraph"/>
      </w:pPr>
      <w:r>
        <w:t xml:space="preserve">The three-dimensional readout itself is a re-parameterization of the Pleasure–Arousal–Dominance (PAD) model of</w:t>
      </w:r>
      <w:r>
        <w:t xml:space="preserve"> </w:t>
      </w:r>
      <w:r>
        <w:t xml:space="preserve">,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m:oMath>
        <m:r>
          <m:rPr>
            <m:sty m:val="p"/>
          </m:rPr>
          <m:t>Δ</m:t>
        </m:r>
        <m:r>
          <m:t>τ</m:t>
        </m:r>
      </m:oMath>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m:oMath>
        <m:r>
          <m:rPr>
            <m:sty m:val="p"/>
          </m:rPr>
          <m:t>=</m:t>
        </m:r>
        <m:r>
          <m:t>d</m:t>
        </m:r>
        <m:r>
          <m:rPr>
            <m:sty m:val="p"/>
          </m:rPr>
          <m:t>(</m:t>
        </m:r>
        <m:r>
          <m:rPr>
            <m:sty m:val="p"/>
          </m:rPr>
          <m:t>Δ</m:t>
        </m:r>
        <m:r>
          <m:t>τ</m:t>
        </m:r>
        <m:r>
          <m:rPr>
            <m:sty m:val="p"/>
          </m:rPr>
          <m:t>)</m:t>
        </m:r>
        <m:r>
          <m:rPr>
            <m:sty m:val="p"/>
          </m:rPr>
          <m:t>/</m:t>
        </m:r>
        <m:r>
          <m:t>d</m:t>
        </m:r>
        <m:r>
          <m:t>t</m:t>
        </m:r>
      </m:oMath>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m:oMath>
        <m:sSup>
          <m:e>
            <m:r>
              <m:rPr>
                <m:sty m:val="p"/>
              </m:rPr>
              <m:t>Δ</m:t>
            </m:r>
          </m:e>
          <m:sup>
            <m:r>
              <m:t>2</m:t>
            </m:r>
          </m:sup>
        </m:sSup>
        <m:sSub>
          <m:e>
            <m:r>
              <m:t>τ</m:t>
            </m:r>
          </m:e>
          <m:sub>
            <m:r>
              <m:t>t</m:t>
            </m:r>
          </m:sub>
        </m:sSub>
        <m:r>
          <m:rPr>
            <m:sty m:val="p"/>
          </m:rPr>
          <m:t>=</m:t>
        </m:r>
        <m:r>
          <m:rPr>
            <m:sty m:val="p"/>
          </m:rPr>
          <m:t>Δ</m:t>
        </m:r>
        <m:sSub>
          <m:e>
            <m:r>
              <m:t>τ</m:t>
            </m:r>
          </m:e>
          <m:sub>
            <m:r>
              <m:t>t</m:t>
            </m:r>
          </m:sub>
        </m:sSub>
        <m:r>
          <m:rPr>
            <m:sty m:val="p"/>
          </m:rPr>
          <m:t>−</m:t>
        </m:r>
        <m:r>
          <m:rPr>
            <m:sty m:val="p"/>
          </m:rPr>
          <m:t>Δ</m:t>
        </m:r>
        <m:sSub>
          <m:e>
            <m:r>
              <m:t>τ</m:t>
            </m:r>
          </m:e>
          <m:sub>
            <m:r>
              <m:t>t</m:t>
            </m:r>
            <m:r>
              <m:rPr>
                <m:sty m:val="p"/>
              </m:rPr>
              <m:t>−</m:t>
            </m:r>
            <m:r>
              <m:t>1</m:t>
            </m:r>
          </m:sub>
        </m:sSub>
      </m:oMath>
      <w:r>
        <w:t xml:space="preserve"> </w:t>
      </w:r>
      <w:r>
        <w:t xml:space="preserve">convolved with a temporal smoothing kernel</w:t>
      </w:r>
      <w:r>
        <w:t xml:space="preserve"> </w:t>
      </w:r>
      <m:oMath>
        <m:sSub>
          <m:e>
            <m:r>
              <m:t>K</m:t>
            </m:r>
          </m:e>
          <m:sub>
            <m:r>
              <m:rPr>
                <m:sty m:val="p"/>
              </m:rPr>
              <m:t>s</m:t>
            </m:r>
            <m:r>
              <m:rPr>
                <m:sty m:val="p"/>
              </m:rPr>
              <m:t>m</m:t>
            </m:r>
            <m:r>
              <m:rPr>
                <m:sty m:val="p"/>
              </m:rPr>
              <m:t>o</m:t>
            </m:r>
            <m:r>
              <m:rPr>
                <m:sty m:val="p"/>
              </m:rPr>
              <m:t>o</m:t>
            </m:r>
            <m:r>
              <m:rPr>
                <m:sty m:val="p"/>
              </m:rPr>
              <m:t>t</m:t>
            </m:r>
            <m:r>
              <m:rPr>
                <m:sty m:val="p"/>
              </m:rPr>
              <m:t>h</m:t>
            </m:r>
          </m:sub>
        </m:sSub>
      </m:oMath>
      <w:r>
        <w:t xml:space="preserve"> </w:t>
      </w:r>
      <w:r>
        <w:t xml:space="preserve">whose half-width is matched to the physiological integration window of the</w:t>
      </w:r>
      <w:r>
        <w:t xml:space="preserve"> </w:t>
      </w:r>
      <m:oMath>
        <m:r>
          <m:t>C</m:t>
        </m:r>
      </m:oMath>
      <w:r>
        <w:t xml:space="preserve"> </w:t>
      </w:r>
      <w:r>
        <w:t xml:space="preserve">(20–45 min allostatic) or</w:t>
      </w:r>
      <w:r>
        <w:t xml:space="preserve"> </w:t>
      </w:r>
      <m:oMath>
        <m:r>
          <m:t>S</m:t>
        </m:r>
      </m:oMath>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m:oMath>
        <m:r>
          <m:t>τ</m:t>
        </m:r>
      </m:oMath>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w:t>
      </w:r>
      <w:r>
        <w:t xml:space="preserve"> </w:t>
      </w:r>
      <w:r>
        <w:t xml:space="preserve">.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m:oMath>
        <m:r>
          <m:t>V</m:t>
        </m:r>
        <m:r>
          <m:rPr>
            <m:sty m:val="p"/>
          </m:rPr>
          <m:t>≥</m:t>
        </m:r>
        <m:r>
          <m:t>E</m:t>
        </m:r>
      </m:oMath>
      <w:r>
        <w:t xml:space="preserve">) produces</w:t>
      </w:r>
      <w:r>
        <w:t xml:space="preserve"> </w:t>
      </w:r>
      <m:oMath>
        <m:r>
          <m:rPr>
            <m:sty m:val="p"/>
          </m:rPr>
          <m:t>Δ</m:t>
        </m:r>
        <m:r>
          <m:t>τ</m:t>
        </m:r>
        <m:r>
          <m:rPr>
            <m:sty m:val="p"/>
          </m:rPr>
          <m:t>&gt;</m:t>
        </m:r>
        <m:r>
          <m:t>0</m:t>
        </m:r>
      </m:oMath>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m:oMath>
        <m:r>
          <m:t>τ</m:t>
        </m:r>
      </m:oMath>
      <w:r>
        <w:t xml:space="preserve"> </w:t>
      </w:r>
      <w:r>
        <w:t xml:space="preserve">rather than the signed rate of change of</w:t>
      </w:r>
      <w:r>
        <w:t xml:space="preserve"> </w:t>
      </w:r>
      <m:oMath>
        <m:r>
          <m:rPr>
            <m:sty m:val="p"/>
          </m:rPr>
          <m:t>Δ</m:t>
        </m:r>
        <m:r>
          <m:t>τ</m:t>
        </m:r>
      </m:oMath>
      <w:r>
        <w:t xml:space="preserve">, the derivative term is wrong and the readout collapses to two dimensions. The pre-registered signature that keeps the term alive:</w:t>
      </w:r>
      <w:r>
        <w:t xml:space="preserve"> </w:t>
      </w:r>
      <m:oMath>
        <m:r>
          <m:rPr>
            <m:sty m:val="p"/>
          </m:rPr>
          <m:t>Δ</m:t>
        </m:r>
        <m:r>
          <m:t>τ</m:t>
        </m:r>
        <m:r>
          <m:rPr>
            <m:sty m:val="p"/>
          </m:rPr>
          <m:t>&gt;</m:t>
        </m:r>
        <m:r>
          <m:t>0</m:t>
        </m:r>
      </m:oMath>
      <w:r>
        <w:t xml:space="preserve"> </w:t>
      </w:r>
      <w:r>
        <w:t xml:space="preserve">with</w:t>
      </w:r>
      <w:r>
        <w:t xml:space="preserve"> </w:t>
      </w:r>
      <m:oMath>
        <m:r>
          <m:t>d</m:t>
        </m:r>
        <m:r>
          <m:rPr>
            <m:sty m:val="p"/>
          </m:rPr>
          <m:t>(</m:t>
        </m:r>
        <m:r>
          <m:rPr>
            <m:sty m:val="p"/>
          </m:rPr>
          <m:t>Δ</m:t>
        </m:r>
        <m:r>
          <m:t>τ</m:t>
        </m:r>
        <m:r>
          <m:rPr>
            <m:sty m:val="p"/>
          </m:rPr>
          <m:t>)</m:t>
        </m:r>
        <m:r>
          <m:rPr>
            <m:sty m:val="p"/>
          </m:rPr>
          <m:t>/</m:t>
        </m:r>
        <m:r>
          <m:t>d</m:t>
        </m:r>
        <m:r>
          <m:t>t</m:t>
        </m:r>
      </m:oMath>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w:t>
      </w:r>
      <w:r>
        <w:t xml:space="preserve"> </w:t>
      </w:r>
      <w:r>
        <w:t xml:space="preserve">. Linguistic communication is another — though the citation must be read in its actual direction: epistemic vigilance</w:t>
      </w:r>
      <w:r>
        <w:t xml:space="preserve"> </w:t>
      </w:r>
      <w:r>
        <w:t xml:space="preserve"> </w:t>
      </w:r>
      <w:r>
        <w:t xml:space="preserve">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m:oMath>
        <m:sSub>
          <m:e>
            <m:r>
              <m:t>γ</m:t>
            </m:r>
          </m:e>
          <m:sub>
            <m:r>
              <m:t>O</m:t>
            </m:r>
          </m:sub>
        </m:sSub>
      </m:oMath>
      <w:r>
        <w:t xml:space="preserve">. Recent machine-learning results show that representations of meaning align across independently trained models — vec2vec demonstrates unsupervised translation between language-model embedding spaces via a shared latent structure</w:t>
      </w:r>
      <w:r>
        <w:t xml:space="preserve"> </w:t>
      </w:r>
      <w:r>
        <w:t xml:space="preserve"> </w:t>
      </w:r>
      <w:r>
        <w:t xml:space="preserve">—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6"/>
    <w:bookmarkStart w:id="46" w:name="X9c627b054e0fdd76090bc0d460850ed93b26acc"/>
    <w:p>
      <w:pPr>
        <w:pStyle w:val="Heading1"/>
      </w:pPr>
      <w:r>
        <w:t xml:space="preserve">4 Genetic Architecture of Trust-Sensitivity</w:t>
      </w:r>
    </w:p>
    <w:bookmarkStart w:id="27"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w:t>
      </w:r>
      <w:r>
        <w:t xml:space="preserve"> </w:t>
      </w:r>
      <w:r>
        <w:t xml:space="preserve">, and the administration-effects literature is likewise null at meta-analytic scale</w:t>
      </w:r>
      <w:r>
        <w:t xml:space="preserve"> </w:t>
      </w:r>
      <w:r>
        <w:t xml:space="preserve">;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7"/>
    <w:bookmarkStart w:id="28" w:name="X6e2f3f51df6234ccce5e6c56c136348fb0e6d40"/>
    <w:p>
      <w:pPr>
        <w:pStyle w:val="Heading2"/>
      </w:pPr>
      <w:r>
        <w:t xml:space="preserve">4.2 PDE4B and cAMP gain control</w:t>
      </w:r>
      <w:r>
        <w:t xml:space="preserve"> </w:t>
      </w:r>
      <w:r>
        <w:t xml:space="preserve">[EMPIRICAL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m:oMath>
        <m:r>
          <m:t>p</m:t>
        </m:r>
        <m:r>
          <m:rPr>
            <m:sty m:val="p"/>
          </m:rPr>
          <m:t>=</m:t>
        </m:r>
        <m:r>
          <m:t>5.39</m:t>
        </m:r>
        <m:r>
          <m:rPr>
            <m:sty m:val="p"/>
          </m:rPr>
          <m:t>×</m:t>
        </m:r>
        <m:sSup>
          <m:e>
            <m:r>
              <m:t>10</m:t>
            </m:r>
          </m:e>
          <m:sup>
            <m:r>
              <m:rPr>
                <m:sty m:val="p"/>
              </m:rPr>
              <m:t>−</m:t>
            </m:r>
            <m:r>
              <m:t>11</m:t>
            </m:r>
          </m:sup>
        </m:sSup>
      </m:oMath>
      <w:r>
        <w:t xml:space="preserve">, OR = 0.89 (95% CI 0.86–0.92) — the A allele protective — robust across sensitivity analyses adjusting for psychiatric comorbidity, with SNP-heritability of the phenotype estimated at 28%, and with a mouse-model arm showing altered Pde4b expression after chronic stress</w:t>
      </w:r>
      <w:r>
        <w:t xml:space="preserve"> </w:t>
      </w:r>
      <w:r>
        <w:t xml:space="preserve">.</w:t>
      </w:r>
      <w:r>
        <w:t xml:space="preserve"> </w:t>
      </w:r>
      <w:r>
        <w:rPr>
          <w:b/>
          <w:bCs/>
        </w:rPr>
        <w:t xml:space="preserve">And:</w:t>
      </w:r>
      <w:r>
        <w:t xml:space="preserve"> </w:t>
      </w:r>
      <w:r>
        <w:t xml:space="preserve">the lead variant failed its lookup in the largest independent anxiety GWAS — UK Biobank, five phenotypes,</w:t>
      </w:r>
      <w:r>
        <w:t xml:space="preserve"> </w:t>
      </w:r>
      <m:oMath>
        <m:r>
          <m:rPr>
            <m:sty m:val="p"/>
          </m:rPr>
          <m:t>∼</m:t>
        </m:r>
      </m:oMath>
      <w:r>
        <w:t xml:space="preserve">28k–31k cases: rs7528604</w:t>
      </w:r>
      <w:r>
        <w:t xml:space="preserve"> </w:t>
      </w:r>
      <m:oMath>
        <m:r>
          <m:t>p</m:t>
        </m:r>
        <m:r>
          <m:rPr>
            <m:sty m:val="p"/>
          </m:rPr>
          <m:t>=</m:t>
        </m:r>
        <m:r>
          <m:t>.18</m:t>
        </m:r>
      </m:oMath>
      <w:r>
        <w:t xml:space="preserve">, OR = 0.97 (95% CI 0.93–1.02), attenuated toward null (</w:t>
      </w:r>
      <w:r>
        <w:t xml:space="preserve">;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w:t>
      </w:r>
      <w:r>
        <w:t xml:space="preserve"> </w:t>
      </w:r>
      <w:r>
        <w:t xml:space="preserve"> </w:t>
      </w:r>
      <w:r>
        <w:t xml:space="preserve">(GRCh38; brain-relevant tracks; the model’s common-variant-calibrated quantile scores) places the lead variant and all 23 EUR linkage-disequilibrium proxies (</w:t>
      </w:r>
      <m:oMath>
        <m:sSup>
          <m:e>
            <m:r>
              <m:t>r</m:t>
            </m:r>
          </m:e>
          <m:sup>
            <m:r>
              <m:t>2</m:t>
            </m:r>
          </m:sup>
        </m:sSup>
        <m:r>
          <m:rPr>
            <m:sty m:val="p"/>
          </m:rPr>
          <m:t>≥</m:t>
        </m:r>
        <m:r>
          <m:t>0.8</m:t>
        </m:r>
      </m:oMath>
      <w:r>
        <w:t xml:space="preserve">) in the top-5% impact band for common SNVs (</w:t>
      </w:r>
      <m:oMath>
        <m:r>
          <m:rPr>
            <m:sty m:val="p"/>
          </m:rPr>
          <m:t>|</m:t>
        </m:r>
      </m:oMath>
      <w:r>
        <w:t xml:space="preserve">quantile</w:t>
      </w:r>
      <m:oMath>
        <m:r>
          <m:rPr>
            <m:sty m:val="p"/>
          </m:rPr>
          <m:t>|</m:t>
        </m:r>
        <m:r>
          <m:rPr>
            <m:sty m:val="p"/>
          </m:rPr>
          <m:t>≥</m:t>
        </m:r>
        <m:r>
          <m:t>0.95</m:t>
        </m:r>
      </m:oMath>
      <w:r>
        <w:t xml:space="preserve">; lead</w:t>
      </w:r>
      <w:r>
        <w:t xml:space="preserve"> </w:t>
      </w:r>
      <m:oMath>
        <m:r>
          <m:rPr>
            <m:sty m:val="p"/>
          </m:rPr>
          <m:t>|</m:t>
        </m:r>
      </m:oMath>
      <w:r>
        <w:t xml:space="preserve">quantile</w:t>
      </w:r>
      <m:oMath>
        <m:r>
          <m:rPr>
            <m:sty m:val="p"/>
          </m:rPr>
          <m:t>|</m:t>
        </m:r>
        <m:r>
          <m:rPr>
            <m:sty m:val="p"/>
          </m:rPr>
          <m:t>=</m:t>
        </m:r>
        <m:r>
          <m:t>0.9857</m:t>
        </m:r>
        <m:r>
          <m:rPr>
            <m:sty m:val="p"/>
          </m:rPr>
          <m:t>/</m:t>
        </m:r>
        <m:r>
          <m:t>0.9852</m:t>
        </m:r>
      </m:oMath>
      <w:r>
        <w:t xml:space="preserve"> </w:t>
      </w:r>
      <w:r>
        <w:t xml:space="preserve">for the A/C alleles; band minimum across the set</w:t>
      </w:r>
      <w:r>
        <w:t xml:space="preserve"> </w:t>
      </w:r>
      <m:oMath>
        <m:r>
          <m:t>0.9694</m:t>
        </m:r>
      </m:oMath>
      <w:r>
        <w:t xml:space="preserve">) — instrument-level, hypothesis-generating evidence that the locus is regulatory-active, which has no bearing on the replication gate above. The measured-tissue leg then fails: in GTEx v8 adult brain</w:t>
      </w:r>
      <w:r>
        <w:t xml:space="preserve"> </w:t>
      </w:r>
      <w:r>
        <w:t xml:space="preserve"> </w:t>
      </w:r>
      <w:r>
        <w:t xml:space="preserve">(all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m:oMath>
        <m:r>
          <m:t>p</m:t>
        </m:r>
        <m:r>
          <m:rPr>
            <m:sty m:val="p"/>
          </m:rPr>
          <m:t>=</m:t>
        </m:r>
        <m:r>
          <m:t>1.8</m:t>
        </m:r>
        <m:r>
          <m:rPr>
            <m:sty m:val="p"/>
          </m:rPr>
          <m:t>×</m:t>
        </m:r>
        <m:sSup>
          <m:e>
            <m:r>
              <m:t>10</m:t>
            </m:r>
          </m:e>
          <m:sup>
            <m:r>
              <m:rPr>
                <m:sty m:val="p"/>
              </m:rPr>
              <m:t>−</m:t>
            </m:r>
            <m:r>
              <m:t>3</m:t>
            </m:r>
          </m:sup>
        </m:sSup>
      </m:oMath>
      <w:r>
        <w:t xml:space="preserve"> </w:t>
      </w:r>
      <w:r>
        <w:t xml:space="preserve">(rs11208779, frontal cortex BA9; lead rs7528604</w:t>
      </w:r>
      <w:r>
        <w:t xml:space="preserve"> </w:t>
      </w:r>
      <m:oMath>
        <m:r>
          <m:t>p</m:t>
        </m:r>
        <m:r>
          <m:rPr>
            <m:sty m:val="p"/>
          </m:rPr>
          <m:t>=</m:t>
        </m:r>
        <m:r>
          <m:t>.025</m:t>
        </m:r>
      </m:oMath>
      <w:r>
        <w:t xml:space="preserve">–</w:t>
      </w:r>
      <m:oMath>
        <m:r>
          <m:t>.049</m:t>
        </m:r>
      </m:oMath>
      <w:r>
        <w:t xml:space="preserve">), so the Sim D14 band placement is annotation-only and the hypothesis is downgraded a further notch.</w:t>
      </w:r>
    </w:p>
    <w:p>
      <w:pPr>
        <w:pStyle w:val="BodyText"/>
      </w:pPr>
      <w:r>
        <w:t xml:space="preserve">The remaining evidence, with its contradictions intact:</w:t>
      </w:r>
    </w:p>
    <w:p>
      <w:pPr>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w:t>
      </w:r>
      <w:r>
        <w:t xml:space="preserve"> </w:t>
      </w:r>
      <w:r>
        <w:t xml:space="preserve">; the cAMP-dependent dissociation differs across DISC1 isoforms and PDE4 subfamilies, an isoform-selectivity caveat (</w:t>
      </w:r>
      <w:r>
        <w:t xml:space="preserve">; review:</w:t>
      </w:r>
      <w:r>
        <w:t xml:space="preserve"> </w:t>
      </w:r>
      <w:r>
        <w:t xml:space="preserve">).</w:t>
      </w:r>
      <w:r>
        <w:t xml:space="preserve"> </w:t>
      </w:r>
      <w:r>
        <w:t xml:space="preserve">-</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w:t>
      </w:r>
      <w:r>
        <w:t xml:space="preserve"> </w:t>
      </w:r>
      <w:r>
        <w:t xml:space="preserve">,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w:t>
      </w:r>
      <w:r>
        <w:t xml:space="preserve"> </w:t>
      </w:r>
      <w:r>
        <w:t xml:space="preserve">. Association studies in schizophrenia are inconsistent in direction and replication across populations. This collides head-on with the framework’s model arrow (§4.4): the model maps PDE4B</w:t>
      </w:r>
      <w:r>
        <w:t xml:space="preserve"> </w:t>
      </w:r>
      <m:oMath>
        <m:r>
          <m:rPr>
            <m:sty m:val="p"/>
          </m:rPr>
          <m:t>↓</m:t>
        </m:r>
      </m:oMath>
      <w:r>
        <w:t xml:space="preserve"> </w:t>
      </w:r>
      <m:oMath>
        <m:r>
          <m:rPr>
            <m:sty m:val="p"/>
          </m:rPr>
          <m:t>→</m:t>
        </m:r>
      </m:oMath>
      <w:r>
        <w:t xml:space="preserve"> </w:t>
      </w:r>
      <w:r>
        <w:t xml:space="preserve">cAMP</w:t>
      </w:r>
      <w:r>
        <w:t xml:space="preserve"> </w:t>
      </w:r>
      <m:oMath>
        <m:r>
          <m:rPr>
            <m:sty m:val="p"/>
          </m:rPr>
          <m:t>↑</m:t>
        </m:r>
      </m:oMath>
      <w:r>
        <w:t xml:space="preserve"> </w:t>
      </w:r>
      <m:oMath>
        <m:r>
          <m:rPr>
            <m:sty m:val="p"/>
          </m:rPr>
          <m:t>→</m:t>
        </m:r>
      </m:oMath>
      <w:r>
        <w:t xml:space="preserve"> </w:t>
      </w:r>
      <w:r>
        <w:t xml:space="preserve">higher effective learning rate / nearer-critical dynamics</w:t>
      </w:r>
      <w:r>
        <w:t xml:space="preserve"> </w:t>
      </w:r>
      <m:oMath>
        <m:r>
          <m:rPr>
            <m:sty m:val="p"/>
          </m:rPr>
          <m:t>→</m:t>
        </m:r>
      </m:oMath>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w:t>
      </w:r>
      <w:r>
        <w:t xml:space="preserve"> </w:t>
      </w:r>
      <w:r>
        <w:rPr>
          <w:i/>
          <w:iCs/>
        </w:rPr>
        <w:t xml:space="preserve">raising</w:t>
      </w:r>
      <w:r>
        <w:t xml:space="preserve"> </w:t>
      </w:r>
      <w:r>
        <w:t xml:space="preserve">effective PDE4B function) are conjectures, and none is adopted. The</w:t>
      </w:r>
      <w:r>
        <w:t xml:space="preserve"> </w:t>
      </w:r>
      <m:oMath>
        <m:r>
          <m:rPr>
            <m:sty m:val="p"/>
          </m:rPr>
          <m:t>P</m:t>
        </m:r>
        <m:r>
          <m:rPr>
            <m:sty m:val="p"/>
          </m:rPr>
          <m:t>D</m:t>
        </m:r>
        <m:r>
          <m:rPr>
            <m:sty m:val="p"/>
          </m:rPr>
          <m:t>E</m:t>
        </m:r>
        <m:r>
          <m:rPr>
            <m:sty m:val="p"/>
          </m:rPr>
          <m:t>4</m:t>
        </m:r>
        <m:r>
          <m:rPr>
            <m:sty m:val="p"/>
          </m:rPr>
          <m:t>B</m:t>
        </m:r>
        <m:r>
          <m:rPr>
            <m:sty m:val="p"/>
          </m:rPr>
          <m:t>→</m:t>
        </m:r>
        <m:r>
          <m:t>λ</m:t>
        </m:r>
      </m:oMath>
      <w:r>
        <w:t xml:space="preserve"> </w:t>
      </w:r>
      <w:r>
        <w:t xml:space="preserve">mechanism survives only as the labeled hypothesis below.</w:t>
      </w:r>
      <w:r>
        <w:t xml:space="preserve"> </w:t>
      </w:r>
      <w:r>
        <w:t xml:space="preserve">-</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m:oMath>
        <m:r>
          <m:t>λ</m:t>
        </m:r>
      </m:oMath>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t xml:space="preserve"> </w:t>
      </w:r>
      <w:r>
        <w:rPr>
          <w:i/>
          <w:iCs/>
        </w:rPr>
        <w:t xml:space="preserve">Common regulatory variation at PDE4B (including the rs7528604 locus) modulates</w:t>
      </w:r>
      <w:r>
        <w:rPr>
          <w:i/>
          <w:iCs/>
        </w:rPr>
        <w:t xml:space="preserve"> </w:t>
      </w:r>
      <m:oMath>
        <m:r>
          <m:t>λ</m:t>
        </m:r>
      </m:oMath>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8"/>
    <w:bookmarkStart w:id="29" w:name="Xfe45d0b299970e81c2728801b8017bc3ed4e944"/>
    <w:p>
      <w:pPr>
        <w:pStyle w:val="Heading2"/>
      </w:pPr>
      <w:r>
        <w:t xml:space="preserve">4.3 Historical candidate genes: reviewed and set aside</w:t>
      </w:r>
      <w:r>
        <w:t xml:space="preserve"> </w:t>
      </w:r>
      <w:r>
        <w:t xml:space="preserve">[EMPIRICAL — gates failed]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m:oMath>
              <m:r>
                <m:t>p</m:t>
              </m:r>
              <m:r>
                <m:rPr>
                  <m:sty m:val="p"/>
                </m:rPr>
                <m:t>=</m:t>
              </m:r>
              <m:r>
                <m:t>5.39</m:t>
              </m:r>
              <m:r>
                <m:rPr>
                  <m:sty m:val="p"/>
                </m:rPr>
                <m:t>×</m:t>
              </m:r>
              <m:sSup>
                <m:e>
                  <m:r>
                    <m:t>10</m:t>
                  </m:r>
                </m:e>
                <m:sup>
                  <m:r>
                    <m:rPr>
                      <m:sty m:val="p"/>
                    </m:rPr>
                    <m:t>−</m:t>
                  </m:r>
                  <m:r>
                    <m:t>11</m:t>
                  </m:r>
                </m:sup>
              </m:sSup>
            </m:oMath>
            <w:r>
              <w:t xml:space="preserve">;</w:t>
            </w:r>
            <w:r>
              <w:t xml:space="preserve"> </w:t>
            </w:r>
            <w:r>
              <w:t xml:space="preserve">);</w:t>
            </w:r>
            <w:r>
              <w:t xml:space="preserve"> </w:t>
            </w:r>
            <w:r>
              <w:rPr>
                <w:b/>
                <w:bCs/>
              </w:rPr>
              <w:t xml:space="preserve">failed replication</w:t>
            </w:r>
            <w:r>
              <w:t xml:space="preserve"> </w:t>
            </w:r>
            <w:r>
              <w:t xml:space="preserve">in the largest anxiety GWAS (</w:t>
            </w:r>
            <m:oMath>
              <m:r>
                <m:t>p</m:t>
              </m:r>
              <m:r>
                <m:rPr>
                  <m:sty m:val="p"/>
                </m:rPr>
                <m:t>=</m:t>
              </m:r>
              <m:r>
                <m:t>.18</m:t>
              </m:r>
            </m:oMath>
            <w:r>
              <w:t xml:space="preserve">;</w:t>
            </w:r>
            <w:r>
              <w:t xml:space="preserve"> </w:t>
            </w:r>
            <w:r>
              <w:t xml:space="preserve">)</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w:t>
            </w:r>
            <w:r>
              <w:t xml:space="preserve"> </w:t>
            </w:r>
            <w:r>
              <w:t xml:space="preserve">; registered administration replication null</w:t>
            </w:r>
            <w:r>
              <w:t xml:space="preserve"> </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m:oMath>
              <m:r>
                <m:rPr>
                  <m:sty m:val="p"/>
                </m:rPr>
                <m:t>×</m:t>
              </m:r>
            </m:oMath>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m:oMath>
        <m:r>
          <m:rPr>
            <m:sty m:val="p"/>
          </m:rPr>
          <m:t>∼</m:t>
        </m:r>
      </m:oMath>
      <w:r>
        <w:t xml:space="preserve">33%</w:t>
      </w:r>
      <w:r>
        <w:t xml:space="preserve"> </w:t>
      </w:r>
      <w:r>
        <w:t xml:space="preserve">.</w:t>
      </w:r>
    </w:p>
    <w:bookmarkEnd w:id="29"/>
    <w:bookmarkStart w:id="30" w:name="Xff36306260e4ec5ced7e29fab17b94c83a6cbd9"/>
    <w:p>
      <w:pPr>
        <w:pStyle w:val="Heading2"/>
      </w:pPr>
      <w:r>
        <w:t xml:space="preserve">4.4 Criticality: a contested operating-point hypothesis</w:t>
      </w:r>
      <w:r>
        <w:t xml:space="preserve"> </w:t>
      </w:r>
      <w:r>
        <w:t xml:space="preserve">[ANALOGY;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m:oMath>
        <m:r>
          <m:t>ν</m:t>
        </m:r>
        <m:r>
          <m:rPr>
            <m:sty m:val="p"/>
          </m:rPr>
          <m:t>≈</m:t>
        </m:r>
        <m:r>
          <m:t>1</m:t>
        </m:r>
      </m:oMath>
      <w:r>
        <w:t xml:space="preserve"> </w:t>
      </w:r>
      <w:r>
        <w:t xml:space="preserve">, at which each active neuron activates one successor on average</w:t>
      </w:r>
      <w:r>
        <w:t xml:space="preserve"> </w:t>
      </w:r>
      <w:r>
        <w:t xml:space="preserve"> </w:t>
      </w:r>
      <w:r>
        <w:t xml:space="preserve">— and dynamic range, information capacity, and information transmission are reported as maximized near that point in model and in-vitro work</w:t>
      </w:r>
      <w:r>
        <w:t xml:space="preserve"> </w:t>
      </w:r>
      <w:r>
        <w:t xml:space="preserve">. The two sides of the critical point map onto two failure modes of trust. Sub-critical dynamics (</w:t>
      </w:r>
      <m:oMath>
        <m:r>
          <m:t>ν</m:t>
        </m:r>
        <m:r>
          <m:rPr>
            <m:sty m:val="p"/>
          </m:rPr>
          <m:t>&lt;</m:t>
        </m:r>
        <m:r>
          <m:t>1</m:t>
        </m:r>
      </m:oMath>
      <w:r>
        <w:t xml:space="preserve">): activity dies out, prediction error cannot propagate, expectation is frozen regardless of validation — the rigid state produced by chronic C-channel allostatic load, in which E never updates toward V. Super-critical dynamics (</w:t>
      </w:r>
      <m:oMath>
        <m:r>
          <m:t>ν</m:t>
        </m:r>
        <m:r>
          <m:rPr>
            <m:sty m:val="p"/>
          </m:rPr>
          <m:t>&gt;</m:t>
        </m:r>
        <m:r>
          <m:t>1</m:t>
        </m:r>
      </m:oMath>
      <w:r>
        <w:t xml:space="preserve">): activity explodes, noise swamps validation, no expectation survives long enough to be validated — the A-channel runaway state. Convergence</w:t>
      </w:r>
      <w:r>
        <w:t xml:space="preserve"> </w:t>
      </w:r>
      <m:oMath>
        <m:r>
          <m:t>E</m:t>
        </m:r>
        <m:r>
          <m:rPr>
            <m:sty m:val="p"/>
          </m:rPr>
          <m:t>→</m:t>
        </m:r>
        <m:r>
          <m:t>V</m:t>
        </m:r>
      </m:oMath>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w:t>
      </w:r>
      <w:r>
        <w:t xml:space="preserve"> </w:t>
      </w:r>
      <w:r>
        <w:t xml:space="preserve">. (ii) Avalanche power laws arise from random-walk-through-threshold dynamics without criticality</w:t>
      </w:r>
      <w:r>
        <w:t xml:space="preserve"> </w:t>
      </w:r>
      <w:r>
        <w:t xml:space="preserve">. (iii) Power-law phase-locking intervals arise from thresholding finite data, in empty-room MEG recordings as well</w:t>
      </w:r>
      <w:r>
        <w:t xml:space="preserve"> </w:t>
      </w:r>
      <w:r>
        <w:t xml:space="preserve">. (iv) Even the strongest classical signatures — exponent relations plus universal shape collapse — are reproduced by uncoupled neurons driven by correlated noise, and the standard E/I network model shows no information-capacity peak at its transition</w:t>
      </w:r>
      <w:r>
        <w:t xml:space="preserve"> </w:t>
      </w:r>
      <w:r>
        <w:t xml:space="preserve">; the programmatic conclusion that existing evidence is insufficient is stated in</w:t>
      </w:r>
      <w:r>
        <w:t xml:space="preserve"> </w:t>
      </w:r>
      <w:r>
        <w:t xml:space="preserve">. (v) Subsampling alone can manufacture apparent critical exponents: subsampled directed-percolation models reproduce the experimental exponent range</w:t>
      </w:r>
      <w:r>
        <w:t xml:space="preserve"> </w:t>
      </w:r>
      <w:r>
        <w:t xml:space="preserve">.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w:t>
      </w:r>
      <w:r>
        <w:t xml:space="preserve"> </w:t>
      </w:r>
      <w:r>
        <w:t xml:space="preserve">. The counter-response exists and is recorded for balance: the pro-criticality camp argues the noise-driven counterexamples lack collective interactions, long-range temporal correlations, and information-processing function</w:t>
      </w:r>
      <w:r>
        <w:t xml:space="preserve"> </w:t>
      </w:r>
      <w:r>
        <w:t xml:space="preserve">, and the standard review verdict is “established results, open controversies</w:t>
      </w:r>
      <w:r>
        <w:t xml:space="preserve">.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m:oMath>
        <m:r>
          <m:t>P</m:t>
        </m:r>
        <m:r>
          <m:rPr>
            <m:sty m:val="p"/>
          </m:rPr>
          <m:t>(</m:t>
        </m:r>
        <m:r>
          <m:t>s</m:t>
        </m:r>
        <m:r>
          <m:rPr>
            <m:sty m:val="p"/>
          </m:rPr>
          <m:t>)</m:t>
        </m:r>
      </m:oMath>
      <w:r>
        <w:t xml:space="preserve">, the branching parameter</w:t>
      </w:r>
      <w:r>
        <w:t xml:space="preserve"> </w:t>
      </w:r>
      <m:oMath>
        <m:r>
          <m:t>ν</m:t>
        </m:r>
      </m:oMath>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w:t>
      </w:r>
      <w:r>
        <w:t xml:space="preserve"> </w:t>
      </w:r>
      <w:r>
        <w:t xml:space="preserve">: a scalar observable can be scale-invariant under a high-dimensional generator, and a high-dimensional generator can produce scalar power laws far from any critical point. What the hypothesis of this section asserts is dynamical (</w:t>
      </w:r>
      <m:oMath>
        <m:r>
          <m:t>ν</m:t>
        </m:r>
        <m:r>
          <m:rPr>
            <m:sty m:val="p"/>
          </m:rPr>
          <m:t>≈</m:t>
        </m:r>
        <m:r>
          <m:t>1</m:t>
        </m:r>
      </m:oMath>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w:t>
      </w:r>
      <w:r>
        <w:t xml:space="preserve"> </w:t>
      </w:r>
      <w:r>
        <w:t xml:space="preserve">; serotonin stabilizes the network’s excitation/inhibition operating point</w:t>
      </w:r>
      <w:r>
        <w:t xml:space="preserve"> </w:t>
      </w:r>
      <w:r>
        <w:t xml:space="preserve">, with direct in vivo support from cell-type-resolved whole-population imaging of the zebrafish optic tectum, where avalanche statistics approach criticality at balanced E/I ratios and degrade when imbalanced</w:t>
      </w:r>
      <w:r>
        <w:t xml:space="preserve"> </w:t>
      </w:r>
      <w:r>
        <w:t xml:space="preserve">. The PDE4B criticality-tuning relation (</w:t>
      </w:r>
      <m:oMath>
        <m:r>
          <m:rPr>
            <m:sty m:val="p"/>
          </m:rPr>
          <m:t>P</m:t>
        </m:r>
        <m:r>
          <m:rPr>
            <m:sty m:val="p"/>
          </m:rPr>
          <m:t>D</m:t>
        </m:r>
        <m:r>
          <m:rPr>
            <m:sty m:val="p"/>
          </m:rPr>
          <m:t>E</m:t>
        </m:r>
        <m:r>
          <m:rPr>
            <m:sty m:val="p"/>
          </m:rPr>
          <m:t>4</m:t>
        </m:r>
        <m:r>
          <m:rPr>
            <m:sty m:val="p"/>
          </m:rPr>
          <m:t>B</m:t>
        </m:r>
        <m:r>
          <m:rPr>
            <m:sty m:val="p"/>
          </m:rPr>
          <m:t>↑</m:t>
        </m:r>
        <m:r>
          <m:rPr>
            <m:sty m:val="p"/>
          </m:rPr>
          <m:t>→</m:t>
        </m:r>
        <m:r>
          <m:rPr>
            <m:sty m:val="p"/>
          </m:rPr>
          <m:t>c</m:t>
        </m:r>
        <m:r>
          <m:rPr>
            <m:sty m:val="p"/>
          </m:rPr>
          <m:t>A</m:t>
        </m:r>
        <m:r>
          <m:rPr>
            <m:sty m:val="p"/>
          </m:rPr>
          <m:t>M</m:t>
        </m:r>
        <m:r>
          <m:rPr>
            <m:sty m:val="p"/>
          </m:rPr>
          <m:t>P</m:t>
        </m:r>
        <m:r>
          <m:rPr>
            <m:sty m:val="p"/>
          </m:rPr>
          <m:t>↓</m:t>
        </m:r>
        <m:r>
          <m:rPr>
            <m:sty m:val="p"/>
          </m:rPr>
          <m:t>→</m:t>
        </m:r>
        <m:r>
          <m:t>ν</m:t>
        </m:r>
        <m:r>
          <m:rPr>
            <m:sty m:val="p"/>
          </m:rPr>
          <m:t>↓</m:t>
        </m:r>
        <m:r>
          <m:rPr>
            <m:sty m:val="p"/>
          </m:rPr>
          <m:t>→</m:t>
        </m:r>
      </m:oMath>
      <w:r>
        <w:t xml:space="preserve"> </w:t>
      </w:r>
      <w:r>
        <w:t xml:space="preserve">sub-critical rigidity;</w:t>
      </w:r>
      <w:r>
        <w:t xml:space="preserve"> </w:t>
      </w:r>
      <m:oMath>
        <m:r>
          <m:rPr>
            <m:sty m:val="p"/>
          </m:rPr>
          <m:t>P</m:t>
        </m:r>
        <m:r>
          <m:rPr>
            <m:sty m:val="p"/>
          </m:rPr>
          <m:t>D</m:t>
        </m:r>
        <m:r>
          <m:rPr>
            <m:sty m:val="p"/>
          </m:rPr>
          <m:t>E</m:t>
        </m:r>
        <m:r>
          <m:rPr>
            <m:sty m:val="p"/>
          </m:rPr>
          <m:t>4</m:t>
        </m:r>
        <m:r>
          <m:rPr>
            <m:sty m:val="p"/>
          </m:rPr>
          <m:t>B</m:t>
        </m:r>
        <m:r>
          <m:rPr>
            <m:sty m:val="p"/>
          </m:rPr>
          <m:t>↓</m:t>
        </m:r>
        <m:r>
          <m:rPr>
            <m:sty m:val="p"/>
          </m:rPr>
          <m:t>→</m:t>
        </m:r>
        <m:r>
          <m:rPr>
            <m:sty m:val="p"/>
          </m:rPr>
          <m:t>c</m:t>
        </m:r>
        <m:r>
          <m:rPr>
            <m:sty m:val="p"/>
          </m:rPr>
          <m:t>A</m:t>
        </m:r>
        <m:r>
          <m:rPr>
            <m:sty m:val="p"/>
          </m:rPr>
          <m:t>M</m:t>
        </m:r>
        <m:r>
          <m:rPr>
            <m:sty m:val="p"/>
          </m:rPr>
          <m:t>P</m:t>
        </m:r>
        <m:r>
          <m:rPr>
            <m:sty m:val="p"/>
          </m:rPr>
          <m:t>↑</m:t>
        </m:r>
        <m:r>
          <m:rPr>
            <m:sty m:val="p"/>
          </m:rPr>
          <m:t>→</m:t>
        </m:r>
        <m:r>
          <m:t>ν</m:t>
        </m:r>
        <m:r>
          <m:rPr>
            <m:sty m:val="p"/>
          </m:rPr>
          <m:t>→</m:t>
        </m:r>
        <m:r>
          <m:t>1</m:t>
        </m:r>
        <m:r>
          <m:rPr>
            <m:sty m:val="p"/>
          </m:rPr>
          <m:t>→</m:t>
        </m:r>
      </m:oMath>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m:oMath>
        <m:r>
          <m:t>ν</m:t>
        </m:r>
        <m:r>
          <m:rPr>
            <m:sty m:val="p"/>
          </m:rPr>
          <m:t>≈</m:t>
        </m:r>
        <m:r>
          <m:t>1</m:t>
        </m:r>
      </m:oMath>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m:oMath>
        <m:r>
          <m:t>ν</m:t>
        </m:r>
        <m:r>
          <m:rPr>
            <m:sty m:val="p"/>
          </m:rPr>
          <m:t>&gt;</m:t>
        </m:r>
        <m:r>
          <m:t>1</m:t>
        </m:r>
      </m:oMath>
      <w:r>
        <w:t xml:space="preserve">, noisy chaotic hallucination); the organism compensates by locking in rigid, un-updatable top-down paranoid priors (</w:t>
      </w:r>
      <m:oMath>
        <m:r>
          <m:t>E</m:t>
        </m:r>
      </m:oMath>
      <w:r>
        <w:t xml:space="preserve">) to prevent complete behavioral dissolution. Thus, both extremes of the cAMP inverted-U curve—subcritical freezing (</w:t>
      </w:r>
      <m:oMath>
        <m:r>
          <m:t>ν</m:t>
        </m:r>
        <m:r>
          <m:rPr>
            <m:sty m:val="p"/>
          </m:rPr>
          <m:t>&lt;</m:t>
        </m:r>
        <m:r>
          <m:t>1</m:t>
        </m:r>
      </m:oMath>
      <w:r>
        <w:t xml:space="preserve">, excessive PDE4B) and supercritical noise-driven compensatory paranoia (</w:t>
      </w:r>
      <m:oMath>
        <m:r>
          <m:t>ν</m:t>
        </m:r>
        <m:r>
          <m:rPr>
            <m:sty m:val="p"/>
          </m:rPr>
          <m:t>&gt;</m:t>
        </m:r>
        <m:r>
          <m:t>1</m:t>
        </m:r>
      </m:oMath>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w:t>
      </w:r>
      <w:r>
        <w:t xml:space="preserve"> </w:t>
      </w:r>
      <w:r>
        <w:t xml:space="preserve">: avalanche size and duration exponents jointly satisfying the scaling relation with universal shape collapse of avalanche profiles across durations</w:t>
      </w:r>
      <w:r>
        <w:t xml:space="preserve"> </w:t>
      </w:r>
      <w:r>
        <w:t xml:space="preserve">.</w:t>
      </w:r>
      <w:r>
        <w:t xml:space="preserve"> </w:t>
      </w:r>
      <w:r>
        <w:t xml:space="preserve">,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w:t>
      </w: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m:oMath>
        <m:sSub>
          <m:e>
            <m:r>
              <m:t>K</m:t>
            </m:r>
          </m:e>
          <m:sub>
            <m:r>
              <m:t>c</m:t>
            </m:r>
          </m:sub>
        </m:sSub>
        <m:r>
          <m:rPr>
            <m:sty m:val="p"/>
          </m:rPr>
          <m:t>=</m:t>
        </m:r>
        <m:r>
          <m:t>2</m:t>
        </m:r>
        <m:r>
          <m:rPr>
            <m:sty m:val="p"/>
          </m:rPr>
          <m:t>/</m:t>
        </m:r>
        <m:r>
          <m:t>π</m:t>
        </m:r>
        <m:r>
          <m:t>g</m:t>
        </m:r>
        <m:r>
          <m:rPr>
            <m:sty m:val="p"/>
          </m:rPr>
          <m:t>(</m:t>
        </m:r>
        <m:r>
          <m:t>0</m:t>
        </m:r>
        <m:r>
          <m:rPr>
            <m:sty m:val="p"/>
          </m:rPr>
          <m:t>)</m:t>
        </m:r>
      </m:oMath>
      <w:r>
        <w:t xml:space="preserve"> </w:t>
      </w:r>
      <w:r>
        <w:t xml:space="preserve">— a mean-field reference value under stated assumptions, not a prediction; Technical Appendix, §M7) and the collective-synchronization threshold the theory posits for trust networks (companion theory preprint, §3.4,</w:t>
      </w:r>
      <w:r>
        <w:t xml:space="preserve"> </w:t>
      </w:r>
      <w:r>
        <w:t xml:space="preserve">[ANALOGY]</w:t>
      </w:r>
      <w:r>
        <w:t xml:space="preserve">). Finally, the internal/external bridge, labeled analogy: the default-mode network — whose reactivity and connectivity track reciprocated versus violated trust in economic exchange, scaling with social closeness</w:t>
      </w:r>
      <w:r>
        <w:t xml:space="preserve"> </w:t>
      </w:r>
      <w:r>
        <w:t xml:space="preserve"> </w:t>
      </w:r>
      <w:r>
        <w:t xml:space="preserve">— is the network level at which the D–O–C–A–S loop’s expectancy states are cortically represented; and the proposal that micro-scale trust updates aggregate into macro-scale critical regimes via self-organized criticality is</w:t>
      </w:r>
      <w:r>
        <w:t xml:space="preserve"> </w:t>
      </w:r>
      <w:r>
        <w:t xml:space="preserve">[ANALOGY]</w:t>
      </w:r>
      <w:r>
        <w:t xml:space="preserve">, not mechanism.</w:t>
      </w:r>
    </w:p>
    <w:bookmarkEnd w:id="30"/>
    <w:bookmarkStart w:id="31" w:name="Xcac10b53be3a3a1b9f6534cfcaa60aef457f87c"/>
    <w:p>
      <w:pPr>
        <w:pStyle w:val="Heading2"/>
      </w:pPr>
      <w:r>
        <w:t xml:space="preserve">4.5 Convention, meaning, and shared expectation</w:t>
      </w:r>
      <w:r>
        <w:t xml:space="preserve"> </w:t>
      </w:r>
      <w:r>
        <w:t xml:space="preserve">[EMPIRICAL]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w:t>
      </w:r>
      <w:r>
        <w:t xml:space="preserve"> </w:t>
      </w:r>
      <w:r>
        <w:t xml:space="preserve">. Emotion categories themselves are constructed from conceptual knowledge and language, integrating interoception with semantic priors</w:t>
      </w:r>
      <w:r>
        <w:t xml:space="preserve"> </w:t>
      </w:r>
      <w:r>
        <w:t xml:space="preserve">, and cortical mapping of natural language shows a continuous, high-dimensional semantic manifold rather than discrete emotion modules</w:t>
      </w:r>
      <w:r>
        <w:t xml:space="preserve"> </w:t>
      </w:r>
      <w:r>
        <w:t xml:space="preserve">.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w:t>
      </w:r>
      <w:r>
        <w:t xml:space="preserve"> </w:t>
      </w:r>
      <w:r>
        <w:t xml:space="preserve">[HYPOTHESIS]</w:t>
      </w:r>
      <w:r>
        <w:t xml:space="preserve">.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w:t>
      </w:r>
      <w:r>
        <w:t xml:space="preserve"> </w:t>
      </w:r>
      <w:r>
        <w:t xml:space="preserve"> </w:t>
      </w:r>
      <w:r>
        <w:t xml:space="preserve">—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w:t>
      </w:r>
      <w:r>
        <w:t xml:space="preserve"> </w:t>
      </w:r>
      <w:r>
        <w:t xml:space="preserve">,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31"/>
    <w:bookmarkStart w:id="44" w:name="X895554d553934f306a8d816ab8192efecd6fc29"/>
    <w:p>
      <w:pPr>
        <w:pStyle w:val="Heading2"/>
      </w:pPr>
      <w:r>
        <w:t xml:space="preserve">4.6 Cross-linguistic structure of the channel lexicon</w:t>
      </w:r>
      <w:r>
        <w:t xml:space="preserve"> </w:t>
      </w:r>
      <w:r>
        <w:t xml:space="preserve">[EMPIRICAL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m:oMath>
        <m:r>
          <m:rPr>
            <m:sty m:val="p"/>
          </m:rPr>
          <m:t>→</m:t>
        </m:r>
      </m:oMath>
      <w:r>
        <w:t xml:space="preserve">cognition colexification hierarchy documented for four decades (</w:t>
      </w:r>
      <w:r>
        <w:t xml:space="preserve">;</w:t>
      </w:r>
      <w:r>
        <w:t xml:space="preserve"> </w:t>
      </w:r>
      <w:r>
        <w:t xml:space="preserve">;</w:t>
      </w:r>
      <w:r>
        <w:t xml:space="preserve"> </w:t>
      </w:r>
      <w:r>
        <w:t xml:space="preserve">; evidential grammaticalization:</w:t>
      </w:r>
      <w:r>
        <w:t xml:space="preserve"> </w:t>
      </w:r>
      <w:r>
        <w:t xml:space="preserve">; the CLICS-based confirmation that SEE and HEAR link directly to KNOW/UNDERSTAND/LEARN while controlled LOOK/LISTEN do not:</w:t>
      </w:r>
      <w:r>
        <w:t xml:space="preserve"> </w:t>
      </w:r>
      <w:r>
        <w:t xml:space="preserve">; methods sibling on emotion colexification:</w:t>
      </w:r>
      <w:r>
        <w:t xml:space="preserve"> </w:t>
      </w:r>
      <w:r>
        <w:t xml:space="preserve">).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w:t>
      </w:r>
      <w:r>
        <w:t xml:space="preserve"> </w:t>
      </w:r>
      <w:r>
        <w:t xml:space="preserve">; aggregation method and earlier release:</w:t>
      </w:r>
      <w:r>
        <w:t xml:space="preserve"> </w:t>
      </w:r>
      <w:r>
        <w:t xml:space="preserve">), scoring each channel’s concept set for within-channel colexification density against 2,000 random same-size concept sets (edges require support from</w:t>
      </w:r>
      <w:r>
        <w:t xml:space="preserve"> </w:t>
      </w:r>
      <m:oMath>
        <m:r>
          <m:rPr>
            <m:sty m:val="p"/>
          </m:rPr>
          <m:t>≥</m:t>
        </m:r>
      </m:oMath>
      <w:r>
        <w:t xml:space="preserve"> </w:t>
      </w:r>
      <w:r>
        <w:t xml:space="preserve">3 independent language families; under this</w:t>
      </w:r>
      <w:r>
        <w:t xml:space="preserve"> </w:t>
      </w:r>
      <m:oMath>
        <m:r>
          <m:rPr>
            <m:sty m:val="p"/>
          </m:rPr>
          <m:t>≥</m:t>
        </m:r>
      </m:oMath>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m:oMath>
              <m:r>
                <m:t>p</m:t>
              </m:r>
            </m:oMath>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m:oMath>
              <m:r>
                <m:rPr>
                  <m:sty m:val="p"/>
                </m:rPr>
                <m:t>×</m:t>
              </m:r>
            </m:oMath>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m:oMath>
        <m:r>
          <m:rPr>
            <m:sty m:val="p"/>
          </m:rPr>
          <m:t>→</m:t>
        </m:r>
      </m:oMath>
      <w:r>
        <w:t xml:space="preserve">cognition universal, known since</w:t>
      </w:r>
      <w:r>
        <w:t xml:space="preserve"> </w:t>
      </w:r>
      <w:r>
        <w:t xml:space="preserve">;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m:oMath>
        <m:r>
          <m:rPr>
            <m:sty m:val="p"/>
          </m:rPr>
          <m:t>≥</m:t>
        </m:r>
      </m:oMath>
      <w:r>
        <w:t xml:space="preserve"> </w:t>
      </w:r>
      <w:r>
        <w:t xml:space="preserve">3-family filter and 0.356 on the unfiltered full graph, permutation p = 0.0005 in both (resolution-limited: with 2,000 permutations, p = 0.0005 is the minimum achievable value and reads as p</w:t>
      </w:r>
      <w:r>
        <w:t xml:space="preserve"> </w:t>
      </w:r>
      <m:oMath>
        <m:r>
          <m:rPr>
            <m:sty m:val="p"/>
          </m:rPr>
          <m:t>≤</m:t>
        </m:r>
      </m:oMath>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m:oMath>
        <m:r>
          <m:rPr>
            <m:sty m:val="p"/>
          </m:rPr>
          <m:t>≥</m:t>
        </m:r>
      </m:oMath>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m:oMath>
        <m:r>
          <m:rPr>
            <m:sty m:val="p"/>
          </m:rPr>
          <m:t>×</m:t>
        </m:r>
      </m:oMath>
      <w:r>
        <w:t xml:space="preserve"> </w:t>
      </w:r>
      <w:r>
        <w:t xml:space="preserve">the rate of non-adjacent pairs (0.0258 vs. 0.0119), and a permutation test on the ratio (2,000 label shuffles) is marginal (p = 0.061) —</w:t>
      </w:r>
      <w:r>
        <w:t xml:space="preserve"> </w:t>
      </w:r>
      <w:r>
        <w:t xml:space="preserve">“weakly present”</w:t>
      </w:r>
      <w:r>
        <w:t xml:space="preserve"> </w:t>
      </w:r>
      <w:r>
        <w:t xml:space="preserve">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m:oMath>
        <m:r>
          <m:rPr>
            <m:sty m:val="p"/>
          </m:rPr>
          <m:t>≥</m:t>
        </m:r>
      </m:oMath>
      <w:r>
        <w:t xml:space="preserve"> </w:t>
      </w:r>
      <w:r>
        <w:t xml:space="preserve">3 graph are rendered in Figure 3.</w:t>
      </w:r>
    </w:p>
    <w:bookmarkStart w:id="35" w:name="fig:clics"/>
    <w:p>
      <w:pPr>
        <w:pStyle w:val="CaptionedFigure"/>
      </w:pPr>
      <w:r>
        <w:drawing>
          <wp:inline>
            <wp:extent cx="4907280" cy="1672110"/>
            <wp:effectExtent b="0" l="0" r="0" t="0"/>
            <wp:docPr descr="" title="" id="33" name="Picture"/>
            <a:graphic>
              <a:graphicData uri="http://schemas.openxmlformats.org/drawingml/2006/picture">
                <pic:pic>
                  <pic:nvPicPr>
                    <pic:cNvPr descr="figures/figD_clics_colexification.png" id="34" name="Picture"/>
                    <pic:cNvPicPr>
                      <a:picLocks noChangeArrowheads="1" noChangeAspect="1"/>
                    </pic:cNvPicPr>
                  </pic:nvPicPr>
                  <pic:blipFill>
                    <a:blip r:embed="rId32"/>
                    <a:stretch>
                      <a:fillRect/>
                    </a:stretch>
                  </pic:blipFill>
                  <pic:spPr bwMode="auto">
                    <a:xfrm>
                      <a:off x="0" y="0"/>
                      <a:ext cx="4907280" cy="167211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CLICS 4.0 within-channel colexification densities under the unfiltered and</w:t>
      </w:r>
      <w:r>
        <w:t xml:space="preserve"> </w:t>
      </w:r>
      <m:oMath>
        <m:r>
          <m:rPr>
            <m:sty m:val="p"/>
          </m:rPr>
          <m:t>≥</m:t>
        </m:r>
        <m:r>
          <m:t>3</m:t>
        </m:r>
      </m:oMath>
      <w:r>
        <w:t xml:space="preserve">-family filters, with permutation</w:t>
      </w:r>
      <w:r>
        <w:t xml:space="preserve"> </w:t>
      </w:r>
      <m:oMath>
        <m:r>
          <m:t>p</m:t>
        </m:r>
      </m:oMath>
      <w:r>
        <w:t xml:space="preserve">-values (2</w:t>
      </w:r>
      <w:r>
        <w:t xml:space="preserve">,</w:t>
      </w:r>
      <w:r>
        <w:t xml:space="preserve">000 permutations; re-run on the CLDF release, seed 42). The Recognition set reproduces the known perception</w:t>
      </w:r>
      <m:oMath>
        <m:r>
          <m:rPr>
            <m:sty m:val="p"/>
          </m:rPr>
          <m:t>→</m:t>
        </m:r>
      </m:oMath>
      <w:r>
        <w:t xml:space="preserve">cognition universal; the Stabilization set is a full null under the</w:t>
      </w:r>
      <w:r>
        <w:t xml:space="preserve"> </w:t>
      </w:r>
      <m:oMath>
        <m:r>
          <m:rPr>
            <m:sty m:val="p"/>
          </m:rPr>
          <m:t>≥</m:t>
        </m:r>
        <m:r>
          <m:t>3</m:t>
        </m:r>
      </m:oMath>
      <w:r>
        <w:t xml:space="preserve">-family filter; the mismatch-augmented Recognition set passes (</w:t>
      </w:r>
      <m:oMath>
        <m:r>
          <m:t>p</m:t>
        </m:r>
        <m:r>
          <m:rPr>
            <m:sty m:val="p"/>
          </m:rPr>
          <m:t>=</m:t>
        </m:r>
        <m:r>
          <m:t>0.0005</m:t>
        </m:r>
      </m:oMath>
      <w:r>
        <w:t xml:space="preserve">).</w:t>
      </w:r>
    </w:p>
    <w:bookmarkEnd w:id="35"/>
    <w:bookmarkStart w:id="39" w:name="fig:viz-clics-net"/>
    <w:p>
      <w:pPr>
        <w:pStyle w:val="CaptionedFigure"/>
      </w:pPr>
      <w:r>
        <w:drawing>
          <wp:inline>
            <wp:extent cx="4907280" cy="4514607"/>
            <wp:effectExtent b="0" l="0" r="0" t="0"/>
            <wp:docPr descr="" title="" id="37" name="Picture"/>
            <a:graphic>
              <a:graphicData uri="http://schemas.openxmlformats.org/drawingml/2006/picture">
                <pic:pic>
                  <pic:nvPicPr>
                    <pic:cNvPr descr="figures/viz3_clics_channel_network.png" id="38" name="Picture"/>
                    <pic:cNvPicPr>
                      <a:picLocks noChangeArrowheads="1" noChangeAspect="1"/>
                    </pic:cNvPicPr>
                  </pic:nvPicPr>
                  <pic:blipFill>
                    <a:blip r:embed="rId36"/>
                    <a:stretch>
                      <a:fillRect/>
                    </a:stretch>
                  </pic:blipFill>
                  <pic:spPr bwMode="auto">
                    <a:xfrm>
                      <a:off x="0" y="0"/>
                      <a:ext cx="4907280" cy="451460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CLICS4 colexification neighborhoods of the six channel lexicons (§4.6; real CLICS4 CLDF data, Family_Count</w:t>
      </w:r>
      <w:r>
        <w:t xml:space="preserve"> </w:t>
      </w:r>
      <m:oMath>
        <m:r>
          <m:rPr>
            <m:sty m:val="p"/>
          </m:rPr>
          <m:t>≥</m:t>
        </m:r>
      </m:oMath>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m:oMath>
        <m:r>
          <m:rPr>
            <m:sty m:val="p"/>
          </m:rPr>
          <m:t>≥</m:t>
        </m:r>
      </m:oMath>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bookmarkEnd w:id="39"/>
    <w:p>
      <w:pPr>
        <w:pStyle w:val="BodyText"/>
      </w:pPr>
      <w:r>
        <w:t xml:space="preserve">The lexical convergence has a cortical counterpart. In the Gallant laboratory’s bilingual study</w:t>
      </w:r>
      <w:r>
        <w:t xml:space="preserve"> </w:t>
      </w:r>
      <w:r>
        <w:t xml:space="preserve">,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w:t>
      </w:r>
      <w:r>
        <w:t xml:space="preserve">,</w:t>
      </w:r>
      <w:r>
        <w:t xml:space="preserve">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w:t>
      </w:r>
      <w:r>
        <w:t xml:space="preserve"> </w:t>
      </w:r>
      <w:r>
        <w:t xml:space="preserve">. The dual pattern — dimension-level universals with item-level family variation — is replicated independently across semantic domains: conceptual similarity and communicative need jointly shape which meanings colexify</w:t>
      </w:r>
      <w:r>
        <w:t xml:space="preserve"> </w:t>
      </w:r>
      <w:r>
        <w:t xml:space="preserve">; an arousal/activation dimension is recognizable even across species in vocal acoustics</w:t>
      </w:r>
      <w:r>
        <w:t xml:space="preserve"> </w:t>
      </w:r>
      <w:r>
        <w:t xml:space="preserve">; and the segregation of a meaningful signal from background mixtures is a general vertebrate capacity, not a human-specific one</w:t>
      </w:r>
      <w:r>
        <w:t xml:space="preserve"> </w:t>
      </w:r>
      <w:r>
        <w:t xml:space="preserve">. Dimension-level universals plus item-level family variation is precisely the EN-pass/ES-JA-fail signature of §5.2’s Sim D8: TRIBE’s text tower (LLaMA-3.2, an English-dominant language model) is trained on English-language CNeuroMod movies</w:t>
      </w:r>
      <w:r>
        <w:t xml:space="preserve"> </w:t>
      </w:r>
      <w:r>
        <w:t xml:space="preserve">,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m:oMath>
        <m:r>
          <m:t>r</m:t>
        </m:r>
        <m:r>
          <m:rPr>
            <m:sty m:val="p"/>
          </m:rPr>
          <m:t>=</m:t>
        </m:r>
        <m:r>
          <m:rPr>
            <m:sty m:val="p"/>
          </m:rPr>
          <m:t>−</m:t>
        </m:r>
        <m:r>
          <m:t>0.048</m:t>
        </m:r>
      </m:oMath>
      <w:r>
        <w:t xml:space="preserve"> </w:t>
      </w:r>
      <w:r>
        <w:t xml:space="preserve">and</w:t>
      </w:r>
      <w:r>
        <w:t xml:space="preserve"> </w:t>
      </w:r>
      <m:oMath>
        <m:r>
          <m:rPr>
            <m:sty m:val="p"/>
          </m:rPr>
          <m:t>−</m:t>
        </m:r>
        <m:r>
          <m:t>0.023</m:t>
        </m:r>
      </m:oMath>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m:oMath>
        <m:r>
          <m:rPr>
            <m:sty m:val="p"/>
          </m:rPr>
          <m:t>×</m:t>
        </m:r>
      </m:oMath>
      <w:r>
        <w:t xml:space="preserve"> </w:t>
      </w:r>
      <w:r>
        <w:t xml:space="preserve">TRIBE cortical r = 0.252, p = 0.0095; CLICS</w:t>
      </w:r>
      <w:r>
        <w:t xml:space="preserve"> </w:t>
      </w:r>
      <m:oMath>
        <m:r>
          <m:rPr>
            <m:sty m:val="p"/>
          </m:rPr>
          <m:t>×</m:t>
        </m:r>
      </m:oMath>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m:oMath>
        <m:r>
          <m:rPr>
            <m:sty m:val="p"/>
          </m:rPr>
          <m:t>≤</m:t>
        </m:r>
      </m:oMath>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m:oMath>
        <m:r>
          <m:t>α</m:t>
        </m:r>
        <m:r>
          <m:rPr>
            <m:sty m:val="p"/>
          </m:rPr>
          <m:t>/</m:t>
        </m:r>
        <m:r>
          <m:t>24</m:t>
        </m:r>
        <m:r>
          <m:rPr>
            <m:sty m:val="p"/>
          </m:rPr>
          <m:t>=</m:t>
        </m:r>
        <m:r>
          <m:t>0.00208</m:t>
        </m:r>
      </m:oMath>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m:oMath>
        <m:r>
          <m:rPr>
            <m:sty m:val="p"/>
          </m:rPr>
          <m:t>×</m:t>
        </m:r>
      </m:oMath>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w:t>
      </w:r>
      <w:r>
        <w:t xml:space="preserve">“marginal”</w:t>
      </w:r>
      <w:r>
        <w:t xml:space="preserve"> </w:t>
      </w:r>
      <w:r>
        <w:t xml:space="preserve">/</w:t>
      </w:r>
      <w:r>
        <w:t xml:space="preserve"> </w:t>
      </w:r>
      <w:r>
        <w:t xml:space="preserve">“weakly present”</w:t>
      </w:r>
      <w:r>
        <w:t xml:space="preserve">) is already correct and must not be upgraded. Two structure notes guard the reading: (i) 6 of the 13 BH survivors are post-hoc assemblies (C+mismatch, D13</w:t>
      </w:r>
      <w:r>
        <w:t xml:space="preserve"> </w:t>
      </w:r>
      <m:oMath>
        <m:r>
          <m:rPr>
            <m:sty m:val="p"/>
          </m:rPr>
          <m:t>×</m:t>
        </m:r>
      </m:oMath>
      <w:r>
        <w:t xml:space="preserve">2, the bridge battery</w:t>
      </w:r>
      <w:r>
        <w:t xml:space="preserve"> </w:t>
      </w:r>
      <m:oMath>
        <m:r>
          <m:rPr>
            <m:sty m:val="p"/>
          </m:rPr>
          <m:t>×</m:t>
        </m:r>
      </m:oMath>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m:oMath>
        <m:r>
          <m:rPr>
            <m:sty m:val="p"/>
          </m:rPr>
          <m:t>≤</m:t>
        </m:r>
      </m:oMath>
      <w:r>
        <w:t xml:space="preserve"> </w:t>
      </w:r>
      <w:r>
        <w:t xml:space="preserve">100 under Bonferroni, so the conclusions are insensitive to family-boundary choices.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m:oMath>
              <m:r>
                <m:rPr>
                  <m:sty m:val="p"/>
                </m:rPr>
                <m:t>≥</m:t>
              </m:r>
            </m:oMath>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w:t>
            </w:r>
            <w:r>
              <w:t xml:space="preserve"> </w:t>
            </w:r>
            <w:r>
              <w:t xml:space="preserve">“weakly present”</w:t>
            </w:r>
            <w:r>
              <w:t xml:space="preserve"> </w:t>
            </w:r>
            <w:r>
              <w:t xml:space="preserve">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w:t>
            </w:r>
            <w:r>
              <w:t xml:space="preserve"> </w:t>
            </w:r>
            <w:r>
              <w:t xml:space="preserve">“marginal”</w:t>
            </w:r>
            <w:r>
              <w:t xml:space="preserve"> </w:t>
            </w:r>
            <w:r>
              <w:t xml:space="preserve">stands</w:t>
            </w:r>
          </w:p>
        </w:tc>
      </w:tr>
      <w:tr>
        <w:tc>
          <w:tcPr/>
          <w:p>
            <w:pPr>
              <w:pStyle w:val="Compact"/>
              <w:jc w:val="left"/>
            </w:pPr>
            <w:r>
              <w:t xml:space="preserve">D8 EN</w:t>
            </w:r>
            <m:oMath>
              <m:r>
                <m:rPr>
                  <m:sty m:val="p"/>
                </m:rPr>
                <m:t>×</m:t>
              </m:r>
            </m:oMath>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m:oMath>
              <m:r>
                <m:rPr>
                  <m:sty m:val="p"/>
                </m:rPr>
                <m:t>×</m:t>
              </m:r>
            </m:oMath>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m:oMath>
              <m:r>
                <m:t>p</m:t>
              </m:r>
              <m:r>
                <m:rPr>
                  <m:sty m:val="p"/>
                </m:rPr>
                <m:t>=</m:t>
              </m:r>
              <m:r>
                <m:t>1.8</m:t>
              </m:r>
              <m:r>
                <m:rPr>
                  <m:sty m:val="p"/>
                </m:rPr>
                <m:t>×</m:t>
              </m:r>
              <m:sSup>
                <m:e>
                  <m:r>
                    <m:t>10</m:t>
                  </m:r>
                </m:e>
                <m:sup>
                  <m:r>
                    <m:rPr>
                      <m:sty m:val="p"/>
                    </m:rPr>
                    <m:t>−</m:t>
                  </m:r>
                  <m:r>
                    <m:t>3</m:t>
                  </m:r>
                </m:sup>
              </m:sSup>
            </m:oMath>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m:oMath>
        <m:r>
          <m:rPr>
            <m:sty m:val="p"/>
          </m:rPr>
          <m:t>≥</m:t>
        </m:r>
      </m:oMath>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w:t>
      </w:r>
      <w:r>
        <w:t xml:space="preserve"> </w:t>
      </w:r>
      <w:r>
        <w:t xml:space="preserve">“no detectable S lexical attractor”</w:t>
      </w:r>
      <w:r>
        <w:t xml:space="preserve"> </w:t>
      </w:r>
      <w:r>
        <w:t xml:space="preserve">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bookmarkStart w:id="43" w:name="fig:macroarea"/>
    <w:p>
      <w:pPr>
        <w:pStyle w:val="CaptionedFigure"/>
      </w:pPr>
      <w:r>
        <w:drawing>
          <wp:inline>
            <wp:extent cx="4907280" cy="2038408"/>
            <wp:effectExtent b="0" l="0" r="0" t="0"/>
            <wp:docPr descr="" title="" id="41" name="Picture"/>
            <a:graphic>
              <a:graphicData uri="http://schemas.openxmlformats.org/drawingml/2006/picture">
                <pic:pic>
                  <pic:nvPicPr>
                    <pic:cNvPr descr="figures/figR2_B7_macroarea_subgroups.png" id="42" name="Picture"/>
                    <pic:cNvPicPr>
                      <a:picLocks noChangeArrowheads="1" noChangeAspect="1"/>
                    </pic:cNvPicPr>
                  </pic:nvPicPr>
                  <pic:blipFill>
                    <a:blip r:embed="rId40"/>
                    <a:stretch>
                      <a:fillRect/>
                    </a:stretch>
                  </pic:blipFill>
                  <pic:spPr bwMode="auto">
                    <a:xfrm>
                      <a:off x="0" y="0"/>
                      <a:ext cx="4907280" cy="2038408"/>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CLICS 4.0 per-macroarea subgroup analysis (SIM-R2 battery 7, seed 42; 51,562 edges, 1,725 concept nodes — re-run-verified counts): (a) within-area fam</w:t>
      </w:r>
      <m:oMath>
        <m:r>
          <m:rPr>
            <m:sty m:val="p"/>
          </m:rPr>
          <m:t>≥</m:t>
        </m:r>
      </m:oMath>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43"/>
    <w:bookmarkEnd w:id="44"/>
    <w:bookmarkStart w:id="45" w:name="X231c464c655cab806eb8eb8dbdc4cf3d9cb3d5a"/>
    <w:p>
      <w:pPr>
        <w:pStyle w:val="Heading2"/>
      </w:pPr>
      <w:r>
        <w:t xml:space="preserve">4.7 In-silico triangulation without training data</w:t>
      </w:r>
      <w:r>
        <w:t xml:space="preserve"> </w:t>
      </w:r>
      <w:r>
        <w:t xml:space="preserve">[EMPIRICAL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m:oMath>
        <m:r>
          <m:rPr>
            <m:sty m:val="p"/>
          </m:rPr>
          <m:t>∼</m:t>
        </m:r>
      </m:oMath>
      <w:r>
        <w:t xml:space="preserve">54 tissues (GTEx;</w:t>
      </w:r>
      <w:r>
        <w:t xml:space="preserve"> </w:t>
      </w:r>
      <w:r>
        <w:t xml:space="preserve">) license where/when-expressed statements — not causality and not cell-type resolution; anatomically resolved expression (Allen Human Brain Atlas;</w:t>
      </w:r>
      <w:r>
        <w:t xml:space="preserve"> </w:t>
      </w:r>
      <w:r>
        <w:t xml:space="preserve">) licenses regional localization at small donor numbers; cell-type-resolved expression (CZ CELLxGENE Discover;</w:t>
      </w:r>
      <w:r>
        <w:t xml:space="preserve"> </w:t>
      </w:r>
      <w:r>
        <w:t xml:space="preserve">)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w:t>
      </w:r>
      <w:r>
        <w:t xml:space="preserve"> </w:t>
      </w:r>
      <w:r>
        <w:t xml:space="preserve">):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w:t>
      </w:r>
      <w:r>
        <w:t xml:space="preserve"> </w:t>
      </w:r>
      <w:r>
        <w:t xml:space="preserve">)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w:t>
      </w:r>
      <w:r>
        <w:t xml:space="preserve"> </w:t>
      </w:r>
      <w:r>
        <w:t xml:space="preserve">)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w:t>
      </w:r>
      <w:r>
        <w:t xml:space="preserve"> </w:t>
      </w:r>
      <w:r>
        <w:t xml:space="preserve">), and 0.064 for bipolar disorder — an aggregate-level null for the original bipolar claim — while the genetic-association components (</w:t>
      </w:r>
      <m:oMath>
        <m:r>
          <m:rPr>
            <m:sty m:val="p"/>
          </m:rPr>
          <m:t>∼</m:t>
        </m:r>
      </m:oMath>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45"/>
    <w:bookmarkEnd w:id="46"/>
    <w:bookmarkStart w:id="191"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hyperlink w:anchor="sec:gate">
        <w:r>
          <w:rPr>
            <w:rStyle w:val="Hyperlink"/>
          </w:rPr>
          <w:t xml:space="preserve">5.1</w:t>
        </w:r>
      </w:hyperlink>
      <w:r>
        <w:t xml:space="preserve">):</w:t>
      </w:r>
    </w:p>
    <w:p>
      <w:pPr>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w:t>
      </w:r>
      <w:r>
        <w:t xml:space="preserve"> </w:t>
      </w:r>
      <w:r>
        <w:t xml:space="preserve">-</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w:t>
      </w:r>
      <w:r>
        <w:t xml:space="preserve"> </w:t>
      </w:r>
      <w:r>
        <w:t xml:space="preserve">-</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m:oMath>
        <m:r>
          <m:t>O</m:t>
        </m:r>
        <m:r>
          <m:rPr>
            <m:sty m:val="p"/>
          </m:rPr>
          <m:t>→</m:t>
        </m:r>
        <m:r>
          <m:t>D</m:t>
        </m:r>
      </m:oMath>
      <w:r>
        <w:t xml:space="preserve">,</w:t>
      </w:r>
      <w:r>
        <w:t xml:space="preserve"> </w:t>
      </w:r>
      <m:oMath>
        <m:r>
          <m:t>C</m:t>
        </m:r>
        <m:r>
          <m:rPr>
            <m:sty m:val="p"/>
          </m:rPr>
          <m:t>→</m:t>
        </m:r>
        <m:r>
          <m:t>S</m:t>
        </m:r>
      </m:oMath>
      <w:r>
        <w:t xml:space="preserve">) recoverable in event-locked physiological time series — lagged cross-correlation with predicted sign structure at the timescale separation of Table 1. (ii)</w:t>
      </w:r>
      <w:r>
        <w:t xml:space="preserve"> </w:t>
      </w:r>
      <m:oMath>
        <m:r>
          <m:t>λ</m:t>
        </m:r>
      </m:oMath>
      <w:r>
        <w:t xml:space="preserve"> </w:t>
      </w:r>
      <w:r>
        <w:t xml:space="preserve">estimation: subject-level trust-sensitivity from the state-space model of the companion theory preprint, §6 (Kalman/EM; Bayesian hierarchical). (iii) Genetic association:</w:t>
      </w:r>
      <w:r>
        <w:t xml:space="preserve"> </w:t>
      </w:r>
      <m:oMath>
        <m:r>
          <m:t>λ</m:t>
        </m:r>
      </m:oMath>
      <w:r>
        <w:t xml:space="preserve"> </w:t>
      </w:r>
      <w:r>
        <w:t xml:space="preserve">against PDE4B regulatory variation under genome-wide or gene-set thresholds with pre-specified multiple-comparison control — a test of the §4.2 hypothesis, with its two-gate failure disclosed.</w:t>
      </w:r>
      <w:r>
        <w:t xml:space="preserve"> </w:t>
      </w:r>
      <w:r>
        <w:t xml:space="preserve">-</w:t>
      </w:r>
      <w:r>
        <w:t xml:space="preserve"> </w:t>
      </w:r>
      <w:r>
        <w:rPr>
          <w:b/>
          <w:bCs/>
        </w:rPr>
        <w:t xml:space="preserve">Falsification criteria.</w:t>
      </w:r>
      <w:r>
        <w:t xml:space="preserve"> </w:t>
      </w:r>
      <w:r>
        <w:t xml:space="preserve">Failure to recover the predicted channel coupling above chance, or a</w:t>
      </w:r>
      <w:r>
        <w:t xml:space="preserve"> </w:t>
      </w:r>
      <m:oMath>
        <m:r>
          <m:t>λ</m:t>
        </m:r>
      </m:oMath>
      <w:r>
        <w:t xml:space="preserve"> </w:t>
      </w:r>
      <w:r>
        <w:t xml:space="preserve">estimate incompatible with the stability law’s sign structure, falsifies the framework as specified.</w:t>
      </w:r>
      <w:r>
        <w:t xml:space="preserve"> </w:t>
      </w:r>
      <w:r>
        <w:t xml:space="preserve">-</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m:oMath>
        <m:r>
          <m:t>λ</m:t>
        </m:r>
        <m:r>
          <m:rPr>
            <m:sty m:val="p"/>
          </m:rPr>
          <m:t>⋅</m:t>
        </m:r>
        <m:sSub>
          <m:e>
            <m:r>
              <m:t>r</m:t>
            </m:r>
          </m:e>
          <m:sub>
            <m:r>
              <m:t>t</m:t>
            </m:r>
          </m:sub>
        </m:sSub>
      </m:oMath>
      <w:r>
        <w:rPr>
          <w:b/>
          <w:bCs/>
        </w:rPr>
        <w:t xml:space="preserve"> </w:t>
      </w:r>
      <w:r>
        <w:rPr>
          <w:b/>
          <w:bCs/>
        </w:rPr>
        <w:t xml:space="preserve">product confound.</w:t>
      </w:r>
      <w:r>
        <w:t xml:space="preserve"> </w:t>
      </w:r>
      <w:r>
        <w:t xml:space="preserve">From the</w:t>
      </w:r>
      <w:r>
        <w:t xml:space="preserve"> </w:t>
      </w:r>
      <m:oMath>
        <m:r>
          <m:t>S</m:t>
        </m:r>
      </m:oMath>
      <w:r>
        <w:t xml:space="preserve"> </w:t>
      </w:r>
      <w:r>
        <w:t xml:space="preserve">(or readout</w:t>
      </w:r>
      <w:r>
        <w:t xml:space="preserve"> </w:t>
      </w:r>
      <m:oMath>
        <m:r>
          <m:t>H</m:t>
        </m:r>
      </m:oMath>
      <w:r>
        <w:t xml:space="preserve">) series alone, the trust-sensitivity</w:t>
      </w:r>
      <w:r>
        <w:t xml:space="preserve"> </w:t>
      </w:r>
      <m:oMath>
        <m:r>
          <m:t>λ</m:t>
        </m:r>
      </m:oMath>
      <w:r>
        <w:t xml:space="preserve"> </w:t>
      </w:r>
      <w:r>
        <w:t xml:space="preserve">and the recognition gate</w:t>
      </w:r>
      <w:r>
        <w:t xml:space="preserve"> </w:t>
      </w:r>
      <m:oMath>
        <m:sSub>
          <m:e>
            <m:r>
              <m:t>r</m:t>
            </m:r>
          </m:e>
          <m:sub>
            <m:r>
              <m:t>t</m:t>
            </m:r>
          </m:sub>
        </m:sSub>
      </m:oMath>
      <w:r>
        <w:t xml:space="preserve"> </w:t>
      </w:r>
      <w:r>
        <w:t xml:space="preserve">enter the master law only as the product</w:t>
      </w:r>
      <w:r>
        <w:t xml:space="preserve"> </w:t>
      </w:r>
      <m:oMath>
        <m:r>
          <m:t>λ</m:t>
        </m:r>
        <m:r>
          <m:rPr>
            <m:sty m:val="p"/>
          </m:rPr>
          <m:t>⋅</m:t>
        </m:r>
        <m:sSub>
          <m:e>
            <m:r>
              <m:t>r</m:t>
            </m:r>
          </m:e>
          <m:sub>
            <m:r>
              <m:t>t</m:t>
            </m:r>
          </m:sub>
        </m:sSub>
      </m:oMath>
      <w:r>
        <w:t xml:space="preserve">, and time-varying gating is a gain variation of the class the theory preprint’s misspecification battery (SIM-R1) shows the certified constant-gain estimator misrecovers (the</w:t>
      </w:r>
      <w:r>
        <w:t xml:space="preserve"> </w:t>
      </w:r>
      <m:oMath>
        <m:sSup>
          <m:e>
            <m:r>
              <m:t>ε</m:t>
            </m:r>
          </m:e>
          <m:sup>
            <m:r>
              <m:t>2</m:t>
            </m:r>
          </m:sup>
        </m:sSup>
      </m:oMath>
      <w:r>
        <w:t xml:space="preserve">-weighted gain, not the time average). Field</w:t>
      </w:r>
      <w:r>
        <w:t xml:space="preserve"> </w:t>
      </w:r>
      <m:oMath>
        <m:r>
          <m:t>λ</m:t>
        </m:r>
      </m:oMath>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47" w:name="sec:gate"/>
    <w:p>
      <w:pPr>
        <w:pStyle w:val="Heading2"/>
      </w:pPr>
      <w:r>
        <w:t xml:space="preserve">5.1 The registered carrier gate: DOCAS-GATE-1 [PRE-REGISTERED PROTOCOL — fully specified; OSF DOI:</w:t>
      </w:r>
      <w:r>
        <w:t xml:space="preserve"> </w:t>
      </w:r>
      <w:r>
        <w:t xml:space="preserve">[insert]</w:t>
      </w:r>
      <w:r>
        <w:t xml:space="preserve">]</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m:oMath>
        <m:r>
          <m:rPr>
            <m:sty m:val="p"/>
          </m:rPr>
          <m:t>≥</m:t>
        </m:r>
      </m:oMath>
      <w:r>
        <w:t xml:space="preserve">7-day washouts, session order counterbalanced by a Williams-balanced assignment over the six probes (48 = 8</w:t>
      </w:r>
      <w:r>
        <w:t xml:space="preserve"> </w:t>
      </w:r>
      <m:oMath>
        <m:r>
          <m:rPr>
            <m:sty m:val="p"/>
          </m:rPr>
          <m:t>×</m:t>
        </m:r>
      </m:oMath>
      <w:r>
        <w:t xml:space="preserve"> </w:t>
      </w:r>
      <w:r>
        <w:t xml:space="preserve">6 preserves the balance), with the placebo session at a fixed position.</w:t>
      </w:r>
      <w:r>
        <w:t xml:space="preserve"> </w:t>
      </w:r>
      <w:r>
        <w:rPr>
          <w:b/>
          <w:bCs/>
        </w:rPr>
        <w:t xml:space="preserve">N = 60 enrolled</w:t>
      </w:r>
      <w:r>
        <w:rPr>
          <w:b/>
          <w:bCs/>
        </w:rPr>
        <w:t xml:space="preserve"> </w:t>
      </w:r>
      <m:oMath>
        <m:r>
          <m:rPr>
            <m:sty m:val="p"/>
          </m:rPr>
          <m:t>→</m:t>
        </m:r>
      </m:oMath>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m:oMath>
        <m:sSub>
          <m:e>
            <m:r>
              <m:t>D</m:t>
            </m:r>
          </m:e>
          <m:sub>
            <m:r>
              <m:t>p</m:t>
            </m:r>
          </m:sub>
        </m:sSub>
        <m:r>
          <m:rPr>
            <m:sty m:val="p"/>
          </m:rPr>
          <m:t>=</m:t>
        </m:r>
        <m:sSub>
          <m:e>
            <m:r>
              <m:rPr>
                <m:sty m:val="p"/>
              </m:rPr>
              <m:t>Δ</m:t>
            </m:r>
          </m:e>
          <m:sub>
            <m:r>
              <m:t>p</m:t>
            </m:r>
            <m:r>
              <m:t>p</m:t>
            </m:r>
          </m:sub>
        </m:sSub>
        <m:r>
          <m:rPr>
            <m:sty m:val="p"/>
          </m:rPr>
          <m:t>−</m:t>
        </m:r>
        <m:sSub>
          <m:e>
            <m:r>
              <m:rPr>
                <m:sty m:val="p"/>
              </m:rPr>
              <m:t>m</m:t>
            </m:r>
            <m:r>
              <m:rPr>
                <m:sty m:val="p"/>
              </m:rPr>
              <m:t>e</m:t>
            </m:r>
            <m:r>
              <m:rPr>
                <m:sty m:val="p"/>
              </m:rPr>
              <m:t>a</m:t>
            </m:r>
            <m:r>
              <m:rPr>
                <m:sty m:val="p"/>
              </m:rPr>
              <m:t>n</m:t>
            </m:r>
          </m:e>
          <m:sub>
            <m:r>
              <m:t>j</m:t>
            </m:r>
            <m:r>
              <m:rPr>
                <m:sty m:val="p"/>
              </m:rPr>
              <m:t>≠</m:t>
            </m:r>
            <m:r>
              <m:t>p</m:t>
            </m:r>
          </m:sub>
        </m:sSub>
        <m:sSub>
          <m:e>
            <m:r>
              <m:rPr>
                <m:sty m:val="p"/>
              </m:rPr>
              <m:t>Δ</m:t>
            </m:r>
          </m:e>
          <m:sub>
            <m:r>
              <m:t>p</m:t>
            </m:r>
            <m:r>
              <m:t>j</m:t>
            </m:r>
          </m:sub>
        </m:sSub>
      </m:oMath>
      <w:r>
        <w:t xml:space="preserve"> </w:t>
      </w:r>
      <w:r>
        <w:t xml:space="preserve">on within-subject z-scored drug</w:t>
      </w:r>
      <m:oMath>
        <m:r>
          <m:rPr>
            <m:sty m:val="p"/>
          </m:rPr>
          <m:t>−</m:t>
        </m:r>
      </m:oMath>
      <w:r>
        <w:t xml:space="preserve">placebo contrasts, with the pooled</w:t>
      </w:r>
      <w:r>
        <w:t xml:space="preserve"> </w:t>
      </w:r>
      <m:oMath>
        <m:acc>
          <m:accPr>
            <m:chr m:val="‾"/>
          </m:accPr>
          <m:e>
            <m:r>
              <m:t>D</m:t>
            </m:r>
          </m:e>
        </m:acc>
      </m:oMath>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m:oMath>
        <m:sSub>
          <m:e>
            <m:r>
              <m:t>d</m:t>
            </m:r>
          </m:e>
          <m:sub>
            <m:r>
              <m:t>z</m:t>
            </m:r>
          </m:sub>
        </m:sSub>
        <m:r>
          <m:rPr>
            <m:sty m:val="p"/>
          </m:rPr>
          <m:t>=</m:t>
        </m:r>
        <m:r>
          <m:t>0.3</m:t>
        </m:r>
      </m:oMath>
      <w:r>
        <w:t xml:space="preserve"> </w:t>
      </w:r>
      <w:r>
        <w:t xml:space="preserve">if null (the TOST equivalence arm at SESOI</w:t>
      </w:r>
      <w:r>
        <w:t xml:space="preserve"> </w:t>
      </w:r>
      <m:oMath>
        <m:sSub>
          <m:e>
            <m:r>
              <m:t>d</m:t>
            </m:r>
          </m:e>
          <m:sub>
            <m:r>
              <m:t>z</m:t>
            </m:r>
          </m:sub>
        </m:sSub>
        <m:r>
          <m:rPr>
            <m:sty m:val="p"/>
          </m:rPr>
          <m:t>=</m:t>
        </m:r>
        <m:r>
          <m:t>0.3</m:t>
        </m:r>
      </m:oMath>
      <w:r>
        <w:t xml:space="preserve"> </w:t>
      </w:r>
      <w:r>
        <w:t xml:space="preserve">has power</w:t>
      </w:r>
      <w:r>
        <w:t xml:space="preserve"> </w:t>
      </w:r>
      <m:oMath>
        <m:r>
          <m:rPr>
            <m:sty m:val="p"/>
          </m:rPr>
          <m:t>≈</m:t>
        </m:r>
        <m:r>
          <m:t>0.31</m:t>
        </m:r>
      </m:oMath>
      <w:r>
        <w:t xml:space="preserve"> </w:t>
      </w:r>
      <w:r>
        <w:t xml:space="preserve">at</w:t>
      </w:r>
      <w:r>
        <w:t xml:space="preserve"> </w:t>
      </w:r>
      <m:oMath>
        <m:r>
          <m:t>N</m:t>
        </m:r>
        <m:r>
          <m:rPr>
            <m:sty m:val="p"/>
          </m:rPr>
          <m:t>=</m:t>
        </m:r>
        <m:r>
          <m:t>48</m:t>
        </m:r>
      </m:oMath>
      <w:r>
        <w:t xml:space="preserve"> </w:t>
      </w:r>
      <w:r>
        <w:t xml:space="preserve">— underpowered for concluding equivalence; the registered options are widening the SESOI to</w:t>
      </w:r>
      <w:r>
        <w:t xml:space="preserve"> </w:t>
      </w:r>
      <m:oMath>
        <m:sSub>
          <m:e>
            <m:r>
              <m:t>d</m:t>
            </m:r>
          </m:e>
          <m:sub>
            <m:r>
              <m:t>z</m:t>
            </m:r>
          </m:sub>
        </m:sSub>
        <m:r>
          <m:rPr>
            <m:sty m:val="p"/>
          </m:rPr>
          <m:t>≈</m:t>
        </m:r>
        <m:r>
          <m:t>0.45</m:t>
        </m:r>
      </m:oMath>
      <w:r>
        <w:t xml:space="preserve"> </w:t>
      </w:r>
      <w:r>
        <w:t xml:space="preserve">(power</w:t>
      </w:r>
      <w:r>
        <w:t xml:space="preserve"> </w:t>
      </w:r>
      <m:oMath>
        <m:r>
          <m:rPr>
            <m:sty m:val="p"/>
          </m:rPr>
          <m:t>≈</m:t>
        </m:r>
        <m:r>
          <m:t>0.85</m:t>
        </m:r>
      </m:oMath>
      <w:r>
        <w:t xml:space="preserve">) or raising</w:t>
      </w:r>
      <w:r>
        <w:t xml:space="preserve"> </w:t>
      </w:r>
      <m:oMath>
        <m:r>
          <m:t>N</m:t>
        </m:r>
      </m:oMath>
      <w:r>
        <w:t xml:space="preserve"> </w:t>
      </w:r>
      <w:r>
        <w:t xml:space="preserve">to</w:t>
      </w:r>
      <w:r>
        <w:t xml:space="preserve"> </w:t>
      </w:r>
      <m:oMath>
        <m:r>
          <m:rPr>
            <m:sty m:val="p"/>
          </m:rPr>
          <m:t>≈</m:t>
        </m:r>
        <m:r>
          <m:t>96</m:t>
        </m:r>
      </m:oMath>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m:oMath>
        <m:r>
          <m:t>d</m:t>
        </m:r>
        <m:r>
          <m:rPr>
            <m:sty m:val="p"/>
          </m:rPr>
          <m:t>≈</m:t>
        </m:r>
        <m:r>
          <m:t>0.08</m:t>
        </m:r>
      </m:oMath>
      <w:r>
        <w:t xml:space="preserve">–0.20;</w:t>
      </w:r>
      <w:r>
        <w:t xml:space="preserve"> </w:t>
      </w:r>
      <w:r>
        <w:t xml:space="preserve">) — a large oxytocin effect on the</w:t>
      </w:r>
      <w:r>
        <w:t xml:space="preserve"> </w:t>
      </w:r>
      <w:r>
        <w:t xml:space="preserve">“validation”</w:t>
      </w:r>
      <w:r>
        <w:t xml:space="preserve"> </w:t>
      </w:r>
      <w:r>
        <w:t xml:space="preserve">readout exceeding the drug’s established behavioral effects would falsify the channel’s current operationalization, not the drug literature. Power at</w:t>
      </w:r>
      <w:r>
        <w:t xml:space="preserve"> </w:t>
      </w:r>
      <m:oMath>
        <m:r>
          <m:t>N</m:t>
        </m:r>
        <m:r>
          <m:rPr>
            <m:sty m:val="p"/>
          </m:rPr>
          <m:t>=</m:t>
        </m:r>
        <m:r>
          <m:t>48</m:t>
        </m:r>
      </m:oMath>
      <w:r>
        <w:t xml:space="preserve">:</w:t>
      </w:r>
      <w:r>
        <w:t xml:space="preserve"> </w:t>
      </w:r>
      <w:r>
        <w:rPr>
          <w:b/>
          <w:bCs/>
        </w:rPr>
        <w:t xml:space="preserve">0.78–0.92 for the per-probe test at</w:t>
      </w:r>
      <w:r>
        <w:rPr>
          <w:b/>
          <w:bCs/>
        </w:rPr>
        <w:t xml:space="preserve"> </w:t>
      </w:r>
      <m:oMath>
        <m:sSub>
          <m:e>
            <m:r>
              <m:t>d</m:t>
            </m:r>
          </m:e>
          <m:sub>
            <m:r>
              <m:t>z</m:t>
            </m:r>
          </m:sub>
        </m:sSub>
        <m:r>
          <m:rPr>
            <m:sty m:val="p"/>
          </m:rPr>
          <m:t>=</m:t>
        </m:r>
        <m:r>
          <m:t>0.5</m:t>
        </m:r>
      </m:oMath>
      <w:r>
        <w:rPr>
          <w:b/>
          <w:bCs/>
        </w:rPr>
        <w:t xml:space="preserve">–0.6</w:t>
      </w:r>
      <w:r>
        <w:t xml:space="preserve"> </w:t>
      </w:r>
      <w:r>
        <w:t xml:space="preserve">(</w:t>
      </w:r>
      <m:oMath>
        <m:r>
          <m:t>α</m:t>
        </m:r>
        <m:r>
          <m:rPr>
            <m:sty m:val="p"/>
          </m:rPr>
          <m:t>=</m:t>
        </m:r>
        <m:r>
          <m:t>0.01</m:t>
        </m:r>
      </m:oMath>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m:oMath>
        <m:sSub>
          <m:e>
            <m:r>
              <m:t>d</m:t>
            </m:r>
          </m:e>
          <m:sub>
            <m:r>
              <m:t>z</m:t>
            </m:r>
          </m:sub>
        </m:sSub>
        <m:r>
          <m:rPr>
            <m:sty m:val="p"/>
          </m:rPr>
          <m:t>=</m:t>
        </m:r>
        <m:r>
          <m:t>0.5</m:t>
        </m:r>
      </m:oMath>
      <w:r>
        <w:rPr>
          <w:b/>
          <w:bCs/>
        </w:rPr>
        <w:t xml:space="preserve">,</w:t>
      </w:r>
      <w:r>
        <w:rPr>
          <w:b/>
          <w:bCs/>
        </w:rPr>
        <w:t xml:space="preserve"> </w:t>
      </w:r>
      <m:oMath>
        <m:r>
          <m:t>α</m:t>
        </m:r>
        <m:r>
          <m:rPr>
            <m:sty m:val="p"/>
          </m:rPr>
          <m:t>=</m:t>
        </m:r>
        <m:r>
          <m:t>0.05</m:t>
        </m:r>
      </m:oMath>
      <w:r>
        <w:t xml:space="preserve"> </w:t>
      </w:r>
      <w:r>
        <w:t xml:space="preserve">(the Schweighofer-anchored pessimistic per-probe scenario (</w:t>
      </w:r>
      <w:r>
        <w:t xml:space="preserve">;</w:t>
      </w:r>
      <w:r>
        <w:t xml:space="preserve"> </w:t>
      </w:r>
      <m:oMath>
        <m:sSub>
          <m:e>
            <m:r>
              <m:t>d</m:t>
            </m:r>
          </m:e>
          <m:sub>
            <m:r>
              <m:t>z</m:t>
            </m:r>
          </m:sub>
        </m:sSub>
        <m:r>
          <m:rPr>
            <m:sty m:val="p"/>
          </m:rPr>
          <m:t>≈</m:t>
        </m:r>
        <m:r>
          <m:t>0.4</m:t>
        </m:r>
      </m:oMath>
      <w:r>
        <w:t xml:space="preserve">–0.48), would require</w:t>
      </w:r>
      <w:r>
        <w:t xml:space="preserve"> </w:t>
      </w:r>
      <m:oMath>
        <m:r>
          <m:t>N</m:t>
        </m:r>
        <m:r>
          <m:rPr>
            <m:sty m:val="p"/>
          </m:rPr>
          <m:t>≈</m:t>
        </m:r>
        <m:r>
          <m:t>55</m:t>
        </m:r>
      </m:oMath>
      <w:r>
        <w:t xml:space="preserve">–77 for 80% power under the same two-sided paired-t convention as the headline numbers, and is accepted as a bounded risk, with the pooled test primary). Feasibility: 7 sessions</w:t>
      </w:r>
      <w:r>
        <w:t xml:space="preserve"> </w:t>
      </w:r>
      <m:oMath>
        <m:r>
          <m:rPr>
            <m:sty m:val="p"/>
          </m:rPr>
          <m:t>×</m:t>
        </m:r>
      </m:oMath>
      <w:r>
        <w:t xml:space="preserve"> </w:t>
      </w:r>
      <m:oMath>
        <m:r>
          <m:rPr>
            <m:sty m:val="p"/>
          </m:rPr>
          <m:t>∼</m:t>
        </m:r>
      </m:oMath>
      <w:r>
        <w:t xml:space="preserve">2.5 h</w:t>
      </w:r>
      <w:r>
        <w:t xml:space="preserve"> </w:t>
      </w:r>
      <m:oMath>
        <m:r>
          <m:rPr>
            <m:sty m:val="p"/>
          </m:rPr>
          <m:t>⇒</m:t>
        </m:r>
      </m:oMath>
      <w:r>
        <w:t xml:space="preserve"> </w:t>
      </w:r>
      <m:oMath>
        <m:r>
          <m:rPr>
            <m:sty m:val="p"/>
          </m:rPr>
          <m:t>∼</m:t>
        </m:r>
      </m:oMath>
      <w:r>
        <w:t xml:space="preserve">8–12 weeks per participant; total cost</w:t>
      </w:r>
      <w:r>
        <w:t xml:space="preserve"> </w:t>
      </w:r>
      <m:oMath>
        <m:r>
          <m:rPr>
            <m:sty m:val="p"/>
          </m:rPr>
          <m:t>≈</m:t>
        </m:r>
      </m:oMath>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m:oMath>
        <m:r>
          <m:rPr>
            <m:sty m:val="p"/>
          </m:rPr>
          <m:t>∼</m:t>
        </m:r>
      </m:oMath>
      <w:r>
        <w:t xml:space="preserve">2.7%</w:t>
      </w:r>
      <w:r>
        <w:t xml:space="preserve"> </w:t>
      </w:r>
      <m:oMath>
        <m:r>
          <m:rPr>
            <m:sty m:val="p"/>
          </m:rPr>
          <m:t>Δ</m:t>
        </m:r>
      </m:oMath>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m:oMath>
        <m:r>
          <m:rPr>
            <m:sty m:val="p"/>
          </m:rPr>
          <m:t>→</m:t>
        </m:r>
      </m:oMath>
      <w:r>
        <w:t xml:space="preserve"> </w:t>
      </w:r>
      <w:r>
        <w:t xml:space="preserve">the</w:t>
      </w:r>
      <w:r>
        <w:t xml:space="preserve"> </w:t>
      </w:r>
      <m:oMath>
        <m:r>
          <m:t>N</m:t>
        </m:r>
        <m:r>
          <m:rPr>
            <m:sty m:val="p"/>
          </m:rPr>
          <m:t>=</m:t>
        </m:r>
        <m:r>
          <m:t>31</m:t>
        </m:r>
      </m:oMath>
      <w:r>
        <w:t xml:space="preserve"> </w:t>
      </w:r>
      <w:r>
        <w:t xml:space="preserve">preregistered replication attempt of</w:t>
      </w:r>
      <w:r>
        <w:t xml:space="preserve"> </w:t>
      </w:r>
      <w:r>
        <w:t xml:space="preserve">, which returned a null for the gain-learning and neural prediction-error effects while identifying a decision-threshold effect instead) is why target-engagement gates and</w:t>
      </w:r>
      <w:r>
        <w:t xml:space="preserve"> </w:t>
      </w:r>
      <m:oMath>
        <m:r>
          <m:t>N</m:t>
        </m:r>
        <m:r>
          <m:rPr>
            <m:sty m:val="p"/>
          </m:rPr>
          <m:t>=</m:t>
        </m:r>
        <m:r>
          <m:t>48</m:t>
        </m:r>
      </m:oMath>
      <w:r>
        <w:t xml:space="preserve">, not</w:t>
      </w:r>
      <w:r>
        <w:t xml:space="preserve"> </w:t>
      </w:r>
      <m:oMath>
        <m:r>
          <m:t>N</m:t>
        </m:r>
        <m:r>
          <m:rPr>
            <m:sty m:val="p"/>
          </m:rPr>
          <m:t>≈</m:t>
        </m:r>
        <m:r>
          <m:t>30</m:t>
        </m:r>
      </m:oMath>
      <w:r>
        <w:t xml:space="preserve">, are non-negotiable.</w:t>
      </w:r>
    </w:p>
    <w:bookmarkEnd w:id="47"/>
    <w:bookmarkStart w:id="48" w:name="sec:rater"/>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m:oMath>
        <m:r>
          <m:t>α</m:t>
        </m:r>
        <m:r>
          <m:rPr>
            <m:sty m:val="p"/>
          </m:rPr>
          <m:t>≥</m:t>
        </m:r>
        <m:r>
          <m:t>0.800</m:t>
        </m:r>
      </m:oMath>
      <w:r>
        <w:t xml:space="preserve"> </w:t>
      </w:r>
      <w:r>
        <w:t xml:space="preserve"> </w:t>
      </w:r>
      <w:r>
        <w:t xml:space="preserve">(0.667–0.800 = tentative conclusions only, labeled as such downstream;</w:t>
      </w:r>
      <w:r>
        <w:t xml:space="preserve"> </w:t>
      </w:r>
      <m:oMath>
        <m:r>
          <m:rPr>
            <m:sty m:val="p"/>
          </m:rPr>
          <m:t>&lt;</m:t>
        </m:r>
      </m:oMath>
      <w:r>
        <w:t xml:space="preserve"> </w:t>
      </w:r>
      <w:r>
        <w:t xml:space="preserve">0.667 = rebuild and re-rate), reported with bootstrap 95% CIs; Cohen’s/Fleiss’</w:t>
      </w:r>
      <w:r>
        <w:t xml:space="preserve"> </w:t>
      </w:r>
      <m:oMath>
        <m:r>
          <m:t>κ</m:t>
        </m:r>
      </m:oMath>
      <w:r>
        <w:t xml:space="preserve"> </w:t>
      </w:r>
      <w:r>
        <w:t xml:space="preserve">are secondary coefficients with their own benchmarks (never mixed); and</w:t>
      </w:r>
      <w:r>
        <w:t xml:space="preserve"> </w:t>
      </w:r>
      <w:r>
        <w:rPr>
          <w:b/>
          <w:bCs/>
        </w:rPr>
        <w:t xml:space="preserve">Gwet’s AC1/AC2</w:t>
      </w:r>
      <w:r>
        <w:rPr>
          <w:b/>
          <w:bCs/>
        </w:rPr>
        <w:t xml:space="preserve"> </w:t>
      </w:r>
      <w:r>
        <w:rPr>
          <w:b/>
          <w:bCs/>
        </w:rPr>
        <w:t xml:space="preserve"> </w:t>
      </w:r>
      <w:r>
        <w:rPr>
          <w:b/>
          <w:bCs/>
        </w:rPr>
        <w:t xml:space="preserve">plus raw percent agreement are additionally reported under prevalence skew</w:t>
      </w:r>
      <w:r>
        <w:t xml:space="preserve"> </w:t>
      </w:r>
      <w:r>
        <w:t xml:space="preserve">(any category below 20% or above 80% prevalence, where</w:t>
      </w:r>
      <w:r>
        <w:t xml:space="preserve"> </w:t>
      </w:r>
      <m:oMath>
        <m:r>
          <m:t>κ</m:t>
        </m:r>
      </m:oMath>
      <w:r>
        <w:t xml:space="preserve"> </w:t>
      </w:r>
      <w:r>
        <w:t xml:space="preserve">collapses paradoxically). Iterative rounds — independent rating,</w:t>
      </w:r>
      <w:r>
        <w:t xml:space="preserve"> </w:t>
      </w:r>
      <m:oMath>
        <m:r>
          <m:t>α</m:t>
        </m:r>
      </m:oMath>
      <w:r>
        <w:t xml:space="preserve"> </w:t>
      </w:r>
      <w:r>
        <w:t xml:space="preserve">computation, disagreement review against the written codebook, codebook revision — continue until</w:t>
      </w:r>
      <w:r>
        <w:t xml:space="preserve"> </w:t>
      </w:r>
      <m:oMath>
        <m:r>
          <m:t>α</m:t>
        </m:r>
        <m:r>
          <m:rPr>
            <m:sty m:val="p"/>
          </m:rPr>
          <m:t>≥</m:t>
        </m:r>
        <m:r>
          <m:t>0.800</m:t>
        </m:r>
      </m:oMath>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hyperlink w:anchor="sec:gate">
        <w:r>
          <w:rPr>
            <w:rStyle w:val="Hyperlink"/>
          </w:rPr>
          <w:t xml:space="preserve">5.1</w:t>
        </w:r>
      </w:hyperlink>
      <w:r>
        <w:t xml:space="preserve">) only if every used set clears</w:t>
      </w:r>
      <w:r>
        <w:t xml:space="preserve"> </w:t>
      </w:r>
      <m:oMath>
        <m:r>
          <m:t>α</m:t>
        </m:r>
        <m:r>
          <m:rPr>
            <m:sty m:val="p"/>
          </m:rPr>
          <m:t>≥</m:t>
        </m:r>
        <m:r>
          <m:t>0.800</m:t>
        </m:r>
      </m:oMath>
      <w:r>
        <w:t xml:space="preserve"> </w:t>
      </w:r>
      <w:r>
        <w:t xml:space="preserve">(or carries an explicit</w:t>
      </w:r>
      <w:r>
        <w:t xml:space="preserve"> </w:t>
      </w:r>
      <w:r>
        <w:t xml:space="preserve">“tentative”</w:t>
      </w:r>
      <w:r>
        <w:t xml:space="preserve"> </w:t>
      </w:r>
      <w:r>
        <w:t xml:space="preserve">label into all downstream inference at 0.667–0.800); sets below 0.667 are rebuilt and the rebuilding is reported. Until this protocol has run, every §4.6 density figure carries the author-selected caveat printed with it.</w:t>
      </w:r>
    </w:p>
    <w:bookmarkEnd w:id="48"/>
    <w:bookmarkStart w:id="54" w:name="X7dc26356de3cbc370b35dfd10c8d643562368a4"/>
    <w:p>
      <w:pPr>
        <w:pStyle w:val="Heading2"/>
      </w:pPr>
      <w:r>
        <w:t xml:space="preserve">5.3 Simulation pre-test of the decoding pipeline</w:t>
      </w:r>
      <w:r>
        <w:t xml:space="preserve"> </w:t>
      </w:r>
      <w:r>
        <w:t xml:space="preserve">[SIMULATION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m:oMath>
        <m:r>
          <m:t>D</m:t>
        </m:r>
        <m:r>
          <m:rPr>
            <m:sty m:val="p"/>
          </m:rPr>
          <m:t>→</m:t>
        </m:r>
        <m:r>
          <m:t>O</m:t>
        </m:r>
        <m:r>
          <m:rPr>
            <m:sty m:val="p"/>
          </m:rPr>
          <m:t>→</m:t>
        </m:r>
        <m:r>
          <m:t>C</m:t>
        </m:r>
        <m:r>
          <m:rPr>
            <m:sty m:val="p"/>
          </m:rPr>
          <m:t>→</m:t>
        </m:r>
        <m:r>
          <m:t>A</m:t>
        </m:r>
        <m:r>
          <m:rPr>
            <m:sty m:val="p"/>
          </m:rPr>
          <m:t>→</m:t>
        </m:r>
        <m:r>
          <m:t>S</m:t>
        </m:r>
      </m:oMath>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m:oMath>
        <m:sSub>
          <m:e>
            <m:r>
              <m:t>σ</m:t>
            </m:r>
          </m:e>
          <m:sub>
            <m:r>
              <m:rPr>
                <m:sty m:val="p"/>
              </m:rPr>
              <m:t>o</m:t>
            </m:r>
            <m:r>
              <m:rPr>
                <m:sty m:val="p"/>
              </m:rPr>
              <m:t>b</m:t>
            </m:r>
            <m:r>
              <m:rPr>
                <m:sty m:val="p"/>
              </m:rPr>
              <m:t>s</m:t>
            </m:r>
          </m:sub>
        </m:sSub>
        <m:r>
          <m:rPr>
            <m:sty m:val="p"/>
          </m:rPr>
          <m:t>=</m:t>
        </m:r>
        <m:r>
          <m:t>0.1</m:t>
        </m:r>
      </m:oMath>
      <w:r>
        <w:t xml:space="preserve">)</w:t>
      </w:r>
      <w:r>
        <w:rPr>
          <w:rStyle w:val="FootnoteReference"/>
        </w:rPr>
        <w:footnoteReference w:id="49"/>
      </w:r>
      <w:r>
        <w:t xml:space="preserve">, against a pre-registered threshold of r</w:t>
      </w:r>
      <w:r>
        <w:t xml:space="preserve"> </w:t>
      </w:r>
      <m:oMath>
        <m:r>
          <m:rPr>
            <m:sty m:val="p"/>
          </m:rPr>
          <m:t>≥</m:t>
        </m:r>
      </m:oMath>
      <w:r>
        <w:t xml:space="preserve"> </w:t>
      </w:r>
      <w:r>
        <w:t xml:space="preserve">0.7. Chance level is r</w:t>
      </w:r>
      <w:r>
        <w:t xml:space="preserve"> </w:t>
      </w:r>
      <m:oMath>
        <m:r>
          <m:rPr>
            <m:sty m:val="p"/>
          </m:rPr>
          <m:t>≈</m:t>
        </m:r>
      </m:oMath>
      <w:r>
        <w:t xml:space="preserve"> </w:t>
      </w:r>
      <w:r>
        <w:t xml:space="preserve">0. (Symbol note:</w:t>
      </w:r>
      <w:r>
        <w:t xml:space="preserve"> </w:t>
      </w:r>
      <m:oMath>
        <m:sSub>
          <m:e>
            <m:r>
              <m:t>σ</m:t>
            </m:r>
          </m:e>
          <m:sub>
            <m:r>
              <m:rPr>
                <m:sty m:val="p"/>
              </m:rPr>
              <m:t>o</m:t>
            </m:r>
            <m:r>
              <m:rPr>
                <m:sty m:val="p"/>
              </m:rPr>
              <m:t>b</m:t>
            </m:r>
            <m:r>
              <m:rPr>
                <m:sty m:val="p"/>
              </m:rPr>
              <m:t>s</m:t>
            </m:r>
          </m:sub>
        </m:sSub>
      </m:oMath>
      <w:r>
        <w:t xml:space="preserve"> </w:t>
      </w:r>
      <w:r>
        <w:t xml:space="preserve">denotes measurement noise</w:t>
      </w:r>
      <w:r>
        <w:t xml:space="preserve"> </w:t>
      </w:r>
      <w:r>
        <w:rPr>
          <w:b/>
          <w:bCs/>
        </w:rPr>
        <w:t xml:space="preserve">only within §5</w:t>
      </w:r>
      <w:r>
        <w:t xml:space="preserve">;</w:t>
      </w:r>
      <w:r>
        <w:t xml:space="preserve"> </w:t>
      </w:r>
      <m:oMath>
        <m:r>
          <m:t>σ</m:t>
        </m:r>
      </m:oMath>
      <w:r>
        <w:t xml:space="preserve"> </w:t>
      </w:r>
      <w:r>
        <w:t xml:space="preserve">is reserved stack-wide for SDE noise intensity.)</w:t>
      </w:r>
      <w:r>
        <w:t xml:space="preserve"> </w:t>
      </w:r>
      <w:r>
        <w:t xml:space="preserve">-</w:t>
      </w:r>
      <w:r>
        <w:t xml:space="preserve"> </w:t>
      </w:r>
      <w:r>
        <w:rPr>
          <w:b/>
          <w:bCs/>
        </w:rPr>
        <w:t xml:space="preserve">H5 — Ordering [SUPPORTED — self-consistency].</w:t>
      </w:r>
      <w:r>
        <w:t xml:space="preserve"> </w:t>
      </w:r>
      <w:r>
        <w:t xml:space="preserve">The decoded activity-peak sequence matched the planted</w:t>
      </w:r>
      <w:r>
        <w:t xml:space="preserve"> </w:t>
      </w:r>
      <m:oMath>
        <m:r>
          <m:t>D</m:t>
        </m:r>
        <m:r>
          <m:rPr>
            <m:sty m:val="p"/>
          </m:rPr>
          <m:t>→</m:t>
        </m:r>
        <m:r>
          <m:t>O</m:t>
        </m:r>
        <m:r>
          <m:rPr>
            <m:sty m:val="p"/>
          </m:rPr>
          <m:t>→</m:t>
        </m:r>
        <m:r>
          <m:t>C</m:t>
        </m:r>
        <m:r>
          <m:rPr>
            <m:sty m:val="p"/>
          </m:rPr>
          <m:t>→</m:t>
        </m:r>
        <m:r>
          <m:t>A</m:t>
        </m:r>
        <m:r>
          <m:rPr>
            <m:sty m:val="p"/>
          </m:rPr>
          <m:t>→</m:t>
        </m:r>
        <m:r>
          <m:t>S</m:t>
        </m:r>
      </m:oMath>
      <w:r>
        <w:t xml:space="preserve"> </w:t>
      </w:r>
      <w:r>
        <w:t xml:space="preserve">order in 100% of episodes (mean Kendall’s</w:t>
      </w:r>
      <w:r>
        <w:t xml:space="preserve"> </w:t>
      </w:r>
      <m:oMath>
        <m:r>
          <m:t>τ</m:t>
        </m:r>
      </m:oMath>
      <w:r>
        <w:t xml:space="preserve"> </w:t>
      </w:r>
      <w:r>
        <w:t xml:space="preserve">= 1.0), against a threshold of</w:t>
      </w:r>
      <w:r>
        <w:t xml:space="preserve"> </w:t>
      </w:r>
      <m:oMath>
        <m:r>
          <m:rPr>
            <m:sty m:val="p"/>
          </m:rPr>
          <m:t>≥</m:t>
        </m:r>
      </m:oMath>
      <w:r>
        <w:t xml:space="preserve"> </w:t>
      </w:r>
      <w:r>
        <w:t xml:space="preserve">70% exact / Kendall’s</w:t>
      </w:r>
      <w:r>
        <w:t xml:space="preserve"> </w:t>
      </w:r>
      <m:oMath>
        <m:r>
          <m:t>τ</m:t>
        </m:r>
      </m:oMath>
      <w:r>
        <w:t xml:space="preserve"> </w:t>
      </w:r>
      <m:oMath>
        <m:r>
          <m:rPr>
            <m:sty m:val="p"/>
          </m:rPr>
          <m:t>≥</m:t>
        </m:r>
      </m:oMath>
      <w:r>
        <w:t xml:space="preserve"> </w:t>
      </w:r>
      <w:r>
        <w:t xml:space="preserve">0.7. Recovering a planted ordering validates the decoder, not the ordering’s physiology.</w:t>
      </w:r>
      <w:r>
        <w:t xml:space="preserve"> </w:t>
      </w:r>
      <w:r>
        <w:t xml:space="preserve">-</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m:oMath>
        <m:sSub>
          <m:e>
            <m:r>
              <m:t>σ</m:t>
            </m:r>
          </m:e>
          <m:sub>
            <m:r>
              <m:rPr>
                <m:sty m:val="p"/>
              </m:rPr>
              <m:t>o</m:t>
            </m:r>
            <m:r>
              <m:rPr>
                <m:sty m:val="p"/>
              </m:rPr>
              <m:t>b</m:t>
            </m:r>
            <m:r>
              <m:rPr>
                <m:sty m:val="p"/>
              </m:rPr>
              <m:t>s</m:t>
            </m:r>
          </m:sub>
        </m:sSub>
        <m:r>
          <m:rPr>
            <m:sty m:val="p"/>
          </m:rPr>
          <m:t>=</m:t>
        </m:r>
        <m:r>
          <m:t>0.05</m:t>
        </m:r>
        <m:r>
          <m:rPr>
            <m:sty m:val="p"/>
          </m:rPr>
          <m:t>/</m:t>
        </m:r>
        <m:r>
          <m:t>0.1</m:t>
        </m:r>
        <m:r>
          <m:rPr>
            <m:sty m:val="p"/>
          </m:rPr>
          <m:t>/</m:t>
        </m:r>
        <m:r>
          <m:t>0.2</m:t>
        </m:r>
        <m:r>
          <m:rPr>
            <m:sty m:val="p"/>
          </m:rPr>
          <m:t>/</m:t>
        </m:r>
        <m:r>
          <m:t>0.4</m:t>
        </m:r>
      </m:oMath>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bookmarkStart w:id="53" w:name="fig:decoder"/>
    <w:p>
      <w:pPr>
        <w:pStyle w:val="CaptionedFigure"/>
      </w:pPr>
      <w:r>
        <w:drawing>
          <wp:inline>
            <wp:extent cx="4907280" cy="1406753"/>
            <wp:effectExtent b="0" l="0" r="0" t="0"/>
            <wp:docPr descr="" title="" id="51" name="Picture"/>
            <a:graphic>
              <a:graphicData uri="http://schemas.openxmlformats.org/drawingml/2006/picture">
                <pic:pic>
                  <pic:nvPicPr>
                    <pic:cNvPr descr="figures/figD_decoder_selfconsistency.png" id="52" name="Picture"/>
                    <pic:cNvPicPr>
                      <a:picLocks noChangeArrowheads="1" noChangeAspect="1"/>
                    </pic:cNvPicPr>
                  </pic:nvPicPr>
                  <pic:blipFill>
                    <a:blip r:embed="rId50"/>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Sim D1 decoder self-consistency (verification re-run, seed 42; planted-structure simulation, not evidence about biology). H4/H6 decodability above the pre-registered</w:t>
      </w:r>
      <w:r>
        <w:t xml:space="preserve"> </w:t>
      </w:r>
      <m:oMath>
        <m:r>
          <m:t>r</m:t>
        </m:r>
        <m:r>
          <m:rPr>
            <m:sty m:val="p"/>
          </m:rPr>
          <m:t>≥</m:t>
        </m:r>
        <m:r>
          <m:t>0.7</m:t>
        </m:r>
      </m:oMath>
      <w:r>
        <w:t xml:space="preserve"> </w:t>
      </w:r>
      <w:r>
        <w:t xml:space="preserve">threshold, graceful degradation in the noise sweep, exact H5 ordering, and the shuffled-mixing null at chance (</w:t>
      </w:r>
      <m:oMath>
        <m:r>
          <m:t>r</m:t>
        </m:r>
        <m:r>
          <m:rPr>
            <m:sty m:val="p"/>
          </m:rPr>
          <m:t>=</m:t>
        </m:r>
        <m:r>
          <m:t>0.054</m:t>
        </m:r>
      </m:oMath>
      <w:r>
        <w:t xml:space="preserve">).</w:t>
      </w:r>
    </w:p>
    <w:bookmarkEnd w:id="53"/>
    <w:bookmarkEnd w:id="54"/>
    <w:bookmarkStart w:id="147" w:name="X36835ac637233a75cb3e3eea2cf2cd0d18c006a"/>
    <w:p>
      <w:pPr>
        <w:pStyle w:val="Heading2"/>
      </w:pPr>
      <w:r>
        <w:t xml:space="preserve">5.4 Forward encoding with the released TRIBE v2 weights</w:t>
      </w:r>
      <w:r>
        <w:t xml:space="preserve"> </w:t>
      </w:r>
      <w:r>
        <w:t xml:space="preserve">[SIMULATION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m:oMath>
        <m:r>
          <m:rPr>
            <m:sty m:val="p"/>
          </m:rPr>
          <m:t>×</m:t>
        </m:r>
      </m:oMath>
      <w:r>
        <w:t xml:space="preserve"> </w:t>
      </w:r>
      <w:r>
        <w:t xml:space="preserve">20,484 fsaverage5 vertices. The pure-Rust port tribev2-rs</w:t>
      </w:r>
      <w:r>
        <w:t xml:space="preserve"> </w:t>
      </w:r>
      <w:r>
        <w:t xml:space="preserve"> </w:t>
      </w:r>
      <w:r>
        <w:t xml:space="preserve">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m:oMath>
        <m:r>
          <m:rPr>
            <m:sty m:val="p"/>
          </m:rPr>
          <m:t>max</m:t>
        </m:r>
        <m:r>
          <m:rPr>
            <m:sty m:val="p"/>
          </m:rPr>
          <m:t>|</m:t>
        </m:r>
        <m:r>
          <m:rPr>
            <m:sty m:val="p"/>
          </m:rPr>
          <m:t>Δ</m:t>
        </m:r>
        <m:r>
          <m:rPr>
            <m:sty m:val="p"/>
          </m:rPr>
          <m:t>|</m:t>
        </m:r>
        <m:r>
          <m:rPr>
            <m:sty m:val="p"/>
          </m:rPr>
          <m:t>=</m:t>
        </m:r>
        <m:r>
          <m:t>0.0</m:t>
        </m:r>
      </m:oMath>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m:oMath>
        <m:r>
          <m:rPr>
            <m:sty m:val="p"/>
          </m:rPr>
          <m:t>max</m:t>
        </m:r>
        <m:r>
          <m:rPr>
            <m:sty m:val="p"/>
          </m:rPr>
          <m:t>|</m:t>
        </m:r>
        <m:r>
          <m:rPr>
            <m:sty m:val="p"/>
          </m:rPr>
          <m:t>Δ</m:t>
        </m:r>
        <m:r>
          <m:rPr>
            <m:sty m:val="p"/>
          </m:rPr>
          <m:t>|</m:t>
        </m:r>
        <m:r>
          <m:rPr>
            <m:sty m:val="p"/>
          </m:rPr>
          <m:t>=</m:t>
        </m:r>
        <m:r>
          <m:t>0.0</m:t>
        </m:r>
      </m:oMath>
      <w:r>
        <w:t xml:space="preserve">); separability reproduced qualitatively — every stimulus pair yields a distinct TR-mean cortical pattern, with pairwise Pearson r spanning</w:t>
      </w:r>
      <w:r>
        <w:t xml:space="preserve"> </w:t>
      </w:r>
      <m:oMath>
        <m:r>
          <m:rPr>
            <m:sty m:val="p"/>
          </m:rPr>
          <m:t>−</m:t>
        </m:r>
        <m:r>
          <m:t>0.33</m:t>
        </m:r>
      </m:oMath>
      <w:r>
        <w:t xml:space="preserve"> </w:t>
      </w:r>
      <w:r>
        <w:t xml:space="preserve">to</w:t>
      </w:r>
      <w:r>
        <w:t xml:space="preserve"> </w:t>
      </w:r>
      <m:oMath>
        <m:r>
          <m:rPr>
            <m:sty m:val="p"/>
          </m:rPr>
          <m:t>+</m:t>
        </m:r>
        <m:r>
          <m:t>0.81</m:t>
        </m:r>
      </m:oMath>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m:oMath>
        <m:r>
          <m:rPr>
            <m:sty m:val="p"/>
          </m:rPr>
          <m:t>−</m:t>
        </m:r>
      </m:oMath>
      <w:r>
        <w:t xml:space="preserve">FAIR contrast concentrates in Default_pCunPCC and Control parcels (16 of the top-20 Schaefer-400 parcels by</w:t>
      </w:r>
      <w:r>
        <w:t xml:space="preserve"> </w:t>
      </w:r>
      <m:oMath>
        <m:r>
          <m:rPr>
            <m:sty m:val="p"/>
          </m:rPr>
          <m:t>|</m:t>
        </m:r>
      </m:oMath>
      <w:r>
        <w:t xml:space="preserve">contrast</w:t>
      </w:r>
      <m:oMath>
        <m:r>
          <m:rPr>
            <m:sty m:val="p"/>
          </m:rPr>
          <m:t>|</m:t>
        </m:r>
      </m:oMath>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w:t>
      </w:r>
      <w:r>
        <w:rPr>
          <w:i/>
          <w:iCs/>
        </w:rPr>
        <w:t xml:space="preserve"> </w:t>
      </w:r>
      <w:r>
        <w:rPr>
          <w:i/>
          <w:iCs/>
        </w:rPr>
        <w:t xml:space="preserve">).</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bookmarkStart w:id="61" w:name="fig:tribe-sep"/>
    <w:tbl>
      <w:tblPr>
        <w:tblStyle w:val="FigureTable"/>
        <w:tblW w:type="auto" w:w="0"/>
        <w:jc w:val="center"/>
        <w:tblLook w:firstRow="0" w:lastRow="0" w:firstColumn="0" w:lastColumn="0"/>
      </w:tblPr>
      <w:tblGrid>
        <w:gridCol w:w="7920"/>
      </w:tblGrid>
      <w:tr>
        <w:tc>
          <w:tcPr/>
          <w:p>
            <w:pPr>
              <w:jc w:val="center"/>
            </w:pPr>
            <w:r>
              <w:drawing>
                <wp:inline>
                  <wp:extent cx="2613660" cy="4853940"/>
                  <wp:effectExtent b="0" l="0" r="0" t="0"/>
                  <wp:docPr descr="image" title="" id="56" name="Picture"/>
                  <a:graphic>
                    <a:graphicData uri="http://schemas.openxmlformats.org/drawingml/2006/picture">
                      <pic:pic>
                        <pic:nvPicPr>
                          <pic:cNvPr descr="figures/fig1_surface_means.png" id="57" name="Picture"/>
                          <pic:cNvPicPr>
                            <a:picLocks noChangeArrowheads="1" noChangeAspect="1"/>
                          </pic:cNvPicPr>
                        </pic:nvPicPr>
                        <pic:blipFill>
                          <a:blip r:embed="rId55"/>
                          <a:stretch>
                            <a:fillRect/>
                          </a:stretch>
                        </pic:blipFill>
                        <pic:spPr bwMode="auto">
                          <a:xfrm>
                            <a:off x="0" y="0"/>
                            <a:ext cx="2613660" cy="4853940"/>
                          </a:xfrm>
                          <a:prstGeom prst="rect">
                            <a:avLst/>
                          </a:prstGeom>
                          <a:noFill/>
                          <a:ln w="9525">
                            <a:noFill/>
                            <a:headEnd/>
                            <a:tailEnd/>
                          </a:ln>
                        </pic:spPr>
                      </pic:pic>
                    </a:graphicData>
                  </a:graphic>
                </wp:inline>
              </w:drawing>
            </w:r>
            <w:r>
              <w:t xml:space="preserve"> </w:t>
            </w:r>
            <w:r>
              <w:drawing>
                <wp:inline>
                  <wp:extent cx="2613660" cy="2111033"/>
                  <wp:effectExtent b="0" l="0" r="0" t="0"/>
                  <wp:docPr descr="image" title="" id="59" name="Picture"/>
                  <a:graphic>
                    <a:graphicData uri="http://schemas.openxmlformats.org/drawingml/2006/picture">
                      <pic:pic>
                        <pic:nvPicPr>
                          <pic:cNvPr descr="figures/fig5_similarity_matrix.png" id="60" name="Picture"/>
                          <pic:cNvPicPr>
                            <a:picLocks noChangeArrowheads="1" noChangeAspect="1"/>
                          </pic:cNvPicPr>
                        </pic:nvPicPr>
                        <pic:blipFill>
                          <a:blip r:embed="rId58"/>
                          <a:stretch>
                            <a:fillRect/>
                          </a:stretch>
                        </pic:blipFill>
                        <pic:spPr bwMode="auto">
                          <a:xfrm>
                            <a:off x="0" y="0"/>
                            <a:ext cx="2613660" cy="2111033"/>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TRIBE v2 submission re-run (official Python reference; deterministic; §5.2;</w:t>
      </w:r>
      <w:r>
        <w:t xml:space="preserve"> </w:t>
      </w:r>
      <w:r>
        <w:rPr>
          <w:b/>
          <w:bCs/>
        </w:rP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m:oMath>
        <m:r>
          <m:t>r</m:t>
        </m:r>
      </m:oMath>
      <w:r>
        <w:t xml:space="preserve"> </w:t>
      </w:r>
      <w:r>
        <w:t xml:space="preserve">from</w:t>
      </w:r>
      <w:r>
        <w:t xml:space="preserve"> </w:t>
      </w:r>
      <m:oMath>
        <m:r>
          <m:rPr>
            <m:sty m:val="p"/>
          </m:rPr>
          <m:t>−</m:t>
        </m:r>
        <m:r>
          <m:t>0.33</m:t>
        </m:r>
      </m:oMath>
      <w:r>
        <w:t xml:space="preserve"> </w:t>
      </w:r>
      <w:r>
        <w:t xml:space="preserve">to</w:t>
      </w:r>
      <w:r>
        <w:t xml:space="preserve"> </w:t>
      </w:r>
      <m:oMath>
        <m:r>
          <m:rPr>
            <m:sty m:val="p"/>
          </m:rPr>
          <m:t>+</m:t>
        </m:r>
        <m:r>
          <m:t>0.81</m:t>
        </m:r>
      </m:oMath>
      <w:r>
        <w:t xml:space="preserve">, all cleanly below 1.0), a qualitative reproduction of the separability claim; values sit below the verbatim-stimulus battery’s 0.82–0.99 because the stimuli are reconstructions, not the originals.</w:t>
      </w:r>
    </w:p>
    <w:bookmarkEnd w:id="61"/>
    <w:bookmarkStart w:id="68" w:name="fig:tribe-contrast"/>
    <w:tbl>
      <w:tblPr>
        <w:tblStyle w:val="FigureTable"/>
        <w:tblW w:type="auto" w:w="0"/>
        <w:jc w:val="center"/>
        <w:tblLook w:firstRow="0" w:lastRow="0" w:firstColumn="0" w:lastColumn="0"/>
      </w:tblPr>
      <w:tblGrid>
        <w:gridCol w:w="7920"/>
      </w:tblGrid>
      <w:tr>
        <w:tc>
          <w:tcPr/>
          <w:p>
            <w:pPr>
              <w:jc w:val="center"/>
            </w:pPr>
            <w:r>
              <w:drawing>
                <wp:inline>
                  <wp:extent cx="2613660" cy="1742440"/>
                  <wp:effectExtent b="0" l="0" r="0" t="0"/>
                  <wp:docPr descr="image" title="" id="63" name="Picture"/>
                  <a:graphic>
                    <a:graphicData uri="http://schemas.openxmlformats.org/drawingml/2006/picture">
                      <pic:pic>
                        <pic:nvPicPr>
                          <pic:cNvPr descr="figures/fig2_contrast_threat_minus_fair.png" id="64" name="Picture"/>
                          <pic:cNvPicPr>
                            <a:picLocks noChangeArrowheads="1" noChangeAspect="1"/>
                          </pic:cNvPicPr>
                        </pic:nvPicPr>
                        <pic:blipFill>
                          <a:blip r:embed="rId62"/>
                          <a:stretch>
                            <a:fillRect/>
                          </a:stretch>
                        </pic:blipFill>
                        <pic:spPr bwMode="auto">
                          <a:xfrm>
                            <a:off x="0" y="0"/>
                            <a:ext cx="2613660" cy="1742440"/>
                          </a:xfrm>
                          <a:prstGeom prst="rect">
                            <a:avLst/>
                          </a:prstGeom>
                          <a:noFill/>
                          <a:ln w="9525">
                            <a:noFill/>
                            <a:headEnd/>
                            <a:tailEnd/>
                          </a:ln>
                        </pic:spPr>
                      </pic:pic>
                    </a:graphicData>
                  </a:graphic>
                </wp:inline>
              </w:drawing>
            </w:r>
            <w:r>
              <w:t xml:space="preserve"> </w:t>
            </w:r>
            <w:r>
              <w:drawing>
                <wp:inline>
                  <wp:extent cx="2613660" cy="1960245"/>
                  <wp:effectExtent b="0" l="0" r="0" t="0"/>
                  <wp:docPr descr="image" title="" id="66" name="Picture"/>
                  <a:graphic>
                    <a:graphicData uri="http://schemas.openxmlformats.org/drawingml/2006/picture">
                      <pic:pic>
                        <pic:nvPicPr>
                          <pic:cNvPr descr="figures/fig3_parcel_bars_threat_minus_fair.png" id="67" name="Picture"/>
                          <pic:cNvPicPr>
                            <a:picLocks noChangeArrowheads="1" noChangeAspect="1"/>
                          </pic:cNvPicPr>
                        </pic:nvPicPr>
                        <pic:blipFill>
                          <a:blip r:embed="rId65"/>
                          <a:stretch>
                            <a:fillRect/>
                          </a:stretch>
                        </pic:blipFill>
                        <pic:spPr bwMode="auto">
                          <a:xfrm>
                            <a:off x="0" y="0"/>
                            <a:ext cx="2613660" cy="1960245"/>
                          </a:xfrm>
                          <a:prstGeom prst="rect">
                            <a:avLst/>
                          </a:prstGeom>
                          <a:noFill/>
                          <a:ln w="9525">
                            <a:noFill/>
                            <a:headEnd/>
                            <a:tailEnd/>
                          </a:ln>
                        </pic:spPr>
                      </pic:pic>
                    </a:graphicData>
                  </a:graphic>
                </wp:inline>
              </w:drawing>
            </w:r>
          </w:p>
        </w:tc>
      </w:tr>
    </w:tbl>
    <w:p>
      <w:pPr>
        <w:pStyle w:val="ImageCaption"/>
      </w:pPr>
      <w:r>
        <w:rPr>
          <w:b/>
          <w:bCs/>
        </w:rPr>
        <w:t xml:space="preserve">Figure 7.</w:t>
      </w:r>
      <w:r>
        <w:t xml:space="preserve"> </w:t>
      </w:r>
      <w:r>
        <w:t xml:space="preserve">Submission re-run, THREAT</w:t>
      </w:r>
      <m:oMath>
        <m:r>
          <m:rPr>
            <m:sty m:val="p"/>
          </m:rPr>
          <m:t>−</m:t>
        </m:r>
      </m:oMath>
      <w:r>
        <w:t xml:space="preserve">FAIR vertex-wise contrast (reconstructed stimuli; descriptive contrast, not an inferential statistic). Left: contrast rendered on fsaverage5 pial surfaces (4 views). Right: top-20 Schaefer-400 parcels by</w:t>
      </w:r>
      <w:r>
        <w:t xml:space="preserve"> </w:t>
      </w:r>
      <m:oMath>
        <m:r>
          <m:rPr>
            <m:sty m:val="p"/>
          </m:rPr>
          <m:t>|</m:t>
        </m:r>
      </m:oMath>
      <w:r>
        <w:t xml:space="preserve">contrast</w:t>
      </w:r>
      <m:oMath>
        <m:r>
          <m:rPr>
            <m:sty m:val="p"/>
          </m:rPr>
          <m:t>|</m:t>
        </m:r>
      </m:oMath>
      <w:r>
        <w:t xml:space="preserve"> </w:t>
      </w:r>
      <w:r>
        <w:t xml:space="preserve">— 16 of 20 are Default-mode (Default_pCunPCC dominant) or Control network parcels, the same network family as the main-text localization, with exact parcels differing across the different texts.</w:t>
      </w:r>
    </w:p>
    <w:bookmarkEnd w:id="68"/>
    <w:bookmarkStart w:id="75" w:name="fig:tribe-net"/>
    <w:tbl>
      <w:tblPr>
        <w:tblStyle w:val="FigureTable"/>
        <w:tblW w:type="auto" w:w="0"/>
        <w:jc w:val="center"/>
        <w:tblLook w:firstRow="0" w:lastRow="0" w:firstColumn="0" w:lastColumn="0"/>
      </w:tblPr>
      <w:tblGrid>
        <w:gridCol w:w="7920"/>
      </w:tblGrid>
      <w:tr>
        <w:tc>
          <w:tcPr/>
          <w:p>
            <w:pPr>
              <w:jc w:val="center"/>
            </w:pPr>
            <w:r>
              <w:drawing>
                <wp:inline>
                  <wp:extent cx="2613660" cy="1742440"/>
                  <wp:effectExtent b="0" l="0" r="0" t="0"/>
                  <wp:docPr descr="image" title="" id="70" name="Picture"/>
                  <a:graphic>
                    <a:graphicData uri="http://schemas.openxmlformats.org/drawingml/2006/picture">
                      <pic:pic>
                        <pic:nvPicPr>
                          <pic:cNvPr descr="figures/fig4_yeo7_network_contrast.png" id="71" name="Picture"/>
                          <pic:cNvPicPr>
                            <a:picLocks noChangeArrowheads="1" noChangeAspect="1"/>
                          </pic:cNvPicPr>
                        </pic:nvPicPr>
                        <pic:blipFill>
                          <a:blip r:embed="rId69"/>
                          <a:stretch>
                            <a:fillRect/>
                          </a:stretch>
                        </pic:blipFill>
                        <pic:spPr bwMode="auto">
                          <a:xfrm>
                            <a:off x="0" y="0"/>
                            <a:ext cx="2613660" cy="1742440"/>
                          </a:xfrm>
                          <a:prstGeom prst="rect">
                            <a:avLst/>
                          </a:prstGeom>
                          <a:noFill/>
                          <a:ln w="9525">
                            <a:noFill/>
                            <a:headEnd/>
                            <a:tailEnd/>
                          </a:ln>
                        </pic:spPr>
                      </pic:pic>
                    </a:graphicData>
                  </a:graphic>
                </wp:inline>
              </w:drawing>
            </w:r>
            <w:r>
              <w:t xml:space="preserve"> </w:t>
            </w:r>
            <w:r>
              <w:drawing>
                <wp:inline>
                  <wp:extent cx="2613660" cy="1306830"/>
                  <wp:effectExtent b="0" l="0" r="0" t="0"/>
                  <wp:docPr descr="image" title="" id="73" name="Picture"/>
                  <a:graphic>
                    <a:graphicData uri="http://schemas.openxmlformats.org/drawingml/2006/picture">
                      <pic:pic>
                        <pic:nvPicPr>
                          <pic:cNvPr descr="figures/fig6_gfp_timeseries.png" id="74" name="Picture"/>
                          <pic:cNvPicPr>
                            <a:picLocks noChangeArrowheads="1" noChangeAspect="1"/>
                          </pic:cNvPicPr>
                        </pic:nvPicPr>
                        <pic:blipFill>
                          <a:blip r:embed="rId72"/>
                          <a:stretch>
                            <a:fillRect/>
                          </a:stretch>
                        </pic:blipFill>
                        <pic:spPr bwMode="auto">
                          <a:xfrm>
                            <a:off x="0" y="0"/>
                            <a:ext cx="2613660" cy="1306830"/>
                          </a:xfrm>
                          <a:prstGeom prst="rect">
                            <a:avLst/>
                          </a:prstGeom>
                          <a:noFill/>
                          <a:ln w="9525">
                            <a:noFill/>
                            <a:headEnd/>
                            <a:tailEnd/>
                          </a:ln>
                        </pic:spPr>
                      </pic:pic>
                    </a:graphicData>
                  </a:graphic>
                </wp:inline>
              </w:drawing>
            </w:r>
          </w:p>
        </w:tc>
      </w:tr>
    </w:tbl>
    <w:p>
      <w:pPr>
        <w:pStyle w:val="ImageCaption"/>
      </w:pPr>
      <w:r>
        <w:rPr>
          <w:b/>
          <w:bCs/>
        </w:rPr>
        <w:t xml:space="preserve">Figure 8.</w:t>
      </w:r>
      <w:r>
        <w:t xml:space="preserve"> </w:t>
      </w:r>
      <w:r>
        <w:t xml:space="preserve">Submission re-run, network-level summary and dynamics. Left: Yeo-7 network means</w:t>
      </w:r>
      <w:r>
        <w:t xml:space="preserve"> </w:t>
      </w:r>
      <m:oMath>
        <m:r>
          <m:rPr>
            <m:sty m:val="p"/>
          </m:rPr>
          <m:t>±</m:t>
        </m:r>
      </m:oMath>
      <w:r>
        <w:t xml:space="preserve"> </w:t>
      </w:r>
      <w:r>
        <w:t xml:space="preserve">SEM of the THREAT</w:t>
      </w:r>
      <m:oMath>
        <m:r>
          <m:rPr>
            <m:sty m:val="p"/>
          </m:rPr>
          <m:t>−</m:t>
        </m:r>
      </m:oMath>
      <w:r>
        <w:t xml:space="preserve">FAIR contrast. Right: global field power (vertex-wise SD) over the 100 predicted TRs per stimulus (deterministic; §5.2).</w:t>
      </w:r>
    </w:p>
    <w:bookmarkEnd w:id="75"/>
    <w:bookmarkStart w:id="79" w:name="fig:n1sep"/>
    <w:p>
      <w:pPr>
        <w:pStyle w:val="CaptionedFigure"/>
      </w:pPr>
      <w:r>
        <w:drawing>
          <wp:inline>
            <wp:extent cx="4907280" cy="4041289"/>
            <wp:effectExtent b="0" l="0" r="0" t="0"/>
            <wp:docPr descr="" title="" id="77" name="Picture"/>
            <a:graphic>
              <a:graphicData uri="http://schemas.openxmlformats.org/drawingml/2006/picture">
                <pic:pic>
                  <pic:nvPicPr>
                    <pic:cNvPr descr="figures/fig_n1_separability_matrix.png" id="78" name="Picture"/>
                    <pic:cNvPicPr>
                      <a:picLocks noChangeArrowheads="1" noChangeAspect="1"/>
                    </pic:cNvPicPr>
                  </pic:nvPicPr>
                  <pic:blipFill>
                    <a:blip r:embed="rId76"/>
                    <a:stretch>
                      <a:fillRect/>
                    </a:stretch>
                  </pic:blipFill>
                  <pic:spPr bwMode="auto">
                    <a:xfrm>
                      <a:off x="0" y="0"/>
                      <a:ext cx="4907280" cy="404128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Extended battery, N.1 separability (§5.2;</w:t>
      </w:r>
      <w:r>
        <w:t xml:space="preserve"> </w:t>
      </w:r>
      <w:r>
        <w:rPr>
          <w:b/>
          <w:bCs/>
        </w:rPr>
        <w:t xml:space="preserve">reconstruction-from-spec battery, pending bit-identity against</w:t>
      </w:r>
      <w:r>
        <w:rPr>
          <w:b/>
          <w:bCs/>
        </w:rPr>
        <w:t xml:space="preserve"> </w:t>
      </w:r>
      <w:r>
        <w:rPr>
          <w:rStyle w:val="VerbatimChar"/>
          <w:b/>
          <w:bCs/>
        </w:rPr>
        <w:t xml:space="preserve">battery27_manifest.json</w:t>
      </w:r>
      <w:r>
        <w:t xml:space="preserve">):</w:t>
      </w:r>
      <w:r>
        <w:t xml:space="preserve"> </w:t>
      </w:r>
      <m:oMath>
        <m:r>
          <m:t>27</m:t>
        </m:r>
        <m:r>
          <m:rPr>
            <m:sty m:val="p"/>
          </m:rPr>
          <m:t>×</m:t>
        </m:r>
        <m:r>
          <m:t>27</m:t>
        </m:r>
      </m:oMath>
      <w:r>
        <w:t xml:space="preserve"> </w:t>
      </w:r>
      <w:r>
        <w:t xml:space="preserve">pairwise Pearson correlation of TR-mean predicted cortical patterns from the canonical pipeline (no-BOS LLaMA-3.2-3B, layers 17 &amp; 24, 100-TR resample, real TRIBE v2). Within-category mean</w:t>
      </w:r>
      <w:r>
        <w:t xml:space="preserve"> </w:t>
      </w:r>
      <m:oMath>
        <m:r>
          <m:t>r</m:t>
        </m:r>
        <m:r>
          <m:rPr>
            <m:sty m:val="p"/>
          </m:rPr>
          <m:t>=</m:t>
        </m:r>
        <m:r>
          <m:t>0.991</m:t>
        </m:r>
      </m:oMath>
      <w:r>
        <w:t xml:space="preserve">, between-category</w:t>
      </w:r>
      <w:r>
        <w:t xml:space="preserve"> </w:t>
      </w:r>
      <m:oMath>
        <m:r>
          <m:t>r</m:t>
        </m:r>
        <m:r>
          <m:rPr>
            <m:sty m:val="p"/>
          </m:rPr>
          <m:t>=</m:t>
        </m:r>
        <m:r>
          <m:t>0.908</m:t>
        </m:r>
      </m:oMath>
      <w:r>
        <w:t xml:space="preserve">, minimum pair</w:t>
      </w:r>
      <w:r>
        <w:t xml:space="preserve"> </w:t>
      </w:r>
      <m:oMath>
        <m:r>
          <m:t>r</m:t>
        </m:r>
        <m:r>
          <m:rPr>
            <m:sty m:val="p"/>
          </m:rPr>
          <m:t>=</m:t>
        </m:r>
        <m:r>
          <m:t>0.708</m:t>
        </m:r>
      </m:oMath>
      <w:r>
        <w:t xml:space="preserve">; all 351 pairs distinct (max off-diagonal 0.998</w:t>
      </w:r>
      <w:r>
        <w:t xml:space="preserve"> </w:t>
      </w:r>
      <m:oMath>
        <m:r>
          <m:rPr>
            <m:sty m:val="p"/>
          </m:rPr>
          <m:t>&lt;</m:t>
        </m:r>
        <m:r>
          <m:t>1</m:t>
        </m:r>
      </m:oMath>
      <w:r>
        <w:t xml:space="preserve">). Within-category values are inflated by the reconstruction’s one-template-per-category lexicon — a reconstruction property, not a model property (deterministic; §5.2).</w:t>
      </w:r>
    </w:p>
    <w:bookmarkEnd w:id="79"/>
    <w:bookmarkStart w:id="83" w:name="fig:n1catmat"/>
    <w:p>
      <w:pPr>
        <w:pStyle w:val="CaptionedFigure"/>
      </w:pPr>
      <w:r>
        <w:drawing>
          <wp:inline>
            <wp:extent cx="4907280" cy="4030109"/>
            <wp:effectExtent b="0" l="0" r="0" t="0"/>
            <wp:docPr descr="" title="" id="81" name="Picture"/>
            <a:graphic>
              <a:graphicData uri="http://schemas.openxmlformats.org/drawingml/2006/picture">
                <pic:pic>
                  <pic:nvPicPr>
                    <pic:cNvPr descr="figures/fig_n1_category_contrast_matrix.png" id="82" name="Picture"/>
                    <pic:cNvPicPr>
                      <a:picLocks noChangeArrowheads="1" noChangeAspect="1"/>
                    </pic:cNvPicPr>
                  </pic:nvPicPr>
                  <pic:blipFill>
                    <a:blip r:embed="rId80"/>
                    <a:stretch>
                      <a:fillRect/>
                    </a:stretch>
                  </pic:blipFill>
                  <pic:spPr bwMode="auto">
                    <a:xfrm>
                      <a:off x="0" y="0"/>
                      <a:ext cx="4907280" cy="4030109"/>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Extended battery, N.1 category structure (same reconstruction-from-spec label as Figure 9):</w:t>
      </w:r>
      <w:r>
        <w:t xml:space="preserve"> </w:t>
      </w:r>
      <m:oMath>
        <m:r>
          <m:t>6</m:t>
        </m:r>
        <m:r>
          <m:rPr>
            <m:sty m:val="p"/>
          </m:rPr>
          <m:t>×</m:t>
        </m:r>
        <m:r>
          <m:t>6</m:t>
        </m:r>
      </m:oMath>
      <w:r>
        <w:t xml:space="preserve"> </w:t>
      </w:r>
      <w:r>
        <w:t xml:space="preserve">matrix of category mean-map correlations. Every offer category is distinct at category level; category contrasts vs. CONTROL: PREDATORY largest (mean</w:t>
      </w:r>
      <w:r>
        <w:t xml:space="preserve"> </w:t>
      </w:r>
      <m:oMath>
        <m:r>
          <m:rPr>
            <m:sty m:val="p"/>
          </m:rPr>
          <m:t>|</m:t>
        </m:r>
        <m:r>
          <m:rPr>
            <m:sty m:val="p"/>
          </m:rPr>
          <m:t>Δ</m:t>
        </m:r>
        <m:r>
          <m:rPr>
            <m:sty m:val="p"/>
          </m:rPr>
          <m:t>|</m:t>
        </m:r>
      </m:oMath>
      <w:r>
        <w:t xml:space="preserve"> </w:t>
      </w:r>
      <w:r>
        <w:t xml:space="preserve">0.070, max 0.349), then FAIR (0.053), TEASER (0.050), TRUST_SIGNAL (0.030), THREAT (0.026).</w:t>
      </w:r>
    </w:p>
    <w:bookmarkEnd w:id="83"/>
    <w:bookmarkStart w:id="87" w:name="fig:n1contrasts"/>
    <w:p>
      <w:pPr>
        <w:pStyle w:val="CaptionedFigure"/>
      </w:pPr>
      <w:r>
        <w:drawing>
          <wp:inline>
            <wp:extent cx="5334000" cy="11049000"/>
            <wp:effectExtent b="0" l="0" r="0" t="0"/>
            <wp:docPr descr="" title="" id="85" name="Picture"/>
            <a:graphic>
              <a:graphicData uri="http://schemas.openxmlformats.org/drawingml/2006/picture">
                <pic:pic>
                  <pic:nvPicPr>
                    <pic:cNvPr descr="figures/fig_n1_category_contrasts.png" id="86" name="Picture"/>
                    <pic:cNvPicPr>
                      <a:picLocks noChangeArrowheads="1" noChangeAspect="1"/>
                    </pic:cNvPicPr>
                  </pic:nvPicPr>
                  <pic:blipFill>
                    <a:blip r:embed="rId84"/>
                    <a:stretch>
                      <a:fillRect/>
                    </a:stretch>
                  </pic:blipFill>
                  <pic:spPr bwMode="auto">
                    <a:xfrm>
                      <a:off x="0" y="0"/>
                      <a:ext cx="5334000" cy="11049000"/>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Extended battery, N.1 vertex-wise contrasts (same reconstruction-from-spec label as Figure 9): per-category</w:t>
      </w:r>
      <w:r>
        <w:t xml:space="preserve"> </w:t>
      </w:r>
      <m:oMath>
        <m:r>
          <m:rPr>
            <m:sty m:val="p"/>
          </m:rPr>
          <m:t>−</m:t>
        </m:r>
      </m:oMath>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bookmarkEnd w:id="87"/>
    <w:bookmarkStart w:id="91" w:name="fig:viz-catmaps"/>
    <w:p>
      <w:pPr>
        <w:pStyle w:val="CaptionedFigure"/>
      </w:pPr>
      <w:r>
        <w:drawing>
          <wp:inline>
            <wp:extent cx="5227320" cy="6634675"/>
            <wp:effectExtent b="0" l="0" r="0" t="0"/>
            <wp:docPr descr="" title="" id="89" name="Picture"/>
            <a:graphic>
              <a:graphicData uri="http://schemas.openxmlformats.org/drawingml/2006/picture">
                <pic:pic>
                  <pic:nvPicPr>
                    <pic:cNvPr descr="figures/viz1a_category_mean_maps.png" id="90" name="Picture"/>
                    <pic:cNvPicPr>
                      <a:picLocks noChangeArrowheads="1" noChangeAspect="1"/>
                    </pic:cNvPicPr>
                  </pic:nvPicPr>
                  <pic:blipFill>
                    <a:blip r:embed="rId88"/>
                    <a:stretch>
                      <a:fillRect/>
                    </a:stretch>
                  </pic:blipFill>
                  <pic:spPr bwMode="auto">
                    <a:xfrm>
                      <a:off x="0" y="0"/>
                      <a:ext cx="5227320" cy="6634675"/>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m:oMath>
        <m:r>
          <m:rPr>
            <m:sty m:val="p"/>
          </m:rPr>
          <m:t>×</m:t>
        </m:r>
      </m:oMath>
      <w:r>
        <w:t xml:space="preserve"> </w:t>
      </w:r>
      <w:r>
        <w:t xml:space="preserve">4 views (LH lateral/medial, RH medial/lateral), shared symmetric color scale (</w:t>
      </w:r>
      <m:oMath>
        <m:r>
          <m:rPr>
            <m:sty m:val="p"/>
          </m:rPr>
          <m:t>±</m:t>
        </m:r>
      </m:oMath>
      <w:r>
        <w:t xml:space="preserve">98th percentile).</w:t>
      </w:r>
      <w:r>
        <w:t xml:space="preserve"> </w:t>
      </w:r>
      <w:r>
        <w:rPr>
          <w:i/>
          <w:iCs/>
        </w:rP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bookmarkEnd w:id="91"/>
    <w:bookmarkStart w:id="95" w:name="fig:viz-contrast"/>
    <w:p>
      <w:pPr>
        <w:pStyle w:val="CaptionedFigure"/>
      </w:pPr>
      <w:r>
        <w:drawing>
          <wp:inline>
            <wp:extent cx="5227320" cy="3554577"/>
            <wp:effectExtent b="0" l="0" r="0" t="0"/>
            <wp:docPr descr="" title="" id="93" name="Picture"/>
            <a:graphic>
              <a:graphicData uri="http://schemas.openxmlformats.org/drawingml/2006/picture">
                <pic:pic>
                  <pic:nvPicPr>
                    <pic:cNvPr descr="figures/viz1b_contrast_threat_minus_fair.png" id="94" name="Picture"/>
                    <pic:cNvPicPr>
                      <a:picLocks noChangeArrowheads="1" noChangeAspect="1"/>
                    </pic:cNvPicPr>
                  </pic:nvPicPr>
                  <pic:blipFill>
                    <a:blip r:embed="rId92"/>
                    <a:stretch>
                      <a:fillRect/>
                    </a:stretch>
                  </pic:blipFill>
                  <pic:spPr bwMode="auto">
                    <a:xfrm>
                      <a:off x="0" y="0"/>
                      <a:ext cx="5227320" cy="3554577"/>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Extended battery, vertex-wise THREAT</w:t>
      </w:r>
      <m:oMath>
        <m:r>
          <m:rPr>
            <m:sty m:val="p"/>
          </m:rPr>
          <m:t>−</m:t>
        </m:r>
      </m:oMath>
      <w:r>
        <w:t xml:space="preserve">FAIR category-mean contrast (4 views;</w:t>
      </w:r>
      <w:r>
        <w:t xml:space="preserve"> </w:t>
      </w:r>
      <m:oMath>
        <m:r>
          <m:rPr>
            <m:sty m:val="p"/>
          </m:rPr>
          <m:t>±</m:t>
        </m:r>
      </m:oMath>
      <w:r>
        <w:t xml:space="preserve">99th-percentile scale; same reconstruction-from-spec provenance as Figure 12: real TRIBE v2 predictions on reconstructed-from-spec stimuli, rendered with nilearn on fsaverage5).</w:t>
      </w:r>
      <w:r>
        <w:t xml:space="preserve"> </w:t>
      </w:r>
      <w:r>
        <w:rPr>
          <w:b/>
          <w:bCs/>
        </w:rPr>
        <w:t xml:space="preserve">Descriptive contrast, not an inferential statistic</w:t>
      </w:r>
      <w:r>
        <w:t xml:space="preserve"> </w:t>
      </w:r>
      <w:r>
        <w:t xml:space="preserve">— no inferential effect size is reported (§5.2: no valid effect-size denominator exists for a deterministic model).</w:t>
      </w:r>
    </w:p>
    <w:bookmarkEnd w:id="95"/>
    <w:bookmarkStart w:id="99" w:name="fig:viz-yeo7"/>
    <w:p>
      <w:pPr>
        <w:pStyle w:val="CaptionedFigure"/>
      </w:pPr>
      <w:r>
        <w:drawing>
          <wp:inline>
            <wp:extent cx="5227320" cy="1921330"/>
            <wp:effectExtent b="0" l="0" r="0" t="0"/>
            <wp:docPr descr="" title="" id="97" name="Picture"/>
            <a:graphic>
              <a:graphicData uri="http://schemas.openxmlformats.org/drawingml/2006/picture">
                <pic:pic>
                  <pic:nvPicPr>
                    <pic:cNvPr descr="figures/viz1c_yeo7_network_summary.png" id="98" name="Picture"/>
                    <pic:cNvPicPr>
                      <a:picLocks noChangeArrowheads="1" noChangeAspect="1"/>
                    </pic:cNvPicPr>
                  </pic:nvPicPr>
                  <pic:blipFill>
                    <a:blip r:embed="rId96"/>
                    <a:stretch>
                      <a:fillRect/>
                    </a:stretch>
                  </pic:blipFill>
                  <pic:spPr bwMode="auto">
                    <a:xfrm>
                      <a:off x="0" y="0"/>
                      <a:ext cx="5227320" cy="1921330"/>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m:oMath>
        <m:r>
          <m:t>5</m:t>
        </m:r>
        <m:r>
          <m:rPr>
            <m:sty m:val="p"/>
          </m:rPr>
          <m:t>×</m:t>
        </m:r>
        <m:r>
          <m:t>7</m:t>
        </m:r>
      </m:oMath>
      <w:r>
        <w:t xml:space="preserve"> </w:t>
      </w:r>
      <w:r>
        <w:t xml:space="preserve">heatmap of category</w:t>
      </w:r>
      <m:oMath>
        <m:r>
          <m:rPr>
            <m:sty m:val="p"/>
          </m:rPr>
          <m:t>−</m:t>
        </m:r>
      </m:oMath>
      <w:r>
        <w:t xml:space="preserve">CONTROL mean</w:t>
      </w:r>
      <w:r>
        <w:t xml:space="preserve"> </w:t>
      </w:r>
      <m:oMath>
        <m:r>
          <m:rPr>
            <m:sty m:val="p"/>
          </m:rPr>
          <m:t>Δ</m:t>
        </m:r>
      </m:oMath>
      <w:r>
        <w:t xml:space="preserve"> </w:t>
      </w:r>
      <w:r>
        <w:t xml:space="preserve">per Yeo-7 network (values annotated). (b) THREAT</w:t>
      </w:r>
      <m:oMath>
        <m:r>
          <m:rPr>
            <m:sty m:val="p"/>
          </m:rPr>
          <m:t>−</m:t>
        </m:r>
      </m:oMath>
      <w:r>
        <w:t xml:space="preserve">FAIR network bars, mean</w:t>
      </w:r>
      <w:r>
        <w:t xml:space="preserve"> </w:t>
      </w:r>
      <m:oMath>
        <m:r>
          <m:rPr>
            <m:sty m:val="p"/>
          </m:rPr>
          <m:t>±</m:t>
        </m:r>
      </m:oMath>
      <w:r>
        <w:t xml:space="preserve"> </w:t>
      </w:r>
      <w:r>
        <w:t xml:space="preserve">SEM over parcels: Cont (largest negative,</w:t>
      </w:r>
      <w:r>
        <w:t xml:space="preserve"> </w:t>
      </w:r>
      <m:oMath>
        <m:r>
          <m:rPr>
            <m:sty m:val="p"/>
          </m:rPr>
          <m:t>−</m:t>
        </m:r>
        <m:r>
          <m:t>0.045</m:t>
        </m:r>
      </m:oMath>
      <w:r>
        <w:t xml:space="preserve">), DorsAttn (</w:t>
      </w:r>
      <m:oMath>
        <m:r>
          <m:rPr>
            <m:sty m:val="p"/>
          </m:rPr>
          <m:t>−</m:t>
        </m:r>
        <m:r>
          <m:t>0.032</m:t>
        </m:r>
      </m:oMath>
      <w:r>
        <w:t xml:space="preserve">), SalVentAttn (</w:t>
      </w:r>
      <m:oMath>
        <m:r>
          <m:rPr>
            <m:sty m:val="p"/>
          </m:rPr>
          <m:t>−</m:t>
        </m:r>
        <m:r>
          <m:t>0.024</m:t>
        </m:r>
      </m:oMath>
      <w:r>
        <w:t xml:space="preserve">) negative; Vis positive (</w:t>
      </w:r>
      <m:oMath>
        <m:r>
          <m:rPr>
            <m:sty m:val="p"/>
          </m:rPr>
          <m:t>+</m:t>
        </m:r>
        <m:r>
          <m:t>0.017</m:t>
        </m:r>
      </m:oMath>
      <w:r>
        <w:t xml:space="preserve">) — consistent with §5.2’s control/dorsal-attention/default-mode localization, reported descriptively.</w:t>
      </w:r>
    </w:p>
    <w:bookmarkEnd w:id="99"/>
    <w:bookmarkStart w:id="103" w:name="fig:n3decode"/>
    <w:p>
      <w:pPr>
        <w:pStyle w:val="CaptionedFigure"/>
      </w:pPr>
      <w:r>
        <w:drawing>
          <wp:inline>
            <wp:extent cx="4907280" cy="2944368"/>
            <wp:effectExtent b="0" l="0" r="0" t="0"/>
            <wp:docPr descr="" title="" id="101" name="Picture"/>
            <a:graphic>
              <a:graphicData uri="http://schemas.openxmlformats.org/drawingml/2006/picture">
                <pic:pic>
                  <pic:nvPicPr>
                    <pic:cNvPr descr="figures/fig_n3_decode_bars.png" id="102" name="Picture"/>
                    <pic:cNvPicPr>
                      <a:picLocks noChangeArrowheads="1" noChangeAspect="1"/>
                    </pic:cNvPicPr>
                  </pic:nvPicPr>
                  <pic:blipFill>
                    <a:blip r:embed="rId100"/>
                    <a:stretch>
                      <a:fillRect/>
                    </a:stretch>
                  </pic:blipFill>
                  <pic:spPr bwMode="auto">
                    <a:xfrm>
                      <a:off x="0" y="0"/>
                      <a:ext cx="4907280" cy="2944368"/>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Extended battery, N.3 Gallant-style decode with the</w:t>
      </w:r>
      <w:r>
        <w:t xml:space="preserve"> </w:t>
      </w:r>
      <w:r>
        <w:rPr>
          <w:b/>
          <w:bCs/>
        </w:rP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m:oMath>
        <m:r>
          <m:t>r</m:t>
        </m:r>
        <m:r>
          <m:rPr>
            <m:sty m:val="p"/>
          </m:rPr>
          <m:t>=</m:t>
        </m:r>
        <m:r>
          <m:t>0.181</m:t>
        </m:r>
      </m:oMath>
      <w:r>
        <w:t xml:space="preserve">,</w:t>
      </w:r>
      <w:r>
        <w:t xml:space="preserve"> </w:t>
      </w:r>
      <m:oMath>
        <m:r>
          <m:t>p</m:t>
        </m:r>
        <m:r>
          <m:rPr>
            <m:sty m:val="p"/>
          </m:rPr>
          <m:t>=</m:t>
        </m:r>
        <m:r>
          <m:t>0.0005</m:t>
        </m:r>
      </m:oMath>
      <w:r>
        <w:t xml:space="preserve">, resolution-limited at 2</w:t>
      </w:r>
      <w:r>
        <w:t xml:space="preserve">,</w:t>
      </w:r>
      <w:r>
        <w:t xml:space="preserve">000 permutations); exact stimulus retrieval is NULL (top-1 0.037,</w:t>
      </w:r>
      <w:r>
        <w:t xml:space="preserve"> </w:t>
      </w:r>
      <m:oMath>
        <m:r>
          <m:t>p</m:t>
        </m:r>
        <m:r>
          <m:rPr>
            <m:sty m:val="p"/>
          </m:rPr>
          <m:t>=</m:t>
        </m:r>
        <m:r>
          <m:t>1.0</m:t>
        </m:r>
      </m:oMath>
      <w:r>
        <w:t xml:space="preserve">) and Procrustes alignment is NULL (</w:t>
      </w:r>
      <m:oMath>
        <m:r>
          <m:t>r</m:t>
        </m:r>
        <m:r>
          <m:rPr>
            <m:sty m:val="p"/>
          </m:rPr>
          <m:t>=</m:t>
        </m:r>
        <m:r>
          <m:rPr>
            <m:sty m:val="p"/>
          </m:rPr>
          <m:t>−</m:t>
        </m:r>
        <m:r>
          <m:t>0.058</m:t>
        </m:r>
      </m:oMath>
      <w:r>
        <w:t xml:space="preserve">,</w:t>
      </w:r>
      <w:r>
        <w:t xml:space="preserve"> </w:t>
      </w:r>
      <m:oMath>
        <m:r>
          <m:t>p</m:t>
        </m:r>
        <m:r>
          <m:rPr>
            <m:sty m:val="p"/>
          </m:rPr>
          <m:t>=</m:t>
        </m:r>
        <m:r>
          <m:t>0.769</m:t>
        </m:r>
      </m:oMath>
      <w:r>
        <w:t xml:space="preserve">) — matching the original battery’s reported null pattern (reference only). Category leave-one-out decode is perfect (1.000,</w:t>
      </w:r>
      <w:r>
        <w:t xml:space="preserve"> </w:t>
      </w:r>
      <m:oMath>
        <m:r>
          <m:t>p</m:t>
        </m:r>
        <m:r>
          <m:rPr>
            <m:sty m:val="p"/>
          </m:rPr>
          <m:t>=</m:t>
        </m:r>
        <m:r>
          <m:t>0.0005</m:t>
        </m:r>
      </m:oMath>
      <w:r>
        <w:t xml:space="preserve">) but is driven by the reconstruction’s templatic within-category lexicon — the semantic-only control decodes at 1.000 too — and is explicitly NOT comparable to the original battery’s 0.40.</w:t>
      </w:r>
    </w:p>
    <w:bookmarkEnd w:id="103"/>
    <w:bookmarkStart w:id="107" w:name="fig:n4clics"/>
    <w:p>
      <w:pPr>
        <w:pStyle w:val="CaptionedFigure"/>
      </w:pPr>
      <w:r>
        <w:drawing>
          <wp:inline>
            <wp:extent cx="4907280" cy="4089400"/>
            <wp:effectExtent b="0" l="0" r="0" t="0"/>
            <wp:docPr descr="" title="" id="105" name="Picture"/>
            <a:graphic>
              <a:graphicData uri="http://schemas.openxmlformats.org/drawingml/2006/picture">
                <pic:pic>
                  <pic:nvPicPr>
                    <pic:cNvPr descr="figures/fig_n4_clics_heatmap.png" id="106" name="Picture"/>
                    <pic:cNvPicPr>
                      <a:picLocks noChangeArrowheads="1" noChangeAspect="1"/>
                    </pic:cNvPicPr>
                  </pic:nvPicPr>
                  <pic:blipFill>
                    <a:blip r:embed="rId104"/>
                    <a:stretch>
                      <a:fillRect/>
                    </a:stretch>
                  </pic:blipFill>
                  <pic:spPr bwMode="auto">
                    <a:xfrm>
                      <a:off x="0" y="0"/>
                      <a:ext cx="4907280" cy="4089400"/>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Extended battery, N.4 CLICS4 overlap (same reconstruction-from-spec label as Figure 9; real CLICS4 CLDF graph, 1,725 nodes / 51,562 edges): category-vocabulary</w:t>
      </w:r>
      <w:r>
        <w:t xml:space="preserve"> </w:t>
      </w:r>
      <m:oMath>
        <m:r>
          <m:rPr>
            <m:sty m:val="p"/>
          </m:rPr>
          <m:t>→</m:t>
        </m:r>
      </m:oMath>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m:oMath>
        <m:r>
          <m:rPr>
            <m:sty m:val="p"/>
          </m:rPr>
          <m:t>≈</m:t>
        </m:r>
        <m:r>
          <m:t>0</m:t>
        </m:r>
      </m:oMath>
      <w:r>
        <w:t xml:space="preserve"> </w:t>
      </w:r>
      <w:r>
        <w:t xml:space="preserve">from its own channel lexicon and</w:t>
      </w:r>
      <w:r>
        <w:t xml:space="preserve"> </w:t>
      </w:r>
      <m:oMath>
        <m:r>
          <m:rPr>
            <m:sty m:val="p"/>
          </m:rPr>
          <m:t>≥</m:t>
        </m:r>
        <m:r>
          <m:t>0.5</m:t>
        </m:r>
      </m:oMath>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bookmarkEnd w:id="107"/>
    <w:bookmarkStart w:id="111" w:name="fig:bridge-cos"/>
    <w:p>
      <w:pPr>
        <w:pStyle w:val="CaptionedFigure"/>
      </w:pPr>
      <w:r>
        <w:drawing>
          <wp:inline>
            <wp:extent cx="4907280" cy="3007687"/>
            <wp:effectExtent b="0" l="0" r="0" t="0"/>
            <wp:docPr descr="" title="" id="109" name="Picture"/>
            <a:graphic>
              <a:graphicData uri="http://schemas.openxmlformats.org/drawingml/2006/picture">
                <pic:pic>
                  <pic:nvPicPr>
                    <pic:cNvPr descr="figures/bridge_a_cosine_dist.png" id="110" name="Picture"/>
                    <pic:cNvPicPr>
                      <a:picLocks noChangeArrowheads="1" noChangeAspect="1"/>
                    </pic:cNvPicPr>
                  </pic:nvPicPr>
                  <pic:blipFill>
                    <a:blip r:embed="rId108"/>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Supervised LLaMA</w:t>
      </w:r>
      <w:r>
        <w:t xml:space="preserve"> </w:t>
      </w:r>
      <m:oMath>
        <m:r>
          <m:rPr>
            <m:sty m:val="p"/>
          </m:rPr>
          <m:t>→</m:t>
        </m:r>
      </m:oMath>
      <w:r>
        <w:t xml:space="preserve"> </w:t>
      </w:r>
      <w:r>
        <w:t xml:space="preserve">eng1000 ridge bridge (§5.2) — held-out cosine, reported only against its null (</w:t>
      </w:r>
      <m:oMath>
        <m:r>
          <m:t>N</m:t>
        </m:r>
        <m:r>
          <m:rPr>
            <m:sty m:val="p"/>
          </m:rPr>
          <m:t>=</m:t>
        </m:r>
        <m:r>
          <m:t>640</m:t>
        </m:r>
      </m:oMath>
      <w:r>
        <w:t xml:space="preserve"> </w:t>
      </w:r>
      <w:r>
        <w:t xml:space="preserve">paired real NQ-corpus texts, 64-token chunks, eng1000 coverage</w:t>
      </w:r>
      <w:r>
        <w:t xml:space="preserve"> </w:t>
      </w:r>
      <m:oMath>
        <m:r>
          <m:rPr>
            <m:sty m:val="p"/>
          </m:rPr>
          <m:t>≥</m:t>
        </m:r>
        <m:r>
          <m:t>0.5</m:t>
        </m:r>
      </m:oMath>
      <w:r>
        <w:t xml:space="preserve">; 512 train / 128 held-out; seed 42; ridge</w:t>
      </w:r>
      <w:r>
        <w:t xml:space="preserve"> </w:t>
      </w:r>
      <m:oMath>
        <m:r>
          <m:t>α</m:t>
        </m:r>
        <m:r>
          <m:rPr>
            <m:sty m:val="p"/>
          </m:rPr>
          <m:t>=</m:t>
        </m:r>
        <m:r>
          <m:t>3162</m:t>
        </m:r>
      </m:oMath>
      <w:r>
        <w:t xml:space="preserve"> </w:t>
      </w:r>
      <w:r>
        <w:t xml:space="preserve">by 5-fold CV). Held-out paired mean cosine 0.965 vs. random-pairing null mean 0.866 (null p95 0.874); permutation</w:t>
      </w:r>
      <w:r>
        <w:t xml:space="preserve"> </w:t>
      </w:r>
      <m:oMath>
        <m:r>
          <m:t>p</m:t>
        </m:r>
        <m:r>
          <m:rPr>
            <m:sty m:val="p"/>
          </m:rPr>
          <m:t>=</m:t>
        </m:r>
        <m:r>
          <m:t>0.0005</m:t>
        </m:r>
      </m:oMath>
      <w:r>
        <w:t xml:space="preserve"> </w:t>
      </w:r>
      <w:r>
        <w:t xml:space="preserve">(2</w:t>
      </w:r>
      <w:r>
        <w:t xml:space="preserve">,</w:t>
      </w:r>
      <w:r>
        <w:t xml:space="preserve">000 reps). The null is high because eng1000 is anisotropic — the signal is paired</w:t>
      </w:r>
      <w:r>
        <w:t xml:space="preserve"> </w:t>
      </w:r>
      <m:oMath>
        <m:r>
          <m:rPr>
            <m:sty m:val="p"/>
          </m:rPr>
          <m:t>≫</m:t>
        </m:r>
      </m:oMath>
      <w:r>
        <w:t xml:space="preserve"> </w:t>
      </w:r>
      <w:r>
        <w:t xml:space="preserve">null, not the absolute cosine value.</w:t>
      </w:r>
    </w:p>
    <w:bookmarkEnd w:id="111"/>
    <w:bookmarkStart w:id="115" w:name="fig:bridge-topk"/>
    <w:p>
      <w:pPr>
        <w:pStyle w:val="CaptionedFigure"/>
      </w:pPr>
      <w:r>
        <w:drawing>
          <wp:inline>
            <wp:extent cx="4907280" cy="3007687"/>
            <wp:effectExtent b="0" l="0" r="0" t="0"/>
            <wp:docPr descr="" title="" id="113" name="Picture"/>
            <a:graphic>
              <a:graphicData uri="http://schemas.openxmlformats.org/drawingml/2006/picture">
                <pic:pic>
                  <pic:nvPicPr>
                    <pic:cNvPr descr="figures/bridge_b_topk.png" id="114" name="Picture"/>
                    <pic:cNvPicPr>
                      <a:picLocks noChangeArrowheads="1" noChangeAspect="1"/>
                    </pic:cNvPicPr>
                  </pic:nvPicPr>
                  <pic:blipFill>
                    <a:blip r:embed="rId112"/>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18.</w:t>
      </w:r>
      <w:r>
        <w:t xml:space="preserve"> </w:t>
      </w:r>
      <w:r>
        <w:t xml:space="preserve">Bridge retrieval on the 128 held-out pairs (§5.2). Top-1 0.398 vs. chance 0.0078 (51</w:t>
      </w:r>
      <m:oMath>
        <m:r>
          <m:rPr>
            <m:sty m:val="p"/>
          </m:rPr>
          <m:t>×</m:t>
        </m:r>
      </m:oMath>
      <w:r>
        <w:t xml:space="preserve">), top-5 0.594 vs. 0.039; mean rank 6.9 vs. chance 64.5. A rectangular orthogonal Procrustes comparison is comparable on retrieval rank only.</w:t>
      </w:r>
      <w:r>
        <w:t xml:space="preserve"> </w:t>
      </w:r>
      <m:oMath>
        <m:r>
          <m:t>N</m:t>
        </m:r>
        <m:r>
          <m:rPr>
            <m:sty m:val="p"/>
          </m:rPr>
          <m:t>=</m:t>
        </m:r>
        <m:r>
          <m:t>640</m:t>
        </m:r>
      </m:oMath>
      <w:r>
        <w:t xml:space="preserve"> </w:t>
      </w:r>
      <w:r>
        <w:t xml:space="preserve">is a CPU-feasibility scale; the full-scale recipe is documented in the GCP runbook.</w:t>
      </w:r>
    </w:p>
    <w:bookmarkEnd w:id="115"/>
    <w:bookmarkStart w:id="119" w:name="fig:bridge-pca"/>
    <w:p>
      <w:pPr>
        <w:pStyle w:val="CaptionedFigure"/>
      </w:pPr>
      <w:r>
        <w:drawing>
          <wp:inline>
            <wp:extent cx="4907280" cy="3645408"/>
            <wp:effectExtent b="0" l="0" r="0" t="0"/>
            <wp:docPr descr="" title="" id="117" name="Picture"/>
            <a:graphic>
              <a:graphicData uri="http://schemas.openxmlformats.org/drawingml/2006/picture">
                <pic:pic>
                  <pic:nvPicPr>
                    <pic:cNvPr descr="figures/bridge_c_pca_battery.png" id="118" name="Picture"/>
                    <pic:cNvPicPr>
                      <a:picLocks noChangeArrowheads="1" noChangeAspect="1"/>
                    </pic:cNvPicPr>
                  </pic:nvPicPr>
                  <pic:blipFill>
                    <a:blip r:embed="rId116"/>
                    <a:stretch>
                      <a:fillRect/>
                    </a:stretch>
                  </pic:blipFill>
                  <pic:spPr bwMode="auto">
                    <a:xfrm>
                      <a:off x="0" y="0"/>
                      <a:ext cx="4907280" cy="3645408"/>
                    </a:xfrm>
                    <a:prstGeom prst="rect">
                      <a:avLst/>
                    </a:prstGeom>
                    <a:noFill/>
                    <a:ln w="9525">
                      <a:noFill/>
                      <a:headEnd/>
                      <a:tailEnd/>
                    </a:ln>
                  </pic:spPr>
                </pic:pic>
              </a:graphicData>
            </a:graphic>
          </wp:inline>
        </w:drawing>
      </w:r>
    </w:p>
    <w:p>
      <w:pPr>
        <w:pStyle w:val="ImageCaption"/>
      </w:pPr>
      <w:r>
        <w:rPr>
          <w:b/>
          <w:bCs/>
        </w:rPr>
        <w:t xml:space="preserve">Figure 19.</w:t>
      </w:r>
      <w:r>
        <w:t xml:space="preserve"> </w:t>
      </w:r>
      <w:r>
        <w:t xml:space="preserve">Battery27 downstream in eng1000 space via the bridge (same</w:t>
      </w:r>
      <w:r>
        <w:t xml:space="preserve"> </w:t>
      </w:r>
      <w:r>
        <w:rPr>
          <w:b/>
          <w:bCs/>
        </w:rP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m:oMath>
        <m:r>
          <m:t>p</m:t>
        </m:r>
        <m:r>
          <m:rPr>
            <m:sty m:val="p"/>
          </m:rPr>
          <m:t>=</m:t>
        </m:r>
        <m:r>
          <m:t>0.0005</m:t>
        </m:r>
      </m:oMath>
      <w:r>
        <w:t xml:space="preserve">); RDM Mantel</w:t>
      </w:r>
      <w:r>
        <w:t xml:space="preserve"> </w:t>
      </w:r>
      <m:oMath>
        <m:r>
          <m:t>r</m:t>
        </m:r>
        <m:r>
          <m:rPr>
            <m:sty m:val="p"/>
          </m:rPr>
          <m:t>=</m:t>
        </m:r>
        <m:r>
          <m:t>0.805</m:t>
        </m:r>
      </m:oMath>
      <w:r>
        <w:t xml:space="preserve">,</w:t>
      </w:r>
      <w:r>
        <w:t xml:space="preserve"> </w:t>
      </w:r>
      <m:oMath>
        <m:r>
          <m:t>p</m:t>
        </m:r>
        <m:r>
          <m:rPr>
            <m:sty m:val="p"/>
          </m:rPr>
          <m:t>=</m:t>
        </m:r>
        <m:r>
          <m:t>0.0005</m:t>
        </m:r>
      </m:oMath>
      <w:r>
        <w:t xml:space="preserve"> </w:t>
      </w:r>
      <w:r>
        <w:t xml:space="preserve">(raw un-translated LLaMA RDM:</w:t>
      </w:r>
      <w:r>
        <w:t xml:space="preserve"> </w:t>
      </w:r>
      <m:oMath>
        <m:r>
          <m:t>r</m:t>
        </m:r>
        <m:r>
          <m:rPr>
            <m:sty m:val="p"/>
          </m:rPr>
          <m:t>=</m:t>
        </m:r>
        <m:r>
          <m:t>0.362</m:t>
        </m:r>
      </m:oMath>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bookmarkEnd w:id="119"/>
    <w:bookmarkStart w:id="123" w:name="fig:bridge-alpha"/>
    <w:p>
      <w:pPr>
        <w:pStyle w:val="CaptionedFigure"/>
      </w:pPr>
      <w:r>
        <w:drawing>
          <wp:inline>
            <wp:extent cx="4907280" cy="3007687"/>
            <wp:effectExtent b="0" l="0" r="0" t="0"/>
            <wp:docPr descr="" title="" id="121" name="Picture"/>
            <a:graphic>
              <a:graphicData uri="http://schemas.openxmlformats.org/drawingml/2006/picture">
                <pic:pic>
                  <pic:nvPicPr>
                    <pic:cNvPr descr="figures/bridge_d_alpha.png" id="122" name="Picture"/>
                    <pic:cNvPicPr>
                      <a:picLocks noChangeArrowheads="1" noChangeAspect="1"/>
                    </pic:cNvPicPr>
                  </pic:nvPicPr>
                  <pic:blipFill>
                    <a:blip r:embed="rId120"/>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20.</w:t>
      </w:r>
      <w:r>
        <w:t xml:space="preserve"> </w:t>
      </w:r>
      <w:r>
        <w:t xml:space="preserve">Bridge regularization selection (§5.2). 5-fold CV MSE over</w:t>
      </w:r>
      <w:r>
        <w:t xml:space="preserve"> </w:t>
      </w:r>
      <m:oMath>
        <m:r>
          <m:t>α</m:t>
        </m:r>
        <m:r>
          <m:rPr>
            <m:sty m:val="p"/>
          </m:rPr>
          <m:t>∈</m:t>
        </m:r>
        <m:r>
          <m:rPr>
            <m:sty m:val="p"/>
          </m:rPr>
          <m:t>{</m:t>
        </m:r>
        <m:sSup>
          <m:e>
            <m:r>
              <m:t>10</m:t>
            </m:r>
          </m:e>
          <m:sup>
            <m:r>
              <m:t>1</m:t>
            </m:r>
          </m:sup>
        </m:sSup>
        <m:r>
          <m:rPr>
            <m:sty m:val="p"/>
          </m:rPr>
          <m:t>…</m:t>
        </m:r>
        <m:sSup>
          <m:e>
            <m:r>
              <m:t>10</m:t>
            </m:r>
          </m:e>
          <m:sup>
            <m:r>
              <m:t>5</m:t>
            </m:r>
          </m:sup>
        </m:sSup>
        <m:r>
          <m:rPr>
            <m:sty m:val="p"/>
          </m:rPr>
          <m:t>}</m:t>
        </m:r>
      </m:oMath>
      <w:r>
        <w:t xml:space="preserve"> </w:t>
      </w:r>
      <w:r>
        <w:t xml:space="preserve">on the 512 training pairs; selected</w:t>
      </w:r>
      <w:r>
        <w:t xml:space="preserve"> </w:t>
      </w:r>
      <m:oMath>
        <m:r>
          <m:t>α</m:t>
        </m:r>
        <m:r>
          <m:rPr>
            <m:sty m:val="p"/>
          </m:rPr>
          <m:t>=</m:t>
        </m:r>
        <m:r>
          <m:t>3162</m:t>
        </m:r>
      </m:oMath>
      <w:r>
        <w:t xml:space="preserve"> </w:t>
      </w:r>
      <w:r>
        <w:t xml:space="preserve">for LLaMA</w:t>
      </w:r>
      <w:r>
        <w:t xml:space="preserve"> </w:t>
      </w:r>
      <m:oMath>
        <m:r>
          <m:rPr>
            <m:sty m:val="p"/>
          </m:rPr>
          <m:t>→</m:t>
        </m:r>
      </m:oMath>
      <w:r>
        <w:t xml:space="preserve"> </w:t>
      </w:r>
      <w:r>
        <w:t xml:space="preserve">eng1000, refit on the full training set.</w:t>
      </w:r>
    </w:p>
    <w:bookmarkEnd w:id="123"/>
    <w:bookmarkStart w:id="130" w:name="fig:viz-bridge"/>
    <w:tbl>
      <w:tblPr>
        <w:tblStyle w:val="FigureTable"/>
        <w:tblW w:type="auto" w:w="0"/>
        <w:jc w:val="center"/>
        <w:tblLook w:firstRow="0" w:lastRow="0" w:firstColumn="0" w:lastColumn="0"/>
      </w:tblPr>
      <w:tblGrid>
        <w:gridCol w:w="7920"/>
      </w:tblGrid>
      <w:tr>
        <w:tc>
          <w:tcPr/>
          <w:p>
            <w:pPr>
              <w:jc w:val="center"/>
            </w:pPr>
            <w:r>
              <w:drawing>
                <wp:inline>
                  <wp:extent cx="2613660" cy="2309746"/>
                  <wp:effectExtent b="0" l="0" r="0" t="0"/>
                  <wp:docPr descr="image" title="" id="125" name="Picture"/>
                  <a:graphic>
                    <a:graphicData uri="http://schemas.openxmlformats.org/drawingml/2006/picture">
                      <pic:pic>
                        <pic:nvPicPr>
                          <pic:cNvPr descr="figures/viz2a_bridge_geometry_pca.png" id="126" name="Picture"/>
                          <pic:cNvPicPr>
                            <a:picLocks noChangeArrowheads="1" noChangeAspect="1"/>
                          </pic:cNvPicPr>
                        </pic:nvPicPr>
                        <pic:blipFill>
                          <a:blip r:embed="rId124"/>
                          <a:stretch>
                            <a:fillRect/>
                          </a:stretch>
                        </pic:blipFill>
                        <pic:spPr bwMode="auto">
                          <a:xfrm>
                            <a:off x="0" y="0"/>
                            <a:ext cx="2613660" cy="2309746"/>
                          </a:xfrm>
                          <a:prstGeom prst="rect">
                            <a:avLst/>
                          </a:prstGeom>
                          <a:noFill/>
                          <a:ln w="9525">
                            <a:noFill/>
                            <a:headEnd/>
                            <a:tailEnd/>
                          </a:ln>
                        </pic:spPr>
                      </pic:pic>
                    </a:graphicData>
                  </a:graphic>
                </wp:inline>
              </w:drawing>
            </w:r>
            <w:r>
              <w:t xml:space="preserve"> </w:t>
            </w:r>
            <w:r>
              <w:drawing>
                <wp:inline>
                  <wp:extent cx="2613660" cy="2089665"/>
                  <wp:effectExtent b="0" l="0" r="0" t="0"/>
                  <wp:docPr descr="image" title="" id="128" name="Picture"/>
                  <a:graphic>
                    <a:graphicData uri="http://schemas.openxmlformats.org/drawingml/2006/picture">
                      <pic:pic>
                        <pic:nvPicPr>
                          <pic:cNvPr descr="figures/viz2b_bridge_retrieval_summary.png" id="129" name="Picture"/>
                          <pic:cNvPicPr>
                            <a:picLocks noChangeArrowheads="1" noChangeAspect="1"/>
                          </pic:cNvPicPr>
                        </pic:nvPicPr>
                        <pic:blipFill>
                          <a:blip r:embed="rId127"/>
                          <a:stretch>
                            <a:fillRect/>
                          </a:stretch>
                        </pic:blipFill>
                        <pic:spPr bwMode="auto">
                          <a:xfrm>
                            <a:off x="0" y="0"/>
                            <a:ext cx="2613660" cy="2089665"/>
                          </a:xfrm>
                          <a:prstGeom prst="rect">
                            <a:avLst/>
                          </a:prstGeom>
                          <a:noFill/>
                          <a:ln w="9525">
                            <a:noFill/>
                            <a:headEnd/>
                            <a:tailEnd/>
                          </a:ln>
                        </pic:spPr>
                      </pic:pic>
                    </a:graphicData>
                  </a:graphic>
                </wp:inline>
              </w:drawing>
            </w:r>
          </w:p>
        </w:tc>
      </w:tr>
    </w:tbl>
    <w:p>
      <w:pPr>
        <w:pStyle w:val="ImageCaption"/>
      </w:pPr>
      <w:r>
        <w:rPr>
          <w:b/>
          <w:bCs/>
        </w:rP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m:oMath>
        <m:r>
          <m:t>r</m:t>
        </m:r>
        <m:r>
          <m:rPr>
            <m:sty m:val="p"/>
          </m:rPr>
          <m:t>=</m:t>
        </m:r>
        <m:r>
          <m:t>0.805</m:t>
        </m:r>
      </m:oMath>
      <w:r>
        <w:t xml:space="preserve">,</w:t>
      </w:r>
      <w:r>
        <w:t xml:space="preserve"> </w:t>
      </w:r>
      <m:oMath>
        <m:r>
          <m:t>p</m:t>
        </m:r>
        <m:r>
          <m:rPr>
            <m:sty m:val="p"/>
          </m:rPr>
          <m:t>=</m:t>
        </m:r>
        <m:r>
          <m:t>0.0005</m:t>
        </m:r>
      </m:oMath>
      <w:r>
        <w:t xml:space="preserve">). The translated cloud shrinks toward the centroid (ridge regression-to-mean) while category structure is preserved — exactly what the Mantel number quantifies. The true battery features were recomputed from the real</w:t>
      </w:r>
      <w:r>
        <w:t xml:space="preserve"> </w:t>
      </w:r>
      <w:r>
        <w:rPr>
          <w:rStyle w:val="VerbatimChar"/>
        </w:rPr>
        <w:t xml:space="preserve">english1000sm.hf5</w:t>
      </w:r>
      <w:r>
        <w:t xml:space="preserve"> </w:t>
      </w:r>
      <w:r>
        <w:t xml:space="preserve">(OpenNeuro ds003020 snapshot) with the exact pipeline code path; recomputed per-item translated-vs-true cosines match the archived bridge results to</w:t>
      </w:r>
      <w:r>
        <w:t xml:space="preserve"> </w:t>
      </w:r>
      <m:oMath>
        <m:r>
          <m:rPr>
            <m:sty m:val="p"/>
          </m:rPr>
          <m:t>max</m:t>
        </m:r>
        <m:r>
          <m:rPr>
            <m:sty m:val="p"/>
          </m:rPr>
          <m:t>|</m:t>
        </m:r>
        <m:r>
          <m:rPr>
            <m:sty m:val="p"/>
          </m:rPr>
          <m:t>Δ</m:t>
        </m:r>
        <m:r>
          <m:rPr>
            <m:sty m:val="p"/>
          </m:rPr>
          <m:t>|</m:t>
        </m:r>
        <m:r>
          <m:rPr>
            <m:sty m:val="p"/>
          </m:rPr>
          <m:t>=</m:t>
        </m:r>
        <m:r>
          <m:t>1.2</m:t>
        </m:r>
        <m:r>
          <m:rPr>
            <m:sty m:val="p"/>
          </m:rPr>
          <m:t>×</m:t>
        </m:r>
        <m:sSup>
          <m:e>
            <m:r>
              <m:t>10</m:t>
            </m:r>
          </m:e>
          <m:sup>
            <m:r>
              <m:rPr>
                <m:sty m:val="p"/>
              </m:rPr>
              <m:t>−</m:t>
            </m:r>
            <m:r>
              <m:t>9</m:t>
            </m:r>
          </m:sup>
        </m:sSup>
      </m:oMath>
      <w:r>
        <w:t xml:space="preserve"> </w:t>
      </w:r>
      <w:r>
        <w:t xml:space="preserve">— a functional bit-check of the whole chain. Right: retrieval-quality panel — held-out cosine histogram (128 NQ pairs, mean 0.965) against the random-pairing null (mean 0.866 / p95 0.874; the anisotropy caveat is stated on the figure), top-</w:t>
      </w:r>
      <m:oMath>
        <m:r>
          <m:t>k</m:t>
        </m:r>
      </m:oMath>
      <w:r>
        <w:t xml:space="preserve"> </w:t>
      </w:r>
      <w:r>
        <w:t xml:space="preserve">retrieval vs. chance, battery27 per-item cosine by category vs. the pairing null, and the Mantel geometry match (bridge 0.805 vs. raw-LLaMA 0.362 vs. null</w:t>
      </w:r>
      <w:r>
        <w:t xml:space="preserve"> </w:t>
      </w:r>
      <m:oMath>
        <m:r>
          <m:rPr>
            <m:sty m:val="p"/>
          </m:rPr>
          <m:t>|</m:t>
        </m:r>
        <m:r>
          <m:t>r</m:t>
        </m:r>
        <m:r>
          <m:rPr>
            <m:sty m:val="p"/>
          </m:rPr>
          <m:t>|</m:t>
        </m:r>
      </m:oMath>
      <w:r>
        <w:t xml:space="preserve"> </w:t>
      </w:r>
      <w:r>
        <w:t xml:space="preserve">p95 0.315).</w:t>
      </w:r>
    </w:p>
    <w:bookmarkEnd w:id="130"/>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numPr>
          <w:ilvl w:val="0"/>
          <w:numId w:val="1005"/>
        </w:numPr>
      </w:pPr>
      <w:r>
        <w:rPr>
          <w:b/>
          <w:bCs/>
        </w:rPr>
        <w:t xml:space="preserve">N.1 (pipeline and separability; Figures 9–11; category-mean surfaces, THREAT</w:t>
      </w:r>
      <m:oMath>
        <m:r>
          <m:rPr>
            <m:sty m:val="p"/>
          </m:rPr>
          <m:t>−</m:t>
        </m:r>
      </m:oMath>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m:oMath>
        <m:r>
          <m:rPr>
            <m:sty m:val="p"/>
          </m:rPr>
          <m:t>max</m:t>
        </m:r>
        <m:r>
          <m:rPr>
            <m:sty m:val="p"/>
          </m:rPr>
          <m:t>|</m:t>
        </m:r>
        <m:r>
          <m:rPr>
            <m:sty m:val="p"/>
          </m:rPr>
          <m:t>Δ</m:t>
        </m:r>
        <m:r>
          <m:rPr>
            <m:sty m:val="p"/>
          </m:rPr>
          <m:t>|</m:t>
        </m:r>
        <m:r>
          <m:rPr>
            <m:sty m:val="p"/>
          </m:rPr>
          <m:t>=</m:t>
        </m:r>
        <m:r>
          <m:t>0.0</m:t>
        </m:r>
      </m:oMath>
      <w:r>
        <w:t xml:space="preserve"> </w:t>
      </w:r>
      <w:r>
        <w:t xml:space="preserve">on a full independent re-run). Separability holds: within-category mean</w:t>
      </w:r>
      <w:r>
        <w:t xml:space="preserve"> </w:t>
      </w:r>
      <m:oMath>
        <m:r>
          <m:t>r</m:t>
        </m:r>
        <m:r>
          <m:rPr>
            <m:sty m:val="p"/>
          </m:rPr>
          <m:t>=</m:t>
        </m:r>
        <m:r>
          <m:t>0.991</m:t>
        </m:r>
      </m:oMath>
      <w:r>
        <w:t xml:space="preserve">, between-category</w:t>
      </w:r>
      <w:r>
        <w:t xml:space="preserve"> </w:t>
      </w:r>
      <m:oMath>
        <m:r>
          <m:t>r</m:t>
        </m:r>
        <m:r>
          <m:rPr>
            <m:sty m:val="p"/>
          </m:rPr>
          <m:t>=</m:t>
        </m:r>
        <m:r>
          <m:t>0.908</m:t>
        </m:r>
      </m:oMath>
      <w:r>
        <w:t xml:space="preserve">, minimum pair</w:t>
      </w:r>
      <w:r>
        <w:t xml:space="preserve"> </w:t>
      </w:r>
      <m:oMath>
        <m:r>
          <m:t>r</m:t>
        </m:r>
        <m:r>
          <m:rPr>
            <m:sty m:val="p"/>
          </m:rPr>
          <m:t>=</m:t>
        </m:r>
        <m:r>
          <m:t>0.708</m:t>
        </m:r>
      </m:oMath>
      <w:r>
        <w:t xml:space="preserve">, all 351 pairs distinct (max off-diagonal</w:t>
      </w:r>
      <w:r>
        <w:t xml:space="preserve"> </w:t>
      </w:r>
      <m:oMath>
        <m:r>
          <m:t>0.998</m:t>
        </m:r>
        <m:r>
          <m:rPr>
            <m:sty m:val="p"/>
          </m:rPr>
          <m:t>&lt;</m:t>
        </m:r>
        <m:r>
          <m:t>1</m:t>
        </m:r>
      </m:oMath>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m:oMath>
        <m:r>
          <m:rPr>
            <m:sty m:val="p"/>
          </m:rPr>
          <m:t>|</m:t>
        </m:r>
        <m:r>
          <m:rPr>
            <m:sty m:val="p"/>
          </m:rPr>
          <m:t>Δ</m:t>
        </m:r>
        <m:r>
          <m:rPr>
            <m:sty m:val="p"/>
          </m:rPr>
          <m:t>|</m:t>
        </m:r>
      </m:oMath>
      <w:r>
        <w:t xml:space="preserve"> </w:t>
      </w:r>
      <w:r>
        <w:t xml:space="preserve">0.070, max 0.349), then FAIR (0.053), TEASER (0.050), TRUST_SIGNAL (0.030), THREAT (0.026).</w:t>
      </w:r>
      <w:r>
        <w:t xml:space="preserve"> </w:t>
      </w:r>
      <w:r>
        <w:t xml:space="preserve">-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w:t>
      </w:r>
      <w:r>
        <w:t xml:space="preserve"> </w:t>
      </w:r>
      <w:r>
        <w:t xml:space="preserve">-</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m:oMath>
        <m:r>
          <m:t>α</m:t>
        </m:r>
        <m:r>
          <m:rPr>
            <m:sty m:val="p"/>
          </m:rPr>
          <m:t>=</m:t>
        </m:r>
        <m:sSup>
          <m:e>
            <m:r>
              <m:t>10</m:t>
            </m:r>
          </m:e>
          <m:sup>
            <m:r>
              <m:t>3</m:t>
            </m:r>
          </m:sup>
        </m:sSup>
      </m:oMath>
      <w:r>
        <w:t xml:space="preserve">, 2,000 permutations per null, leave-8-out folds, seed 20260905. Voxelwise ridge encoding generalizes (mean vertex</w:t>
      </w:r>
      <w:r>
        <w:t xml:space="preserve"> </w:t>
      </w:r>
      <m:oMath>
        <m:r>
          <m:t>r</m:t>
        </m:r>
        <m:r>
          <m:rPr>
            <m:sty m:val="p"/>
          </m:rPr>
          <m:t>=</m:t>
        </m:r>
        <m:r>
          <m:t>0.181</m:t>
        </m:r>
      </m:oMath>
      <w:r>
        <w:t xml:space="preserve">,</w:t>
      </w:r>
      <w:r>
        <w:t xml:space="preserve"> </w:t>
      </w:r>
      <m:oMath>
        <m:r>
          <m:t>p</m:t>
        </m:r>
        <m:r>
          <m:rPr>
            <m:sty m:val="p"/>
          </m:rPr>
          <m:t>=</m:t>
        </m:r>
        <m:r>
          <m:t>0.0005</m:t>
        </m:r>
      </m:oMath>
      <w:r>
        <w:t xml:space="preserve"> </w:t>
      </w:r>
      <w:r>
        <w:t xml:space="preserve">— resolution-limited: the minimum achievable value at 2</w:t>
      </w:r>
      <w:r>
        <w:t xml:space="preserve">,</w:t>
      </w:r>
      <w:r>
        <w:t xml:space="preserve">000 permutations, i.e.,</w:t>
      </w:r>
      <w:r>
        <w:t xml:space="preserve"> </w:t>
      </w:r>
      <m:oMath>
        <m:r>
          <m:t>p</m:t>
        </m:r>
        <m:r>
          <m:rPr>
            <m:sty m:val="p"/>
          </m:rPr>
          <m:t>≤</m:t>
        </m:r>
        <m:r>
          <m:t>0.0005</m:t>
        </m:r>
      </m:oMath>
      <w:r>
        <w:t xml:space="preserve">); exact stimulus retrieval is a NULL (top-1 0.037</w:t>
      </w:r>
      <w:r>
        <w:t xml:space="preserve"> </w:t>
      </w:r>
      <m:oMath>
        <m:r>
          <m:rPr>
            <m:sty m:val="p"/>
          </m:rPr>
          <m:t>=</m:t>
        </m:r>
        <m:r>
          <m:t>1</m:t>
        </m:r>
        <m:r>
          <m:rPr>
            <m:sty m:val="p"/>
          </m:rPr>
          <m:t>/</m:t>
        </m:r>
        <m:r>
          <m:t>27</m:t>
        </m:r>
      </m:oMath>
      <w:r>
        <w:t xml:space="preserve">,</w:t>
      </w:r>
      <w:r>
        <w:t xml:space="preserve"> </w:t>
      </w:r>
      <m:oMath>
        <m:r>
          <m:t>p</m:t>
        </m:r>
        <m:r>
          <m:rPr>
            <m:sty m:val="p"/>
          </m:rPr>
          <m:t>=</m:t>
        </m:r>
        <m:r>
          <m:t>1.0</m:t>
        </m:r>
      </m:oMath>
      <w:r>
        <w:t xml:space="preserve">) and unsupervised Procrustes alignment is a NULL (</w:t>
      </w:r>
      <m:oMath>
        <m:r>
          <m:t>r</m:t>
        </m:r>
        <m:r>
          <m:rPr>
            <m:sty m:val="p"/>
          </m:rPr>
          <m:t>=</m:t>
        </m:r>
        <m:r>
          <m:rPr>
            <m:sty m:val="p"/>
          </m:rPr>
          <m:t>−</m:t>
        </m:r>
        <m:r>
          <m:t>0.058</m:t>
        </m:r>
      </m:oMath>
      <w:r>
        <w:t xml:space="preserve">,</w:t>
      </w:r>
      <w:r>
        <w:t xml:space="preserve"> </w:t>
      </w:r>
      <m:oMath>
        <m:r>
          <m:t>p</m:t>
        </m:r>
        <m:r>
          <m:rPr>
            <m:sty m:val="p"/>
          </m:rPr>
          <m:t>=</m:t>
        </m:r>
        <m:r>
          <m:t>0.769</m:t>
        </m:r>
      </m:oMath>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m:oMath>
        <m:r>
          <m:t>p</m:t>
        </m:r>
        <m:r>
          <m:rPr>
            <m:sty m:val="p"/>
          </m:rPr>
          <m:t>=</m:t>
        </m:r>
        <m:r>
          <m:t>0.0005</m:t>
        </m:r>
      </m:oMath>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w:t>
      </w:r>
      <w:r>
        <w:t xml:space="preserve"> </w:t>
      </w:r>
      <w:r>
        <w:t xml:space="preserve">-</w:t>
      </w:r>
      <w:r>
        <w:t xml:space="preserve"> </w:t>
      </w:r>
      <w:r>
        <w:rPr>
          <w:b/>
          <w:bCs/>
        </w:rPr>
        <w:t xml:space="preserve">vec2vec bridge (unblocked at instrument level; geometry and retrieval rendered in Figure 21).</w:t>
      </w:r>
      <w:r>
        <w:t xml:space="preserve"> </w:t>
      </w:r>
      <w:r>
        <w:t xml:space="preserve">The released vec2vec v1.0.0 pretrained translators</w:t>
      </w:r>
      <w:r>
        <w:t xml:space="preserve"> </w:t>
      </w:r>
      <w:r>
        <w:t xml:space="preserve"> </w:t>
      </w:r>
      <w:r>
        <w:t xml:space="preserve">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m:oMath>
        <m:r>
          <m:rPr>
            <m:sty m:val="p"/>
          </m:rPr>
          <m:t>→</m:t>
        </m:r>
      </m:oMath>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m:oMath>
        <m:r>
          <m:rPr>
            <m:sty m:val="p"/>
          </m:rPr>
          <m:t>≥</m:t>
        </m:r>
        <m:r>
          <m:t>0.5</m:t>
        </m:r>
      </m:oMath>
      <w:r>
        <w:t xml:space="preserve">), 512 train / 128 held-out, seed 42, features z-scored on train statistics, ridge</w:t>
      </w:r>
      <w:r>
        <w:t xml:space="preserve"> </w:t>
      </w:r>
      <m:oMath>
        <m:r>
          <m:t>α</m:t>
        </m:r>
        <m:r>
          <m:rPr>
            <m:sty m:val="p"/>
          </m:rPr>
          <m:t>=</m:t>
        </m:r>
        <m:r>
          <m:t>3162</m:t>
        </m:r>
      </m:oMath>
      <w:r>
        <w:t xml:space="preserve"> </w:t>
      </w:r>
      <w:r>
        <w:t xml:space="preserve">by 5-fold CV. Held-out, LLaMA</w:t>
      </w:r>
      <w:r>
        <w:t xml:space="preserve"> </w:t>
      </w:r>
      <m:oMath>
        <m:r>
          <m:rPr>
            <m:sty m:val="p"/>
          </m:rPr>
          <m:t>→</m:t>
        </m:r>
      </m:oMath>
      <w:r>
        <w:t xml:space="preserve"> </w:t>
      </w:r>
      <w:r>
        <w:t xml:space="preserve">eng1000: mean cosine 0.965, top-1 retrieval 0.398 (</w:t>
      </w:r>
      <w:r>
        <w:rPr>
          <w:b/>
          <w:bCs/>
        </w:rPr>
        <w:t xml:space="preserve">51</w:t>
      </w:r>
      <m:oMath>
        <m:r>
          <m:rPr>
            <m:sty m:val="p"/>
          </m:rPr>
          <m:t>×</m:t>
        </m:r>
      </m:oMath>
      <w:r>
        <w:rPr>
          <w:b/>
          <w:bCs/>
        </w:rPr>
        <w:t xml:space="preserve"> </w:t>
      </w:r>
      <w:r>
        <w:rPr>
          <w:b/>
          <w:bCs/>
        </w:rPr>
        <w:t xml:space="preserve">chance</w:t>
      </w:r>
      <w:r>
        <w:t xml:space="preserve"> </w:t>
      </w:r>
      <w:r>
        <w:t xml:space="preserve">0.0078), top-5 0.594, mean rank 6.9 (chance 64.5), random-pairing permutation</w:t>
      </w:r>
      <w:r>
        <w:t xml:space="preserve"> </w:t>
      </w:r>
      <m:oMath>
        <m:r>
          <m:t>p</m:t>
        </m:r>
        <m:r>
          <m:rPr>
            <m:sty m:val="p"/>
          </m:rPr>
          <m:t>=</m:t>
        </m:r>
        <m:r>
          <m:t>0.0005</m:t>
        </m:r>
      </m:oMath>
      <w:r>
        <w:t xml:space="preserve"> </w:t>
      </w:r>
      <w:r>
        <w:t xml:space="preserve">(2</w:t>
      </w:r>
      <w:r>
        <w:t xml:space="preserve">,</w:t>
      </w:r>
      <w:r>
        <w:t xml:space="preserve">000 reps); reverse eng1000</w:t>
      </w:r>
      <w:r>
        <w:t xml:space="preserve"> </w:t>
      </w:r>
      <m:oMath>
        <m:r>
          <m:rPr>
            <m:sty m:val="p"/>
          </m:rPr>
          <m:t>→</m:t>
        </m:r>
      </m:oMath>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m:oMath>
        <m:r>
          <m:t>p</m:t>
        </m:r>
        <m:r>
          <m:rPr>
            <m:sty m:val="p"/>
          </m:rPr>
          <m:t>=</m:t>
        </m:r>
        <m:r>
          <m:t>0.0005</m:t>
        </m:r>
      </m:oMath>
      <w:r>
        <w:t xml:space="preserve">), RDM Mantel</w:t>
      </w:r>
      <w:r>
        <w:t xml:space="preserve"> </w:t>
      </w:r>
      <m:oMath>
        <m:r>
          <m:t>r</m:t>
        </m:r>
        <m:r>
          <m:rPr>
            <m:sty m:val="p"/>
          </m:rPr>
          <m:t>=</m:t>
        </m:r>
        <m:r>
          <m:t>0.805</m:t>
        </m:r>
      </m:oMath>
      <w:r>
        <w:t xml:space="preserve">,</w:t>
      </w:r>
      <w:r>
        <w:t xml:space="preserve"> </w:t>
      </w:r>
      <m:oMath>
        <m:r>
          <m:t>p</m:t>
        </m:r>
        <m:r>
          <m:rPr>
            <m:sty m:val="p"/>
          </m:rPr>
          <m:t>=</m:t>
        </m:r>
        <m:r>
          <m:t>0.0005</m:t>
        </m:r>
      </m:oMath>
      <w:r>
        <w:t xml:space="preserve"> </w:t>
      </w:r>
      <w:r>
        <w:t xml:space="preserve">— vs. </w:t>
      </w:r>
      <m:oMath>
        <m:r>
          <m:t>r</m:t>
        </m:r>
        <m:r>
          <m:rPr>
            <m:sty m:val="p"/>
          </m:rPr>
          <m:t>=</m:t>
        </m:r>
        <m:r>
          <m:t>0.362</m:t>
        </m:r>
      </m:oMath>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m:oMath>
        <m:r>
          <m:t>N</m:t>
        </m:r>
        <m:r>
          <m:rPr>
            <m:sty m:val="p"/>
          </m:rPr>
          <m:t>=</m:t>
        </m:r>
        <m:r>
          <m:t>640</m:t>
        </m:r>
      </m:oMath>
      <w:r>
        <w:t xml:space="preserve"> </w:t>
      </w:r>
      <w:r>
        <w:t xml:space="preserve">is CPU-feasibility scale, with the full-scale recipe documented in the GCP runbook. The gte</w:t>
      </w:r>
      <w:r>
        <w:t xml:space="preserve"> </w:t>
      </w:r>
      <m:oMath>
        <m:r>
          <m:rPr>
            <m:sty m:val="p"/>
          </m:rPr>
          <m:t>→</m:t>
        </m:r>
      </m:oMath>
      <w:r>
        <w:t xml:space="preserve"> </w:t>
      </w:r>
      <w:r>
        <w:t xml:space="preserve">gtr released-pair demo above stands as the tool-level check of vec2vec itself.</w:t>
      </w:r>
      <w:r>
        <w:t xml:space="preserve"> </w:t>
      </w:r>
      <w:r>
        <w:t xml:space="preserve">- The Fisher–Rao honesty check replicates as a null: cross/within-group ratio 0.89 (round M: 0.83). Two rounds, two nulls — whole-cortex distributional distance is not a trustworthiness meter; the targeted-decoder gate stands.</w:t>
      </w:r>
      <w:r>
        <w:t xml:space="preserve"> </w:t>
      </w:r>
      <w:r>
        <w:t xml:space="preserve">-</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m:oMath>
        <m:r>
          <m:rPr>
            <m:sty m:val="p"/>
          </m:rPr>
          <m:t>→</m:t>
        </m:r>
      </m:oMath>
      <w:r>
        <w:t xml:space="preserve"> </w:t>
      </w:r>
      <w:r>
        <w:t xml:space="preserve">PAY, garnishment</w:t>
      </w:r>
      <w:r>
        <w:t xml:space="preserve"> </w:t>
      </w:r>
      <m:oMath>
        <m:r>
          <m:rPr>
            <m:sty m:val="p"/>
          </m:rPr>
          <m:t>→</m:t>
        </m:r>
      </m:oMath>
      <w:r>
        <w:t xml:space="preserve"> </w:t>
      </w:r>
      <w:r>
        <w:t xml:space="preserve">SEIZE, penalty</w:t>
      </w:r>
      <w:r>
        <w:t xml:space="preserve"> </w:t>
      </w:r>
      <m:oMath>
        <m:r>
          <m:rPr>
            <m:sty m:val="p"/>
          </m:rPr>
          <m:t>→</m:t>
        </m:r>
      </m:oMath>
      <w:r>
        <w:t xml:space="preserve"> </w:t>
      </w:r>
      <w:r>
        <w:t xml:space="preserve">PUNISHMENT, trust</w:t>
      </w:r>
      <w:r>
        <w:t xml:space="preserve"> </w:t>
      </w:r>
      <m:oMath>
        <m:r>
          <m:rPr>
            <m:sty m:val="p"/>
          </m:rPr>
          <m:t>→</m:t>
        </m:r>
      </m:oMath>
      <w:r>
        <w:t xml:space="preserve"> </w:t>
      </w:r>
      <w:r>
        <w:t xml:space="preserve">TRUTH; 82 unmapped, mostly finance jargon with no Concepticon gloss). In the category-vocabulary</w:t>
      </w:r>
      <w:r>
        <w:t xml:space="preserve"> </w:t>
      </w:r>
      <m:oMath>
        <m:r>
          <m:rPr>
            <m:sty m:val="p"/>
          </m:rPr>
          <m:t>→</m:t>
        </m:r>
      </m:oMath>
      <w:r>
        <w:t xml:space="preserve"> </w:t>
      </w:r>
      <w:r>
        <w:t xml:space="preserve">channel-lexicon mean shortest-path matrix, every category sits at distance</w:t>
      </w:r>
      <w:r>
        <w:t xml:space="preserve"> </w:t>
      </w:r>
      <m:oMath>
        <m:r>
          <m:rPr>
            <m:sty m:val="p"/>
          </m:rPr>
          <m:t>≈</m:t>
        </m:r>
        <m:r>
          <m:t>0</m:t>
        </m:r>
      </m:oMath>
      <w:r>
        <w:t xml:space="preserve"> </w:t>
      </w:r>
      <w:r>
        <w:t xml:space="preserve">from its own channel lexicon and</w:t>
      </w:r>
      <w:r>
        <w:t xml:space="preserve"> </w:t>
      </w:r>
      <m:oMath>
        <m:r>
          <m:rPr>
            <m:sty m:val="p"/>
          </m:rPr>
          <m:t>≥</m:t>
        </m:r>
        <m:r>
          <m:t>0.5</m:t>
        </m:r>
      </m:oMath>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w:t>
      </w:r>
      <w:r>
        <w:t xml:space="preserve"> </w:t>
      </w:r>
      <w:r>
        <w:t xml:space="preserve">-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m:oMath>
        <m:r>
          <m:rPr>
            <m:sty m:val="p"/>
          </m:rPr>
          <m:t>×</m:t>
        </m:r>
      </m:oMath>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m:oMath>
        <m:r>
          <m:rPr>
            <m:sty m:val="p"/>
          </m:rPr>
          <m:t>×</m:t>
        </m:r>
      </m:oMath>
      <w:r>
        <w:t xml:space="preserve"> </w:t>
      </w:r>
      <w:r>
        <w:t xml:space="preserve">ES/EN</w:t>
      </w:r>
      <w:r>
        <w:t xml:space="preserve"> </w:t>
      </w:r>
      <m:oMath>
        <m:r>
          <m:rPr>
            <m:sty m:val="p"/>
          </m:rPr>
          <m:t>×</m:t>
        </m:r>
      </m:oMath>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w:t>
      </w:r>
      <w:r>
        <w:t xml:space="preserve"> </w:t>
      </w:r>
      <w:r>
        <w:t xml:space="preserve"> </w:t>
      </w:r>
      <w:r>
        <w:t xml:space="preserve">— dimension-level universals plus item-level family variation is exactly the EN-pass/ES-JA-fail signature for an encoder whose LLaMA-3.2 text tower is English-dominant and whose training corpus is English-language CNeuroMod movies</w:t>
      </w:r>
      <w:r>
        <w:t xml:space="preserve"> </w:t>
      </w:r>
      <w:r>
        <w:t xml:space="preserve"> </w:t>
      </w:r>
      <w:r>
        <w:t xml:space="preserve">(§4.6). The hypothesis is demoted pending multilingual instruments, not falsified. A pre-registered second-encoder replication attempt (</w:t>
      </w:r>
      <w:r>
        <w:rPr>
          <w:b/>
          <w:bCs/>
        </w:rPr>
        <w:t xml:space="preserve">Sim D9</w:t>
      </w:r>
      <w:r>
        <w:t xml:space="preserve">; Supporting Document §S.6) — the</w:t>
      </w:r>
      <w:r>
        <w:t xml:space="preserve"> </w:t>
      </w:r>
      <w:r>
        <w:t xml:space="preserve"> </w:t>
      </w:r>
      <w:r>
        <w:t xml:space="preserve">language-network encoder, trained on a disjoint subject pool — failed both frozen criteria (category decoding p = 0.190; TRIBE</w:t>
      </w:r>
      <w:r>
        <w:t xml:space="preserve"> </w:t>
      </w:r>
      <m:oMath>
        <m:r>
          <m:rPr>
            <m:sty m:val="p"/>
          </m:rPr>
          <m:t>×</m:t>
        </m:r>
      </m:oMath>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w:t>
      </w:r>
      <w:r>
        <w:t xml:space="preserve"> </w:t>
      </w:r>
      <w:r>
        <w:t xml:space="preserve"> </w:t>
      </w:r>
      <w:r>
        <w:t xml:space="preserve">were downloaded and run on CPU with real transfer metrics (the gte</w:t>
      </w:r>
      <w:r>
        <w:t xml:space="preserve"> </w:t>
      </w:r>
      <m:oMath>
        <m:r>
          <m:rPr>
            <m:sty m:val="p"/>
          </m:rPr>
          <m:t>→</m:t>
        </m:r>
      </m:oMath>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m:oMath>
        <m:r>
          <m:rPr>
            <m:sty m:val="p"/>
          </m:rPr>
          <m:t>↔</m:t>
        </m:r>
      </m:oMath>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m:oMath>
        <m:r>
          <m:t>p</m:t>
        </m:r>
        <m:r>
          <m:rPr>
            <m:sty m:val="p"/>
          </m:rPr>
          <m:t>=</m:t>
        </m:r>
        <m:r>
          <m:t>1.0</m:t>
        </m:r>
      </m:oMath>
      <w:r>
        <w:t xml:space="preserve">) and spatial blur, Weizmann Institute’s Brain-IT dual-branch decoder</w:t>
      </w:r>
      <w:r>
        <w:t xml:space="preserve"> </w:t>
      </w:r>
      <w:r>
        <w:t xml:space="preserve"> </w:t>
      </w:r>
      <w:r>
        <w:t xml:space="preserve">eliminates the decoder bottleneck across all 27 conditions (</w:t>
      </w:r>
      <m:oMath>
        <m:r>
          <m:rPr>
            <m:sty m:val="p"/>
          </m:rPr>
          <m:t>Δ</m:t>
        </m:r>
        <m:r>
          <m:rPr>
            <m:nor/>
            <m:sty m:val="p"/>
          </m:rPr>
          <m:t>SSIM</m:t>
        </m:r>
        <m:r>
          <m:rPr>
            <m:sty m:val="p"/>
          </m:rPr>
          <m:t>=</m:t>
        </m:r>
        <m:r>
          <m:rPr>
            <m:sty m:val="p"/>
          </m:rPr>
          <m:t>+</m:t>
        </m:r>
        <m:r>
          <m:t>0.4112</m:t>
        </m:r>
      </m:oMath>
      <w:r>
        <w:t xml:space="preserve">,</w:t>
      </w:r>
      <w:r>
        <w:t xml:space="preserve"> </w:t>
      </w:r>
      <m:oMath>
        <m:r>
          <m:rPr>
            <m:sty m:val="p"/>
          </m:rPr>
          <m:t>Δ</m:t>
        </m:r>
        <m:r>
          <m:rPr>
            <m:nor/>
            <m:sty m:val="p"/>
          </m:rPr>
          <m:t>LPIPS</m:t>
        </m:r>
        <m:r>
          <m:rPr>
            <m:sty m:val="p"/>
          </m:rPr>
          <m:t>=</m:t>
        </m:r>
        <m:r>
          <m:rPr>
            <m:sty m:val="p"/>
          </m:rPr>
          <m:t>−</m:t>
        </m:r>
        <m:r>
          <m:t>0.2771</m:t>
        </m:r>
      </m:oMath>
      <w:r>
        <w:t xml:space="preserve">), elevating top-1 stimulus identification to 51.9% (</w:t>
      </w:r>
      <m:oMath>
        <m:r>
          <m:t>p</m:t>
        </m:r>
        <m:r>
          <m:rPr>
            <m:sty m:val="p"/>
          </m:rPr>
          <m:t>=</m:t>
        </m:r>
        <m:r>
          <m:t>0.0005</m:t>
        </m:r>
      </m:oMath>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m:oMath>
        <m:r>
          <m:t>r</m:t>
        </m:r>
        <m:r>
          <m:rPr>
            <m:sty m:val="p"/>
          </m:rPr>
          <m:t>=</m:t>
        </m:r>
        <m:r>
          <m:t>0.9923</m:t>
        </m:r>
      </m:oMath>
      <w:r>
        <w:t xml:space="preserve">; and in an agent population experiment under dual-branch visual-cognitive gating (</w:t>
      </w:r>
      <w:r>
        <w:rPr>
          <w:b/>
          <w:bCs/>
        </w:rPr>
        <w:t xml:space="preserve">Sim D16</w:t>
      </w:r>
      <w:r>
        <w:t xml:space="preserve">; Supporting Document §S.11), visual cloaking drives a</w:t>
      </w:r>
      <w:r>
        <w:t xml:space="preserve"> </w:t>
      </w:r>
      <m:oMath>
        <m:r>
          <m:t>38.9</m:t>
        </m:r>
        <m:r>
          <m:rPr>
            <m:sty m:val="p"/>
          </m:rPr>
          <m:t>×</m:t>
        </m:r>
      </m:oMath>
      <w:r>
        <w:t xml:space="preserve"> </w:t>
      </w:r>
      <w:r>
        <w:t xml:space="preserve">surge in predatory contract uptake among the lowest cognitive-bandwidth decile (odds ratio</w:t>
      </w:r>
      <w:r>
        <w:t xml:space="preserve"> </w:t>
      </w:r>
      <m:oMath>
        <m:sSub>
          <m:e>
            <m:r>
              <m:rPr>
                <m:nor/>
                <m:sty m:val="p"/>
              </m:rPr>
              <m:t>OR</m:t>
            </m:r>
          </m:e>
          <m:sub>
            <m:r>
              <m:rPr>
                <m:nor/>
                <m:sty m:val="p"/>
              </m:rPr>
              <m:t>D1</m:t>
            </m:r>
            <m:r>
              <m:rPr>
                <m:sty m:val="p"/>
              </m:rPr>
              <m:t>/</m:t>
            </m:r>
            <m:r>
              <m:rPr>
                <m:nor/>
                <m:sty m:val="p"/>
              </m:rPr>
              <m:t>D10</m:t>
            </m:r>
          </m:sub>
        </m:sSub>
        <m:r>
          <m:rPr>
            <m:sty m:val="p"/>
          </m:rPr>
          <m:t>=</m:t>
        </m:r>
        <m:r>
          <m:t>38.94</m:t>
        </m:r>
      </m:oMath>
      <w:r>
        <w:t xml:space="preserve">,</w:t>
      </w:r>
      <w:r>
        <w:t xml:space="preserve"> </w:t>
      </w:r>
      <m:oMath>
        <m:r>
          <m:t>p</m:t>
        </m:r>
        <m:r>
          <m:rPr>
            <m:sty m:val="p"/>
          </m:rPr>
          <m:t>=</m:t>
        </m:r>
        <m:r>
          <m:t>0.010</m:t>
        </m:r>
      </m:oMath>
      <w:r>
        <w:t xml:space="preserve">), confirming that visual design concentrates financial harm in cognitively stressed agents, even while raw spatial edge-ratio criteria failed as frozen (</w:t>
      </w:r>
      <m:oMath>
        <m:sSub>
          <m:e>
            <m:r>
              <m:t>χ</m:t>
            </m:r>
          </m:e>
          <m:sub>
            <m:r>
              <m:rPr>
                <m:nor/>
                <m:sty m:val="p"/>
              </m:rPr>
              <m:t>PRED</m:t>
            </m:r>
          </m:sub>
        </m:sSub>
        <m:r>
          <m:rPr>
            <m:sty m:val="p"/>
          </m:rPr>
          <m:t>/</m:t>
        </m:r>
        <m:sSub>
          <m:e>
            <m:r>
              <m:t>χ</m:t>
            </m:r>
          </m:e>
          <m:sub>
            <m:r>
              <m:rPr>
                <m:nor/>
                <m:sty m:val="p"/>
              </m:rPr>
              <m:t>FAIR</m:t>
            </m:r>
          </m:sub>
        </m:sSub>
        <m:r>
          <m:rPr>
            <m:sty m:val="p"/>
          </m:rPr>
          <m:t>=</m:t>
        </m:r>
        <m:r>
          <m:t>0.884</m:t>
        </m:r>
      </m:oMath>
      <w:r>
        <w:t xml:space="preserve"> </w:t>
      </w:r>
      <w:r>
        <w:t xml:space="preserve">vs. </w:t>
      </w:r>
      <m:oMath>
        <m:r>
          <m:t>2.50</m:t>
        </m:r>
      </m:oMath>
      <w:r>
        <w:t xml:space="preserve">, compound FAIL reported). (4) vec2vec cross-space alignment: the released translators are verified runnable with real transfer (gte</w:t>
      </w:r>
      <w:r>
        <w:t xml:space="preserve"> </w:t>
      </w:r>
      <m:oMath>
        <m:r>
          <m:rPr>
            <m:sty m:val="p"/>
          </m:rPr>
          <m:t>→</m:t>
        </m:r>
      </m:oMath>
      <w:r>
        <w:t xml:space="preserve"> </w:t>
      </w:r>
      <w:r>
        <w:t xml:space="preserve">gtr: cosine 0.703; 44.4% top-1 vs. 3.7% chance); the DOCAS-specific bridge is now built and validated as a supervised ridge map (held-out top-1 0.398, 51</w:t>
      </w:r>
      <m:oMath>
        <m:r>
          <m:rPr>
            <m:sty m:val="p"/>
          </m:rPr>
          <m:t>×</m:t>
        </m:r>
      </m:oMath>
      <w:r>
        <w:t xml:space="preserve"> </w:t>
      </w:r>
      <w:r>
        <w:t xml:space="preserve">chance; downstream Mantel</w:t>
      </w:r>
      <w:r>
        <w:t xml:space="preserve"> </w:t>
      </w:r>
      <m:oMath>
        <m:r>
          <m:t>r</m:t>
        </m:r>
        <m:r>
          <m:rPr>
            <m:sty m:val="p"/>
          </m:rPr>
          <m:t>=</m:t>
        </m:r>
        <m:r>
          <m:t>0.805</m:t>
        </m:r>
      </m:oMath>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bookmarkStart w:id="134" w:name="fig:pipeline-architecture"/>
    <w:p>
      <w:pPr>
        <w:pStyle w:val="CaptionedFigure"/>
      </w:pPr>
      <w:r>
        <w:drawing>
          <wp:inline>
            <wp:extent cx="5227320" cy="2959267"/>
            <wp:effectExtent b="0" l="0" r="0" t="0"/>
            <wp:docPr descr="" title="" id="132" name="Picture"/>
            <a:graphic>
              <a:graphicData uri="http://schemas.openxmlformats.org/drawingml/2006/picture">
                <pic:pic>
                  <pic:nvPicPr>
                    <pic:cNvPr descr="figures/pipeline_architecture_diagram.png" id="133" name="Picture"/>
                    <pic:cNvPicPr>
                      <a:picLocks noChangeArrowheads="1" noChangeAspect="1"/>
                    </pic:cNvPicPr>
                  </pic:nvPicPr>
                  <pic:blipFill>
                    <a:blip r:embed="rId131"/>
                    <a:stretch>
                      <a:fillRect/>
                    </a:stretch>
                  </pic:blipFill>
                  <pic:spPr bwMode="auto">
                    <a:xfrm>
                      <a:off x="0" y="0"/>
                      <a:ext cx="5227320" cy="2959267"/>
                    </a:xfrm>
                    <a:prstGeom prst="rect">
                      <a:avLst/>
                    </a:prstGeom>
                    <a:noFill/>
                    <a:ln w="9525">
                      <a:noFill/>
                      <a:headEnd/>
                      <a:tailEnd/>
                    </a:ln>
                  </pic:spPr>
                </pic:pic>
              </a:graphicData>
            </a:graphic>
          </wp:inline>
        </w:drawing>
      </w:r>
    </w:p>
    <w:p>
      <w:pPr>
        <w:pStyle w:val="ImageCaption"/>
      </w:pPr>
      <w:r>
        <w:rPr>
          <w:b/>
          <w:bCs/>
        </w:rP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m:oMath>
        <m:r>
          <m:t>38.9</m:t>
        </m:r>
        <m:r>
          <m:rPr>
            <m:sty m:val="p"/>
          </m:rPr>
          <m:t>×</m:t>
        </m:r>
      </m:oMath>
      <w:r>
        <w:t xml:space="preserve"> </w:t>
      </w:r>
      <w:r>
        <w:t xml:space="preserve">vulnerability gradient concentration in low-bandwidth consumers driven by visual design.</w:t>
      </w:r>
    </w:p>
    <w:bookmarkEnd w:id="134"/>
    <w:bookmarkStart w:id="138" w:name="fig:viz-brainit"/>
    <w:p>
      <w:pPr>
        <w:pStyle w:val="CaptionedFigure"/>
      </w:pPr>
      <w:r>
        <w:drawing>
          <wp:inline>
            <wp:extent cx="5227320" cy="7767740"/>
            <wp:effectExtent b="0" l="0" r="0" t="0"/>
            <wp:docPr descr="" title="" id="136" name="Picture"/>
            <a:graphic>
              <a:graphicData uri="http://schemas.openxmlformats.org/drawingml/2006/picture">
                <pic:pic>
                  <pic:nvPicPr>
                    <pic:cNvPr descr="figures/visual_comparison_grid.png" id="137" name="Picture"/>
                    <pic:cNvPicPr>
                      <a:picLocks noChangeArrowheads="1" noChangeAspect="1"/>
                    </pic:cNvPicPr>
                  </pic:nvPicPr>
                  <pic:blipFill>
                    <a:blip r:embed="rId135"/>
                    <a:stretch>
                      <a:fillRect/>
                    </a:stretch>
                  </pic:blipFill>
                  <pic:spPr bwMode="auto">
                    <a:xfrm>
                      <a:off x="0" y="0"/>
                      <a:ext cx="5227320" cy="7767740"/>
                    </a:xfrm>
                    <a:prstGeom prst="rect">
                      <a:avLst/>
                    </a:prstGeom>
                    <a:noFill/>
                    <a:ln w="9525">
                      <a:noFill/>
                      <a:headEnd/>
                      <a:tailEnd/>
                    </a:ln>
                  </pic:spPr>
                </pic:pic>
              </a:graphicData>
            </a:graphic>
          </wp:inline>
        </w:drawing>
      </w:r>
    </w:p>
    <w:p>
      <w:pPr>
        <w:pStyle w:val="ImageCaption"/>
      </w:pPr>
      <w:r>
        <w:rPr>
          <w:b/>
          <w:bCs/>
        </w:rP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m:oMath>
        <m:r>
          <m:t>t</m:t>
        </m:r>
        <m:r>
          <m:t>o</m:t>
        </m:r>
        <m:r>
          <m:t>p</m:t>
        </m:r>
        <m:r>
          <m:rPr>
            <m:nor/>
            <m:sty m:val="p"/>
          </m:rPr>
          <m:t>-</m:t>
        </m:r>
        <m:r>
          <m:t>1</m:t>
        </m:r>
        <m:r>
          <m:rPr>
            <m:sty m:val="p"/>
          </m:rPr>
          <m:t>=</m:t>
        </m:r>
        <m:r>
          <m:t>51.9</m:t>
        </m:r>
        <m:r>
          <m:rPr>
            <m:sty m:val="p"/>
          </m:rPr>
          <m:t>%</m:t>
        </m:r>
      </m:oMath>
      <w:r>
        <w:t xml:space="preserve"> </w:t>
      </w:r>
      <w:r>
        <w:t xml:space="preserve">vs. chance</w:t>
      </w:r>
      <w:r>
        <w:t xml:space="preserve"> </w:t>
      </w:r>
      <m:oMath>
        <m:r>
          <m:t>3.7</m:t>
        </m:r>
        <m:r>
          <m:rPr>
            <m:sty m:val="p"/>
          </m:rPr>
          <m:t>%</m:t>
        </m:r>
      </m:oMath>
      <w:r>
        <w:t xml:space="preserve">,</w:t>
      </w:r>
      <w:r>
        <w:t xml:space="preserve"> </w:t>
      </w:r>
      <m:oMath>
        <m:r>
          <m:t>p</m:t>
        </m:r>
        <m:r>
          <m:rPr>
            <m:sty m:val="p"/>
          </m:rPr>
          <m:t>=</m:t>
        </m:r>
        <m:r>
          <m:t>0.0005</m:t>
        </m:r>
      </m:oMath>
      <w:r>
        <w:t xml:space="preserve">) and achieves mean</w:t>
      </w:r>
      <w:r>
        <w:t xml:space="preserve"> </w:t>
      </w:r>
      <m:oMath>
        <m:r>
          <m:rPr>
            <m:nor/>
            <m:sty m:val="p"/>
          </m:rPr>
          <m:t>SSIM</m:t>
        </m:r>
        <m:r>
          <m:rPr>
            <m:sty m:val="p"/>
          </m:rPr>
          <m:t>=</m:t>
        </m:r>
        <m:r>
          <m:t>0.7723</m:t>
        </m:r>
      </m:oMath>
      <w:r>
        <w:t xml:space="preserve"> </w:t>
      </w:r>
      <w:r>
        <w:t xml:space="preserve">(</w:t>
      </w:r>
      <m:oMath>
        <m:r>
          <m:rPr>
            <m:sty m:val="p"/>
          </m:rPr>
          <m:t>Δ</m:t>
        </m:r>
        <m:r>
          <m:rPr>
            <m:sty m:val="p"/>
          </m:rPr>
          <m:t>=</m:t>
        </m:r>
        <m:r>
          <m:rPr>
            <m:sty m:val="p"/>
          </m:rPr>
          <m:t>+</m:t>
        </m:r>
        <m:r>
          <m:t>0.4112</m:t>
        </m:r>
      </m:oMath>
      <w:r>
        <w:t xml:space="preserve"> </w:t>
      </w:r>
      <w:r>
        <w:t xml:space="preserve">over Gallant).</w:t>
      </w:r>
    </w:p>
    <w:bookmarkEnd w:id="138"/>
    <w:bookmarkStart w:id="142" w:name="fig:viz-brainit-metrics"/>
    <w:p>
      <w:pPr>
        <w:pStyle w:val="CaptionedFigure"/>
      </w:pPr>
      <w:r>
        <w:drawing>
          <wp:inline>
            <wp:extent cx="5227320" cy="3723656"/>
            <wp:effectExtent b="0" l="0" r="0" t="0"/>
            <wp:docPr descr="" title="" id="140" name="Picture"/>
            <a:graphic>
              <a:graphicData uri="http://schemas.openxmlformats.org/drawingml/2006/picture">
                <pic:pic>
                  <pic:nvPicPr>
                    <pic:cNvPr descr="figures/fig_brainit_category_metrics.png" id="141" name="Picture"/>
                    <pic:cNvPicPr>
                      <a:picLocks noChangeArrowheads="1" noChangeAspect="1"/>
                    </pic:cNvPicPr>
                  </pic:nvPicPr>
                  <pic:blipFill>
                    <a:blip r:embed="rId139"/>
                    <a:stretch>
                      <a:fillRect/>
                    </a:stretch>
                  </pic:blipFill>
                  <pic:spPr bwMode="auto">
                    <a:xfrm>
                      <a:off x="0" y="0"/>
                      <a:ext cx="5227320" cy="3723656"/>
                    </a:xfrm>
                    <a:prstGeom prst="rect">
                      <a:avLst/>
                    </a:prstGeom>
                    <a:noFill/>
                    <a:ln w="9525">
                      <a:noFill/>
                      <a:headEnd/>
                      <a:tailEnd/>
                    </a:ln>
                  </pic:spPr>
                </pic:pic>
              </a:graphicData>
            </a:graphic>
          </wp:inline>
        </w:drawing>
      </w:r>
    </w:p>
    <w:p>
      <w:pPr>
        <w:pStyle w:val="ImageCaption"/>
      </w:pPr>
      <w:r>
        <w:rPr>
          <w:b/>
          <w:bCs/>
        </w:rP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m:oMath>
        <m:r>
          <m:t>p</m:t>
        </m:r>
        <m:r>
          <m:rPr>
            <m:sty m:val="p"/>
          </m:rPr>
          <m:t>=</m:t>
        </m:r>
        <m:r>
          <m:t>0.0005</m:t>
        </m:r>
      </m:oMath>
      <w:r>
        <w:t xml:space="preserve">).</w:t>
      </w:r>
    </w:p>
    <w:bookmarkEnd w:id="142"/>
    <w:bookmarkStart w:id="146" w:name="fig:sim-d16"/>
    <w:p>
      <w:pPr>
        <w:pStyle w:val="CaptionedFigure"/>
      </w:pPr>
      <w:r>
        <w:drawing>
          <wp:inline>
            <wp:extent cx="5334000" cy="3800554"/>
            <wp:effectExtent b="0" l="0" r="0" t="0"/>
            <wp:docPr descr="" title="" id="144" name="Picture"/>
            <a:graphic>
              <a:graphicData uri="http://schemas.openxmlformats.org/drawingml/2006/picture">
                <pic:pic>
                  <pic:nvPicPr>
                    <pic:cNvPr descr="figures/fig_sim_d16_cloaking.png" id="145" name="Picture"/>
                    <pic:cNvPicPr>
                      <a:picLocks noChangeArrowheads="1" noChangeAspect="1"/>
                    </pic:cNvPicPr>
                  </pic:nvPicPr>
                  <pic:blipFill>
                    <a:blip r:embed="rId143"/>
                    <a:stretch>
                      <a:fillRect/>
                    </a:stretch>
                  </pic:blipFill>
                  <pic:spPr bwMode="auto">
                    <a:xfrm>
                      <a:off x="0" y="0"/>
                      <a:ext cx="5334000" cy="3800554"/>
                    </a:xfrm>
                    <a:prstGeom prst="rect">
                      <a:avLst/>
                    </a:prstGeom>
                    <a:noFill/>
                    <a:ln w="9525">
                      <a:noFill/>
                      <a:headEnd/>
                      <a:tailEnd/>
                    </a:ln>
                  </pic:spPr>
                </pic:pic>
              </a:graphicData>
            </a:graphic>
          </wp:inline>
        </w:drawing>
      </w:r>
    </w:p>
    <w:p>
      <w:pPr>
        <w:pStyle w:val="ImageCaption"/>
      </w:pPr>
      <w:r>
        <w:rPr>
          <w:b/>
          <w:bCs/>
        </w:rPr>
        <w:t xml:space="preserve">Figure 29.</w:t>
      </w:r>
      <w:r>
        <w:t xml:space="preserve"> </w:t>
      </w:r>
      <w:r>
        <w:t xml:space="preserve">Sim D16: Perceptual cloaking and predatory credit uptake under dual-branch visual-cognitive gating (1,000 agents, seed 42). (a) Visual cloaking ratios (</w:t>
      </w:r>
      <m:oMath>
        <m:r>
          <m:t>χ</m:t>
        </m:r>
      </m:oMath>
      <w:r>
        <w:t xml:space="preserve"> </w:t>
      </w:r>
      <w:r>
        <w:t xml:space="preserve">= promo/disclaimer edge energy); (b) Exploitation uptake gap between cloaked and transparent layouts; (c) Vulnerability gradient: the lowest-bandwidth decile suffers a</w:t>
      </w:r>
      <w:r>
        <w:t xml:space="preserve"> </w:t>
      </w:r>
      <m:oMath>
        <m:r>
          <m:t>38.9</m:t>
        </m:r>
        <m:r>
          <m:rPr>
            <m:sty m:val="p"/>
          </m:rPr>
          <m:t>×</m:t>
        </m:r>
      </m:oMath>
      <w:r>
        <w:t xml:space="preserve"> </w:t>
      </w:r>
      <w:r>
        <w:t xml:space="preserve">odds ratio in predatory uptake over the highest decile; (d) Salience-shuffling permutation null test (</w:t>
      </w:r>
      <m:oMath>
        <m:r>
          <m:t>p</m:t>
        </m:r>
        <m:r>
          <m:rPr>
            <m:sty m:val="p"/>
          </m:rPr>
          <m:t>=</m:t>
        </m:r>
        <m:r>
          <m:t>0.010</m:t>
        </m:r>
      </m:oMath>
      <w:r>
        <w:t xml:space="preserve">). Compound verdict fails as frozen (1/4 PASS) due to disclaimer box border edge contributions, while confirming the vulnerability concentration effect.</w:t>
      </w:r>
    </w:p>
    <w:bookmarkEnd w:id="146"/>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w:t>
      </w:r>
      <w:r>
        <w:t xml:space="preserve">; now an open EBRAINS cloud service), which supplies the simulation layer for the EEG-side concordance arm without a scanner. Cross-space alignment of embeddings without paired data is established by vec2vec (</w:t>
      </w:r>
      <w:r>
        <w:t xml:space="preserve">;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w:t>
      </w:r>
      <w:r>
        <w:t xml:space="preserve"> </w:t>
      </w:r>
      <w:r>
        <w:t xml:space="preserve">) and msprime (coalescent ancestry with tree-sequence recording;</w:t>
      </w:r>
      <w:r>
        <w:t xml:space="preserve"> </w:t>
      </w:r>
      <w:r>
        <w:t xml:space="preserve">),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w:t>
      </w:r>
      <w:r>
        <w:t xml:space="preserve"> </w:t>
      </w:r>
      <w:r>
        <w:t xml:space="preserve"> </w:t>
      </w:r>
      <w:r>
        <w:t xml:space="preserve">(published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147"/>
    <w:bookmarkStart w:id="156" w:name="X0c5b6785a850c80038e1162ba4742459a274b7b"/>
    <w:p>
      <w:pPr>
        <w:pStyle w:val="Heading2"/>
      </w:pPr>
      <w:r>
        <w:t xml:space="preserve">5.5 Neuromodulatory operator simulation</w:t>
      </w:r>
      <w:r>
        <w:t xml:space="preserve"> </w:t>
      </w:r>
      <w:r>
        <w:t xml:space="preserve">[SIMULATION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m:oMath>
        <m:r>
          <m:rPr>
            <m:sty m:val="p"/>
          </m:rPr>
          <m:t>Δ</m:t>
        </m:r>
        <m:sSub>
          <m:e>
            <m:r>
              <m:t>S</m:t>
            </m:r>
          </m:e>
          <m:sub>
            <m:r>
              <m:t>t</m:t>
            </m:r>
          </m:sub>
        </m:sSub>
      </m:oMath>
      <w:r>
        <w:t xml:space="preserve"> </w:t>
      </w:r>
      <w:r>
        <w:t xml:space="preserve">on the recognized mismatch</w:t>
      </w:r>
      <w:r>
        <w:t xml:space="preserve"> </w:t>
      </w:r>
      <m:oMath>
        <m:sSub>
          <m:e>
            <m:r>
              <m:t>r</m:t>
            </m:r>
          </m:e>
          <m:sub>
            <m:r>
              <m:t>t</m:t>
            </m:r>
          </m:sub>
        </m:sSub>
        <m:sSub>
          <m:e>
            <m:r>
              <m:t>ε</m:t>
            </m:r>
          </m:e>
          <m:sub>
            <m:r>
              <m:t>t</m:t>
            </m:r>
          </m:sub>
        </m:sSub>
      </m:oMath>
      <w:r>
        <w:t xml:space="preserve"> </w:t>
      </w:r>
      <w:r>
        <w:t xml:space="preserve">recovers the planted coefficient (slope 0.348 vs.</w:t>
      </w:r>
      <w:r>
        <w:t xml:space="preserve"> </w:t>
      </w:r>
      <m:oMath>
        <m:r>
          <m:t>λ</m:t>
        </m:r>
        <m:r>
          <m:rPr>
            <m:sty m:val="p"/>
          </m:rPr>
          <m:t>=</m:t>
        </m:r>
        <m:r>
          <m:t>0.35</m:t>
        </m:r>
      </m:oMath>
      <w:r>
        <w:t xml:space="preserve">;</w:t>
      </w:r>
      <w:r>
        <w:t xml:space="preserve"> </w:t>
      </w:r>
      <m:oMath>
        <m:sSup>
          <m:e>
            <m:r>
              <m:t>R</m:t>
            </m:r>
          </m:e>
          <m:sup>
            <m:r>
              <m:t>2</m:t>
            </m:r>
          </m:sup>
        </m:sSup>
      </m:oMath>
      <w:r>
        <w:t xml:space="preserve"> </w:t>
      </w:r>
      <w:r>
        <w:t xml:space="preserve">= 0.970) — PASS. (The planted value</w:t>
      </w:r>
      <w:r>
        <w:t xml:space="preserve"> </w:t>
      </w:r>
      <m:oMath>
        <m:r>
          <m:t>λ</m:t>
        </m:r>
        <m:r>
          <m:rPr>
            <m:sty m:val="p"/>
          </m:rPr>
          <m:t>=</m:t>
        </m:r>
        <m:r>
          <m:t>0.35</m:t>
        </m:r>
      </m:oMath>
      <w:r>
        <w:t xml:space="preserve"> </w:t>
      </w:r>
      <w:r>
        <w:t xml:space="preserve">is a simulation parameter, not a prediction or estimate of any population quantity; the stack’s only prospective claim about</w:t>
      </w:r>
      <w:r>
        <w:t xml:space="preserve"> </w:t>
      </w:r>
      <m:oMath>
        <m:r>
          <m:t>λ</m:t>
        </m:r>
      </m:oMath>
      <w:r>
        <w:t xml:space="preserve">’s value is the companion theory preprint’s §6 H2.) E3 — shuffling the update stream (breaking the temporal operator coupling) destroys the law in 200/200 negative-control replicates — PASS (the control behaves).</w:t>
      </w:r>
    </w:p>
    <w:bookmarkStart w:id="151" w:name="fig:lambda"/>
    <w:p>
      <w:pPr>
        <w:pStyle w:val="CaptionedFigure"/>
      </w:pPr>
      <w:r>
        <w:drawing>
          <wp:inline>
            <wp:extent cx="4907280" cy="1406753"/>
            <wp:effectExtent b="0" l="0" r="0" t="0"/>
            <wp:docPr descr="" title="" id="149" name="Picture"/>
            <a:graphic>
              <a:graphicData uri="http://schemas.openxmlformats.org/drawingml/2006/picture">
                <pic:pic>
                  <pic:nvPicPr>
                    <pic:cNvPr descr="figures/figD_lambda_recovery.png" id="150" name="Picture"/>
                    <pic:cNvPicPr>
                      <a:picLocks noChangeArrowheads="1" noChangeAspect="1"/>
                    </pic:cNvPicPr>
                  </pic:nvPicPr>
                  <pic:blipFill>
                    <a:blip r:embed="rId148"/>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22.</w:t>
      </w:r>
      <w:r>
        <w:t xml:space="preserve"> </w:t>
      </w:r>
      <w:r>
        <w:t xml:space="preserve">Sim D10 E1 planted-</w:t>
      </w:r>
      <m:oMath>
        <m:r>
          <m:t>λ</m:t>
        </m:r>
      </m:oMath>
      <w:r>
        <w:t xml:space="preserve"> </w:t>
      </w:r>
      <w:r>
        <w:t xml:space="preserve">recovery (slope 0.3502 vs. planted</w:t>
      </w:r>
      <w:r>
        <w:t xml:space="preserve"> </w:t>
      </w:r>
      <m:oMath>
        <m:r>
          <m:t>λ</m:t>
        </m:r>
        <m:r>
          <m:rPr>
            <m:sty m:val="p"/>
          </m:rPr>
          <m:t>=</m:t>
        </m:r>
        <m:r>
          <m:t>0.35</m:t>
        </m:r>
      </m:oMath>
      <w:r>
        <w:t xml:space="preserve">,</w:t>
      </w:r>
      <w:r>
        <w:t xml:space="preserve"> </w:t>
      </w:r>
      <m:oMath>
        <m:sSup>
          <m:e>
            <m:r>
              <m:t>R</m:t>
            </m:r>
          </m:e>
          <m:sup>
            <m:r>
              <m:t>2</m:t>
            </m:r>
          </m:sup>
        </m:sSup>
        <m:r>
          <m:rPr>
            <m:sty m:val="p"/>
          </m:rPr>
          <m:t>=</m:t>
        </m:r>
        <m:r>
          <m:t>0.975</m:t>
        </m:r>
      </m:oMath>
      <w:r>
        <w:t xml:space="preserve">), E3 shuffle negative controls (200/200 destroyed), and the Sim D12 numpy three-factor eligibility stand-in (planted 0.174 recovered as slope 0.1743,</w:t>
      </w:r>
      <w:r>
        <w:t xml:space="preserve"> </w:t>
      </w:r>
      <m:oMath>
        <m:sSup>
          <m:e>
            <m:r>
              <m:t>R</m:t>
            </m:r>
          </m:e>
          <m:sup>
            <m:r>
              <m:t>2</m:t>
            </m:r>
          </m:sup>
        </m:sSup>
        <m:r>
          <m:rPr>
            <m:sty m:val="p"/>
          </m:rPr>
          <m:t>=</m:t>
        </m:r>
        <m:r>
          <m:t>0.874</m:t>
        </m:r>
      </m:oMath>
      <w:r>
        <w:t xml:space="preserve">).</w:t>
      </w:r>
    </w:p>
    <w:bookmarkEnd w:id="151"/>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m:oMath>
        <m:r>
          <m:rPr>
            <m:sty m:val="p"/>
          </m:rPr>
          <m:t>≥</m:t>
        </m:r>
      </m:oMath>
      <w:r>
        <w:t xml:space="preserve"> </w:t>
      </w:r>
      <w:r>
        <w:t xml:space="preserve">2</w:t>
      </w:r>
      <w:r>
        <w:t xml:space="preserve"> </w:t>
      </w:r>
      <m:oMath>
        <m:r>
          <m:rPr>
            <m:sty m:val="p"/>
          </m:rPr>
          <m:t>×</m:t>
        </m:r>
      </m:oMath>
      <w:r>
        <w:t xml:space="preserve"> </w:t>
      </w:r>
      <w:r>
        <w:t xml:space="preserve">any other. It failed: the D, A, and S lesions dissociate cleanly (own-channel degradation ratios 17,166</w:t>
      </w:r>
      <w:r>
        <w:t xml:space="preserve"> </w:t>
      </w:r>
      <m:oMath>
        <m:r>
          <m:rPr>
            <m:sty m:val="p"/>
          </m:rPr>
          <m:t>×</m:t>
        </m:r>
      </m:oMath>
      <w:r>
        <w:t xml:space="preserve"> </w:t>
      </w:r>
      <w:r>
        <w:t xml:space="preserve">, 36.8</w:t>
      </w:r>
      <w:r>
        <w:t xml:space="preserve"> </w:t>
      </w:r>
      <m:oMath>
        <m:r>
          <m:rPr>
            <m:sty m:val="p"/>
          </m:rPr>
          <m:t>×</m:t>
        </m:r>
      </m:oMath>
      <w:r>
        <w:t xml:space="preserve"> </w:t>
      </w:r>
      <w:r>
        <w:t xml:space="preserve">, 14,789</w:t>
      </w:r>
      <w:r>
        <w:t xml:space="preserve"> </w:t>
      </w:r>
      <m:oMath>
        <m:r>
          <m:rPr>
            <m:sty m:val="p"/>
          </m:rPr>
          <m:t>×</m:t>
        </m:r>
      </m:oMath>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m:oMath>
        <m:r>
          <m:t>O</m:t>
        </m:r>
        <m:r>
          <m:rPr>
            <m:sty m:val="p"/>
          </m:rPr>
          <m:t>→</m:t>
        </m:r>
        <m:r>
          <m:t>D</m:t>
        </m:r>
      </m:oMath>
      <w:r>
        <w:t xml:space="preserve"> </w:t>
      </w:r>
      <w:r>
        <w:t xml:space="preserve">edge — D consumes O’s output, so closing the validation gate starves expectation updating — and this edge is confirmed; but the C lesion’s largest downstream displacement is</w:t>
      </w:r>
      <w:r>
        <w:t xml:space="preserve"> </w:t>
      </w:r>
      <m:oMath>
        <m:r>
          <m:t>C</m:t>
        </m:r>
        <m:r>
          <m:rPr>
            <m:sty m:val="p"/>
          </m:rPr>
          <m:t>→</m:t>
        </m:r>
        <m:r>
          <m:t>A</m:t>
        </m:r>
      </m:oMath>
      <w:r>
        <w:t xml:space="preserve"> </w:t>
      </w:r>
      <w:r>
        <w:t xml:space="preserve">(via the recognition gate), not</w:t>
      </w:r>
      <w:r>
        <w:t xml:space="preserve"> </w:t>
      </w:r>
      <m:oMath>
        <m:r>
          <m:t>C</m:t>
        </m:r>
        <m:r>
          <m:rPr>
            <m:sty m:val="p"/>
          </m:rPr>
          <m:t>→</m:t>
        </m:r>
        <m:r>
          <m:t>S</m:t>
        </m:r>
      </m:oMath>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bookmarkStart w:id="155" w:name="fig:lesions"/>
    <w:p>
      <w:pPr>
        <w:pStyle w:val="CaptionedFigure"/>
      </w:pPr>
      <w:r>
        <w:drawing>
          <wp:inline>
            <wp:extent cx="4907280" cy="1805879"/>
            <wp:effectExtent b="0" l="0" r="0" t="0"/>
            <wp:docPr descr="" title="" id="153" name="Picture"/>
            <a:graphic>
              <a:graphicData uri="http://schemas.openxmlformats.org/drawingml/2006/picture">
                <pic:pic>
                  <pic:nvPicPr>
                    <pic:cNvPr descr="figures/figD_lesions.png" id="154" name="Picture"/>
                    <pic:cNvPicPr>
                      <a:picLocks noChangeArrowheads="1" noChangeAspect="1"/>
                    </pic:cNvPicPr>
                  </pic:nvPicPr>
                  <pic:blipFill>
                    <a:blip r:embed="rId152"/>
                    <a:stretch>
                      <a:fillRect/>
                    </a:stretch>
                  </pic:blipFill>
                  <pic:spPr bwMode="auto">
                    <a:xfrm>
                      <a:off x="0" y="0"/>
                      <a:ext cx="4907280" cy="1805879"/>
                    </a:xfrm>
                    <a:prstGeom prst="rect">
                      <a:avLst/>
                    </a:prstGeom>
                    <a:noFill/>
                    <a:ln w="9525">
                      <a:noFill/>
                      <a:headEnd/>
                      <a:tailEnd/>
                    </a:ln>
                  </pic:spPr>
                </pic:pic>
              </a:graphicData>
            </a:graphic>
          </wp:inline>
        </w:drawing>
      </w:r>
    </w:p>
    <w:p>
      <w:pPr>
        <w:pStyle w:val="ImageCaption"/>
      </w:pPr>
      <w:r>
        <w:rPr>
          <w:b/>
          <w:bCs/>
        </w:rP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m:oMath>
        <m:r>
          <m:t>233</m:t>
        </m:r>
        <m:r>
          <m:rPr>
            <m:sty m:val="p"/>
          </m:rPr>
          <m:t>×</m:t>
        </m:r>
      </m:oMath>
      <w:r>
        <w:t xml:space="preserve">, A</w:t>
      </w:r>
      <w:r>
        <w:t xml:space="preserve"> </w:t>
      </w:r>
      <m:oMath>
        <m:r>
          <m:t>7.9</m:t>
        </m:r>
        <m:r>
          <m:rPr>
            <m:sty m:val="p"/>
          </m:rPr>
          <m:t>×</m:t>
        </m:r>
      </m:oMath>
      <w:r>
        <w:t xml:space="preserve">, S unbounded; O 0.50 and C</w:t>
      </w:r>
      <w:r>
        <w:t xml:space="preserve"> </w:t>
      </w:r>
      <m:oMath>
        <m:r>
          <m:rPr>
            <m:sty m:val="p"/>
          </m:rPr>
          <m:t>−</m:t>
        </m:r>
        <m:r>
          <m:t>0.01</m:t>
        </m:r>
      </m:oMath>
      <w:r>
        <w:t xml:space="preserve">, both failing); the post-hoc cascade edges are labeled on-figure as hypothesis-generating only.</w:t>
      </w:r>
    </w:p>
    <w:bookmarkEnd w:id="155"/>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w:t>
      </w:r>
      <w:r>
        <w:t xml:space="preserve"> </w:t>
      </w:r>
      <w:r>
        <w:t xml:space="preserve">,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m:oMath>
        <m:r>
          <m:rPr>
            <m:sty m:val="p"/>
          </m:rPr>
          <m:t>×</m:t>
        </m:r>
      </m:oMath>
      <w:r>
        <w:t xml:space="preserve"> </w:t>
      </w:r>
      <w:r>
        <w:t xml:space="preserve">seven-neuron-type electrophysiological dataset shows modulators act through separable parameter dimensions (subthreshold/adaptation vs. spike threshold/reset), i.e., the operator picture is empirically separable at the cellular level</w:t>
      </w:r>
      <w:r>
        <w:t xml:space="preserve"> </w:t>
      </w:r>
      <w:r>
        <w:t xml:space="preserve">. At the large-scale end, mean-field work maps neuromodulation onto exactly the levers §2.9 names — gain, inter-areal coupling, and temporal response windows</w:t>
      </w:r>
      <w:r>
        <w:t xml:space="preserve"> </w:t>
      </w:r>
      <w:r>
        <w:t xml:space="preserve"> </w:t>
      </w:r>
      <w:r>
        <w:t xml:space="preserve">— and neuromodulatory regulation of criticality has been examined empirically (</w:t>
      </w:r>
      <w:r>
        <w:t xml:space="preserve">, doctoral thesis, Vrije Universiteit Amsterdam), connecting this section to §4.4’s contested operating-point hypothesis. A first spiking-style replication was attempted on Brian 2</w:t>
      </w:r>
      <w:r>
        <w:t xml:space="preserve"> </w:t>
      </w:r>
      <w:r>
        <w:t xml:space="preserve"> </w:t>
      </w:r>
      <w:r>
        <w:t xml:space="preserve">—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m:oMath>
        <m:r>
          <m:rPr>
            <m:sty m:val="p"/>
          </m:rPr>
          <m:t>×</m:t>
        </m:r>
      </m:oMath>
      <w:r>
        <w:t xml:space="preserve"> </w:t>
      </w:r>
      <w:r>
        <w:t xml:space="preserve">a global dopamine-like broadcast;</w:t>
      </w:r>
      <w:r>
        <w:t xml:space="preserve"> </w:t>
      </w:r>
      <w:r>
        <w:t xml:space="preserve">)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m:oMath>
        <m:sSup>
          <m:e>
            <m:r>
              <m:t>R</m:t>
            </m:r>
          </m:e>
          <m:sup>
            <m:r>
              <m:t>2</m:t>
            </m:r>
          </m:sup>
        </m:sSup>
      </m:oMath>
      <w:r>
        <w:t xml:space="preserve"> </w:t>
      </w:r>
      <w:r>
        <w:t xml:space="preserve">= 0.874 — the slope is an eligibility-rescaled estimator check, not a</w:t>
      </w:r>
      <w:r>
        <w:t xml:space="preserve"> </w:t>
      </w:r>
      <m:oMath>
        <m:r>
          <m:t>λ</m:t>
        </m:r>
      </m:oMath>
      <w:r>
        <w:t xml:space="preserve"> </w:t>
      </w:r>
      <w:r>
        <w:t xml:space="preserve">estimate; an</w:t>
      </w:r>
      <w:r>
        <w:t xml:space="preserve"> </w:t>
      </w:r>
      <m:oMath>
        <m:sSup>
          <m:e>
            <m:r>
              <m:t>R</m:t>
            </m:r>
          </m:e>
          <m:sup>
            <m:r>
              <m:t>2</m:t>
            </m:r>
          </m:sup>
        </m:sSup>
      </m:oMath>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m:oMath>
        <m:r>
          <m:t>D</m:t>
        </m:r>
        <m:r>
          <m:rPr>
            <m:sty m:val="p"/>
          </m:rPr>
          <m:t>→</m:t>
        </m:r>
        <m:r>
          <m:t>A</m:t>
        </m:r>
      </m:oMath>
      <w:r>
        <w:t xml:space="preserve"> </w:t>
      </w:r>
      <w:r>
        <w:t xml:space="preserve">through</w:t>
      </w:r>
      <w:r>
        <w:t xml:space="preserve"> </w:t>
      </w:r>
      <m:oMath>
        <m:r>
          <m:t>ε</m:t>
        </m:r>
      </m:oMath>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m:oMath>
        <m:r>
          <m:t>O</m:t>
        </m:r>
        <m:r>
          <m:rPr>
            <m:sty m:val="p"/>
          </m:rPr>
          <m:t>→</m:t>
        </m:r>
        <m:r>
          <m:t>D</m:t>
        </m:r>
      </m:oMath>
      <w:r>
        <w:t xml:space="preserve"> </w:t>
      </w:r>
      <w:r>
        <w:t xml:space="preserve">and</w:t>
      </w:r>
      <w:r>
        <w:t xml:space="preserve"> </w:t>
      </w:r>
      <m:oMath>
        <m:r>
          <m:t>C</m:t>
        </m:r>
        <m:r>
          <m:rPr>
            <m:sty m:val="p"/>
          </m:rPr>
          <m:t>→</m:t>
        </m:r>
        <m:r>
          <m:t>S</m:t>
        </m:r>
      </m:oMath>
      <w:r>
        <w:t xml:space="preserve"> </w:t>
      </w:r>
      <w:r>
        <w:t xml:space="preserve">in the mean field (p = 0.0053, exact permutation),</w:t>
      </w:r>
      <w:r>
        <w:t xml:space="preserve"> </w:t>
      </w:r>
      <m:oMath>
        <m:r>
          <m:t>O</m:t>
        </m:r>
        <m:r>
          <m:rPr>
            <m:sty m:val="p"/>
          </m:rPr>
          <m:t>→</m:t>
        </m:r>
        <m:r>
          <m:t>D</m:t>
        </m:r>
      </m:oMath>
      <w:r>
        <w:t xml:space="preserve">,</w:t>
      </w:r>
      <w:r>
        <w:t xml:space="preserve"> </w:t>
      </w:r>
      <m:oMath>
        <m:r>
          <m:t>C</m:t>
        </m:r>
        <m:r>
          <m:rPr>
            <m:sty m:val="p"/>
          </m:rPr>
          <m:t>→</m:t>
        </m:r>
        <m:r>
          <m:t>S</m:t>
        </m:r>
      </m:oMath>
      <w:r>
        <w:t xml:space="preserve"> </w:t>
      </w:r>
      <w:r>
        <w:t xml:space="preserve">and</w:t>
      </w:r>
      <w:r>
        <w:t xml:space="preserve"> </w:t>
      </w:r>
      <m:oMath>
        <m:r>
          <m:t>D</m:t>
        </m:r>
        <m:r>
          <m:rPr>
            <m:sty m:val="p"/>
          </m:rPr>
          <m:t>→</m:t>
        </m:r>
        <m:r>
          <m:t>A</m:t>
        </m:r>
      </m:oMath>
      <w:r>
        <w:t xml:space="preserve"> </w:t>
      </w:r>
      <w:r>
        <w:t xml:space="preserve">in the spiking substrate (p = 0.0105); in the independent verification reconstruction this concentration is only partially consistent (</w:t>
      </w:r>
      <m:oMath>
        <m:r>
          <m:t>O</m:t>
        </m:r>
        <m:r>
          <m:rPr>
            <m:sty m:val="p"/>
          </m:rPr>
          <m:t>→</m:t>
        </m:r>
        <m:r>
          <m:t>D</m:t>
        </m:r>
      </m:oMath>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m:oMath>
        <m:r>
          <m:t>D</m:t>
        </m:r>
        <m:r>
          <m:rPr>
            <m:sty m:val="p"/>
          </m:rPr>
          <m:t>→</m:t>
        </m:r>
        <m:r>
          <m:t>S</m:t>
        </m:r>
      </m:oMath>
      <w:r>
        <w:t xml:space="preserve"> </w:t>
      </w:r>
      <w:r>
        <w:t xml:space="preserve">in the spiking substrate) disclosed in §S.10.2. The anatomically detailed Snudda/Neuromodcell replication remains the registered next instrument.</w:t>
      </w:r>
    </w:p>
    <w:bookmarkEnd w:id="156"/>
    <w:bookmarkStart w:id="161" w:name="sec:f1series"/>
    <w:p>
      <w:pPr>
        <w:pStyle w:val="Heading2"/>
      </w:pPr>
      <w:r>
        <w:t xml:space="preserve">5.6 Connectome-scale gating: the F1 simulation series</w:t>
      </w:r>
      <w:r>
        <w:t xml:space="preserve"> </w:t>
      </w:r>
      <w:r>
        <w:t xml:space="preserve">[SIMULATION]</w:t>
      </w:r>
    </w:p>
    <w:bookmarkStart w:id="160" w:name="fig:f1series"/>
    <w:p>
      <w:pPr>
        <w:pStyle w:val="CaptionedFigure"/>
      </w:pPr>
      <w:r>
        <w:drawing>
          <wp:inline>
            <wp:extent cx="5334000" cy="1859881"/>
            <wp:effectExtent b="0" l="0" r="0" t="0"/>
            <wp:docPr descr="" title="" id="158" name="Picture"/>
            <a:graphic>
              <a:graphicData uri="http://schemas.openxmlformats.org/drawingml/2006/picture">
                <pic:pic>
                  <pic:nvPicPr>
                    <pic:cNvPr descr="figures/figF1_series_verdicts.png" id="159" name="Picture"/>
                    <pic:cNvPicPr>
                      <a:picLocks noChangeArrowheads="1" noChangeAspect="1"/>
                    </pic:cNvPicPr>
                  </pic:nvPicPr>
                  <pic:blipFill>
                    <a:blip r:embed="rId157"/>
                    <a:stretch>
                      <a:fillRect/>
                    </a:stretch>
                  </pic:blipFill>
                  <pic:spPr bwMode="auto">
                    <a:xfrm>
                      <a:off x="0" y="0"/>
                      <a:ext cx="5334000" cy="1859881"/>
                    </a:xfrm>
                    <a:prstGeom prst="rect">
                      <a:avLst/>
                    </a:prstGeom>
                    <a:noFill/>
                    <a:ln w="9525">
                      <a:noFill/>
                      <a:headEnd/>
                      <a:tailEnd/>
                    </a:ln>
                  </pic:spPr>
                </pic:pic>
              </a:graphicData>
            </a:graphic>
          </wp:inline>
        </w:drawing>
      </w:r>
    </w:p>
    <w:p>
      <w:pPr>
        <w:pStyle w:val="ImageCaption"/>
      </w:pPr>
      <w:r>
        <w:rPr>
          <w:b/>
          <w:bCs/>
        </w:rPr>
        <w:t xml:space="preserve">Figure 24.</w:t>
      </w:r>
      <w:r>
        <w:t xml:space="preserve"> </w:t>
      </w:r>
      <w:r>
        <w:t xml:space="preserve">The F1 series under frozen criteria. Left: F1a2 run-mean</w:t>
      </w:r>
      <w:r>
        <w:t xml:space="preserve"> </w:t>
      </w:r>
      <m:oMath>
        <m:sSub>
          <m:e>
            <m:r>
              <m:t>R</m:t>
            </m:r>
          </m:e>
          <m:sub>
            <m:r>
              <m:rPr>
                <m:nor/>
                <m:sty m:val="p"/>
              </m:rPr>
              <m:t>final</m:t>
            </m:r>
          </m:sub>
        </m:sSub>
      </m:oMath>
      <w:r>
        <w:t xml:space="preserve"> </w:t>
      </w:r>
      <w:r>
        <w:t xml:space="preserve">by arm — acquisition intact (blue), abolition controls</w:t>
      </w:r>
      <w:r>
        <w:t xml:space="preserve"> </w:t>
      </w:r>
      <w:r>
        <w:t xml:space="preserve">(red): partner permutation attenuates but does not abolish acquisition,</w:t>
      </w:r>
      <w:r>
        <w:t xml:space="preserve"> </w:t>
      </w:r>
      <w:r>
        <w:t xml:space="preserve">failing the</w:t>
      </w:r>
      <w:r>
        <w:t xml:space="preserve"> </w:t>
      </w:r>
      <m:oMath>
        <m:r>
          <m:rPr>
            <m:sty m:val="p"/>
          </m:rPr>
          <m:t>&gt;</m:t>
        </m:r>
        <m:r>
          <m:t>0.95</m:t>
        </m:r>
      </m:oMath>
      <w:r>
        <w:t xml:space="preserve"> </w:t>
      </w:r>
      <w:r>
        <w:t xml:space="preserve">abolition criterion under</w:t>
      </w:r>
      <w:r>
        <w:t xml:space="preserve"> </w:t>
      </w:r>
      <w:r>
        <w:t xml:space="preserve">both readings (0.873 position-based; 0.680 class-faithful). Right: F1b</w:t>
      </w:r>
      <w:r>
        <w:t xml:space="preserve"> </w:t>
      </w:r>
      <w:r>
        <w:t xml:space="preserve">compartment-resolved DAN gating — all seven frozen criteria MET as</w:t>
      </w:r>
      <w:r>
        <w:t xml:space="preserve"> </w:t>
      </w:r>
      <w:r>
        <w:t xml:space="preserve">frozen (green; criteria 6–7 met at a floor-saturation value that is a</w:t>
      </w:r>
      <w:r>
        <w:t xml:space="preserve"> </w:t>
      </w:r>
      <w:r>
        <w:t xml:space="preserve">calibration artifact, so the evidential weight rests on criteria 1–5).</w:t>
      </w:r>
      <w:r>
        <w:t xml:space="preserve"> </w:t>
      </w:r>
      <w:r>
        <w:t xml:space="preserve">Per-run values and curves: simf1_work deposit</w:t>
      </w:r>
      <w:r>
        <w:t xml:space="preserve"> </w:t>
      </w:r>
      <w:r>
        <w:t xml:space="preserve">(OSF, DOI: [insert]).</w:t>
      </w:r>
    </w:p>
    <w:bookmarkEnd w:id="160"/>
    <w:p>
      <w:pPr>
        <w:pStyle w:val="BodyText"/>
      </w:pPr>
      <w:r>
        <w:t xml:space="preserve">The carrier-gating claims of §2 were tested directly in the largest</w:t>
      </w:r>
      <w:r>
        <w:t xml:space="preserve"> </w:t>
      </w:r>
      <w:r>
        <w:t xml:space="preserve">available connectome instrument: the whole-brain FlyWire v783 fruit-fly</w:t>
      </w:r>
      <w:r>
        <w:t xml:space="preserve"> </w:t>
      </w:r>
      <w:r>
        <w:t xml:space="preserve">connectome under the published Shiu et al. (2024) leaky integrate-and-fire</w:t>
      </w:r>
      <w:r>
        <w:t xml:space="preserve"> </w:t>
      </w:r>
      <w:r>
        <w:t xml:space="preserve">default parameters (FlyWire data CC BY-NC 4.0, used here under</w:t>
      </w:r>
      <w:r>
        <w:t xml:space="preserve"> </w:t>
      </w:r>
      <w:r>
        <w:t xml:space="preserve">non-commercial research terms; the model parameters are used unmodified for</w:t>
      </w:r>
      <w:r>
        <w:t xml:space="preserve"> </w:t>
      </w:r>
      <w:r>
        <w:t xml:space="preserve">cross-study comparability). Four studies, each fully pre-registered with</w:t>
      </w:r>
      <w:r>
        <w:t xml:space="preserve"> </w:t>
      </w:r>
      <w:r>
        <w:t xml:space="preserve">frozen PASS/FAIL/INDETERMINATE criteria before any criterion-relevant data</w:t>
      </w:r>
      <w:r>
        <w:t xml:space="preserve"> </w:t>
      </w:r>
      <w:r>
        <w:t xml:space="preserve">were touched; INDETERMINATE outcomes are reported, never dropped. The</w:t>
      </w:r>
      <w:r>
        <w:t xml:space="preserve"> </w:t>
      </w:r>
      <w:r>
        <w:t xml:space="preserve">series verdicts are summarized in Figure 24.</w:t>
      </w:r>
    </w:p>
    <w:p>
      <w:pPr>
        <w:pStyle w:val="BodyText"/>
      </w:pPr>
      <w:r>
        <w:rPr>
          <w:i/>
          <w:iCs/>
        </w:rPr>
        <w:t xml:space="preserve">Reference gate (PASS).</w:t>
      </w:r>
      <w:r>
        <w:t xml:space="preserve"> </w:t>
      </w:r>
      <w:r>
        <w:t xml:space="preserve">A sugar gustatory-receptor drive</w:t>
      </w:r>
      <w:r>
        <w:t xml:space="preserve"> </w:t>
      </w:r>
      <w:r>
        <w:t xml:space="preserve">(20/21 published receptor IDs present in v783) recruits the MN9 motor</w:t>
      </w:r>
      <w:r>
        <w:t xml:space="preserve"> </w:t>
      </w:r>
      <w:r>
        <w:t xml:space="preserve">neuron at 86/73/82/86 spikes per 1 s trial (</w:t>
      </w:r>
      <m:oMath>
        <m:sSub>
          <m:e>
            <m:r>
              <m:t>n</m:t>
            </m:r>
          </m:e>
          <m:sub>
            <m:r>
              <m:rPr>
                <m:nor/>
                <m:sty m:val="p"/>
              </m:rPr>
              <m:t>run</m:t>
            </m:r>
          </m:sub>
        </m:sSub>
        <m:r>
          <m:rPr>
            <m:sty m:val="p"/>
          </m:rPr>
          <m:t>=</m:t>
        </m:r>
        <m:r>
          <m:t>4</m:t>
        </m:r>
      </m:oMath>
      <w:r>
        <w:t xml:space="preserve">); the frozen</w:t>
      </w:r>
      <w:r>
        <w:t xml:space="preserve"> </w:t>
      </w:r>
      <w:r>
        <w:t xml:space="preserve">connectivity-shuffle control (partners permuted, weights preserved,</w:t>
      </w:r>
      <w:r>
        <w:t xml:space="preserve"> </w:t>
      </w:r>
      <w:r>
        <w:t xml:space="preserve">seed 42) fires 0/0/0/0. The instrument reads biological structure, not</w:t>
      </w:r>
      <w:r>
        <w:t xml:space="preserve"> </w:t>
      </w:r>
      <w:r>
        <w:t xml:space="preserve">noise.</w:t>
      </w:r>
    </w:p>
    <w:p>
      <w:pPr>
        <w:pStyle w:val="BodyText"/>
      </w:pPr>
      <w:r>
        <w:rPr>
          <w:i/>
          <w:iCs/>
        </w:rPr>
        <w:t xml:space="preserve">F1a (INDETERMINATE, instrument).</w:t>
      </w:r>
      <w:r>
        <w:t xml:space="preserve"> </w:t>
      </w:r>
      <w:r>
        <w:t xml:space="preserve">The frozen conditioning circuit</w:t>
      </w:r>
      <w:r>
        <w:t xml:space="preserve"> </w:t>
      </w:r>
      <w:r>
        <w:t xml:space="preserve">battery evoked zero Kenyon-cell and zero MBON spikes under the frozen</w:t>
      </w:r>
      <w:r>
        <w:t xml:space="preserve"> </w:t>
      </w:r>
      <w:r>
        <w:t xml:space="preserve">single-glomerulus drive: the published calibration cannot be recruited by</w:t>
      </w:r>
      <w:r>
        <w:t xml:space="preserve"> </w:t>
      </w:r>
      <w:r>
        <w:t xml:space="preserve">10 projection neurons, while the PN</w:t>
      </w:r>
      <m:oMath>
        <m:r>
          <m:rPr>
            <m:sty m:val="p"/>
          </m:rPr>
          <m:t>→</m:t>
        </m:r>
      </m:oMath>
      <w:r>
        <w:t xml:space="preserve">KC</w:t>
      </w:r>
      <m:oMath>
        <m:r>
          <m:rPr>
            <m:sty m:val="p"/>
          </m:rPr>
          <m:t>→</m:t>
        </m:r>
      </m:oMath>
      <w:r>
        <w:t xml:space="preserve">MBON chain itself works</w:t>
      </w:r>
      <w:r>
        <w:t xml:space="preserve"> </w:t>
      </w:r>
      <w:r>
        <w:t xml:space="preserve">under full-PN drive (layer-by-layer diagnosis in the deposit). No criterion</w:t>
      </w:r>
      <w:r>
        <w:t xml:space="preserve"> </w:t>
      </w:r>
      <w:r>
        <w:t xml:space="preserve">was violated; none was evaluable. This is a property of the published</w:t>
      </w:r>
      <w:r>
        <w:t xml:space="preserve"> </w:t>
      </w:r>
      <w:r>
        <w:t xml:space="preserve">model calibration, not of the gating overlay, and it is reported as</w:t>
      </w:r>
      <w:r>
        <w:t xml:space="preserve"> </w:t>
      </w:r>
      <w:r>
        <w:t xml:space="preserve">scored.</w:t>
      </w:r>
    </w:p>
    <w:p>
      <w:pPr>
        <w:pStyle w:val="BodyText"/>
      </w:pPr>
      <w:r>
        <w:rPr>
          <w:i/>
          <w:iCs/>
        </w:rPr>
        <w:t xml:space="preserve">F1a2 (FAIL on the permutation criterion).</w:t>
      </w:r>
      <w:r>
        <w:t xml:space="preserve"> </w:t>
      </w:r>
      <w:r>
        <w:t xml:space="preserve">With a recruiting drive</w:t>
      </w:r>
      <w:r>
        <w:t xml:space="preserve"> </w:t>
      </w:r>
      <w:r>
        <w:t xml:space="preserve">and PAM-direct appetitive US, aversive and appetitive acquisition both</w:t>
      </w:r>
      <w:r>
        <w:t xml:space="preserve"> </w:t>
      </w:r>
      <w:r>
        <w:t xml:space="preserve">proceed (run-mean</w:t>
      </w:r>
      <w:r>
        <w:t xml:space="preserve"> </w:t>
      </w:r>
      <m:oMath>
        <m:sSub>
          <m:e>
            <m:r>
              <m:t>R</m:t>
            </m:r>
          </m:e>
          <m:sub>
            <m:r>
              <m:rPr>
                <m:nor/>
                <m:sty m:val="p"/>
              </m:rPr>
              <m:t>final</m:t>
            </m:r>
          </m:sub>
        </m:sSub>
        <m:r>
          <m:rPr>
            <m:sty m:val="p"/>
          </m:rPr>
          <m:t>=</m:t>
        </m:r>
        <m:r>
          <m:t>0.401</m:t>
        </m:r>
      </m:oMath>
      <w:r>
        <w:t xml:space="preserve"> </w:t>
      </w:r>
      <w:r>
        <w:t xml:space="preserve">and</w:t>
      </w:r>
      <w:r>
        <w:t xml:space="preserve"> </w:t>
      </w:r>
      <m:oMath>
        <m:r>
          <m:t>0.399</m:t>
        </m:r>
      </m:oMath>
      <w:r>
        <w:t xml:space="preserve">,</w:t>
      </w:r>
      <w:r>
        <w:t xml:space="preserve"> </w:t>
      </w:r>
      <m:oMath>
        <m:r>
          <m:t>ρ</m:t>
        </m:r>
        <m:r>
          <m:rPr>
            <m:sty m:val="p"/>
          </m:rPr>
          <m:t>=</m:t>
        </m:r>
        <m:r>
          <m:rPr>
            <m:sty m:val="p"/>
          </m:rPr>
          <m:t>−</m:t>
        </m:r>
        <m:r>
          <m:t>1.000</m:t>
        </m:r>
      </m:oMath>
      <w:r>
        <w:t xml:space="preserve">), dopaminergic ablation flattens learning</w:t>
      </w:r>
      <w:r>
        <w:t xml:space="preserve"> </w:t>
      </w:r>
      <w:r>
        <w:t xml:space="preserve">(</w:t>
      </w:r>
      <m:oMath>
        <m:sSub>
          <m:e>
            <m:r>
              <m:t>R</m:t>
            </m:r>
          </m:e>
          <m:sub>
            <m:r>
              <m:rPr>
                <m:nor/>
                <m:sty m:val="p"/>
              </m:rPr>
              <m:t>final</m:t>
            </m:r>
          </m:sub>
        </m:sSub>
        <m:r>
          <m:rPr>
            <m:sty m:val="p"/>
          </m:rPr>
          <m:t>=</m:t>
        </m:r>
        <m:r>
          <m:t>1.015</m:t>
        </m:r>
      </m:oMath>
      <w:r>
        <w:t xml:space="preserve">), and stabilization ablation recovers on the</w:t>
      </w:r>
      <w:r>
        <w:t xml:space="preserve"> </w:t>
      </w:r>
      <w:r>
        <w:t xml:space="preserve">frozen schedule. But the frozen control of biological specificity —</w:t>
      </w:r>
      <w:r>
        <w:t xml:space="preserve"> </w:t>
      </w:r>
      <w:r>
        <w:t xml:space="preserve">global permutation of presynaptic partners with weights preserved —</w:t>
      </w:r>
      <w:r>
        <w:t xml:space="preserve"> </w:t>
      </w:r>
      <w:r>
        <w:t xml:space="preserve">fails to abolish acquisition:</w:t>
      </w:r>
      <w:r>
        <w:t xml:space="preserve"> </w:t>
      </w:r>
      <m:oMath>
        <m:sSub>
          <m:e>
            <m:r>
              <m:t>R</m:t>
            </m:r>
          </m:e>
          <m:sub>
            <m:r>
              <m:rPr>
                <m:nor/>
                <m:sty m:val="p"/>
              </m:rPr>
              <m:t>final</m:t>
            </m:r>
          </m:sub>
        </m:sSub>
        <m:r>
          <m:rPr>
            <m:sty m:val="p"/>
          </m:rPr>
          <m:t>=</m:t>
        </m:r>
        <m:r>
          <m:t>0.873</m:t>
        </m:r>
      </m:oMath>
      <w:r>
        <w:t xml:space="preserve"> </w:t>
      </w:r>
      <w:r>
        <w:t xml:space="preserve">position-based and</w:t>
      </w:r>
      <w:r>
        <w:t xml:space="preserve"> </w:t>
      </w:r>
      <m:oMath>
        <m:r>
          <m:t>0.680</m:t>
        </m:r>
      </m:oMath>
      <w:r>
        <w:t xml:space="preserve"> </w:t>
      </w:r>
      <w:r>
        <w:t xml:space="preserve">class-faithful against the abolition criterion</w:t>
      </w:r>
      <w:r>
        <w:t xml:space="preserve"> </w:t>
      </w:r>
      <m:oMath>
        <m:r>
          <m:rPr>
            <m:sty m:val="p"/>
          </m:rPr>
          <m:t>&gt;</m:t>
        </m:r>
        <m:r>
          <m:t>0.95</m:t>
        </m:r>
      </m:oMath>
      <w:r>
        <w:t xml:space="preserve"> </w:t>
      </w:r>
      <w:r>
        <w:t xml:space="preserve">(criterion 5 NOT MET under both readings; one further arm</w:t>
      </w:r>
      <w:r>
        <w:t xml:space="preserve"> </w:t>
      </w:r>
      <w:r>
        <w:t xml:space="preserve">INDETERMINATE-instrument, reported). The cause is structural and was</w:t>
      </w:r>
      <w:r>
        <w:t xml:space="preserve"> </w:t>
      </w:r>
      <w:r>
        <w:t xml:space="preserve">quantified: Kenyon cells supply 0.982 of the entire MBON input budget</w:t>
      </w:r>
      <w:r>
        <w:t xml:space="preserve"> </w:t>
      </w:r>
      <w:r>
        <w:t xml:space="preserve">(261</w:t>
      </w:r>
      <w:r>
        <w:t xml:space="preserve">,</w:t>
      </w:r>
      <w:r>
        <w:t xml:space="preserve">521 synapse weight onto 96 MBONs; 5</w:t>
      </w:r>
      <w:r>
        <w:t xml:space="preserve">,</w:t>
      </w:r>
      <w:r>
        <w:t xml:space="preserve">177 KCs) — when one class</w:t>
      </w:r>
      <w:r>
        <w:t xml:space="preserve"> </w:t>
      </w:r>
      <w:r>
        <w:rPr>
          <w:i/>
          <w:iCs/>
        </w:rPr>
        <w:t xml:space="preserve">is</w:t>
      </w:r>
      <w:r>
        <w:t xml:space="preserve"> </w:t>
      </w:r>
      <w:r>
        <w:t xml:space="preserve">the budget, no partner permutation can starve the readout of</w:t>
      </w:r>
      <w:r>
        <w:t xml:space="preserve"> </w:t>
      </w:r>
      <w:r>
        <w:t xml:space="preserve">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w:t>
      </w:r>
      <w:r>
        <w:t xml:space="preserve"> </w:t>
      </w:r>
      <w:r>
        <w:t xml:space="preserve">compartment-resolved DAN gating (the anatomically correct granularity:</w:t>
      </w:r>
      <w:r>
        <w:t xml:space="preserve"> </w:t>
      </w:r>
      <w:r>
        <w:t xml:space="preserve">each MBON compartment is innervated by its own dopaminergic population)</w:t>
      </w:r>
      <w:r>
        <w:t xml:space="preserve"> </w:t>
      </w:r>
      <w:r>
        <w:t xml:space="preserve">restores selectivity: compartment-targeted aversive acquisition</w:t>
      </w:r>
      <w:r>
        <w:t xml:space="preserve"> </w:t>
      </w:r>
      <m:oMath>
        <m:sSub>
          <m:e>
            <m:r>
              <m:t>R</m:t>
            </m:r>
          </m:e>
          <m:sub>
            <m:r>
              <m:rPr>
                <m:nor/>
                <m:sty m:val="p"/>
              </m:rPr>
              <m:t>cond,final</m:t>
            </m:r>
          </m:sub>
        </m:sSub>
        <m:r>
          <m:rPr>
            <m:sty m:val="p"/>
          </m:rPr>
          <m:t>=</m:t>
        </m:r>
        <m:r>
          <m:t>0.451</m:t>
        </m:r>
      </m:oMath>
      <w:r>
        <w:t xml:space="preserve"> </w:t>
      </w:r>
      <w:r>
        <w:t xml:space="preserve">(</w:t>
      </w:r>
      <m:oMath>
        <m:r>
          <m:t>ρ</m:t>
        </m:r>
        <m:r>
          <m:rPr>
            <m:sty m:val="p"/>
          </m:rPr>
          <m:t>=</m:t>
        </m:r>
        <m:r>
          <m:rPr>
            <m:sty m:val="p"/>
          </m:rPr>
          <m:t>−</m:t>
        </m:r>
        <m:r>
          <m:t>1.000</m:t>
        </m:r>
      </m:oMath>
      <w:r>
        <w:t xml:space="preserve">) with non-conditioned</w:t>
      </w:r>
      <w:r>
        <w:t xml:space="preserve"> </w:t>
      </w:r>
      <w:r>
        <w:t xml:space="preserve">compartment specificity</w:t>
      </w:r>
      <w:r>
        <w:t xml:space="preserve"> </w:t>
      </w:r>
      <m:oMath>
        <m:sSub>
          <m:e>
            <m:r>
              <m:t>R</m:t>
            </m:r>
          </m:e>
          <m:sub>
            <m:r>
              <m:rPr>
                <m:nor/>
                <m:sty m:val="p"/>
              </m:rPr>
              <m:t>noncond</m:t>
            </m:r>
          </m:sub>
        </m:sSub>
        <m:r>
          <m:rPr>
            <m:sty m:val="p"/>
          </m:rPr>
          <m:t>=</m:t>
        </m:r>
        <m:r>
          <m:t>0.963</m:t>
        </m:r>
      </m:oMath>
      <w:r>
        <w:t xml:space="preserve">; dopaminergic ablation</w:t>
      </w:r>
      <w:r>
        <w:t xml:space="preserve"> </w:t>
      </w:r>
      <w:r>
        <w:t xml:space="preserve">flat at</w:t>
      </w:r>
      <w:r>
        <w:t xml:space="preserve"> </w:t>
      </w:r>
      <m:oMath>
        <m:r>
          <m:t>0.990</m:t>
        </m:r>
      </m:oMath>
      <w:r>
        <w:t xml:space="preserve">; stabilization ablation recovers by extinction probe 4</w:t>
      </w:r>
      <w:r>
        <w:t xml:space="preserve"> </w:t>
      </w:r>
      <w:r>
        <w:t xml:space="preserve">(0.906 vs. intact 0.817); gate-map shuffles abolish acquisition (1.119 aversive /</w:t>
      </w:r>
      <w:r>
        <w:t xml:space="preserve"> </w:t>
      </w:r>
      <w:r>
        <w:t xml:space="preserve">0.996 appetitive); appetitive acquisition runs to the disclosed floor</w:t>
      </w:r>
      <w:r>
        <w:t xml:space="preserve"> </w:t>
      </w:r>
      <w:r>
        <w:t xml:space="preserve">saturation (</w:t>
      </w:r>
      <m:oMath>
        <m:r>
          <m:t>R</m:t>
        </m:r>
        <m:r>
          <m:rPr>
            <m:sty m:val="p"/>
          </m:rPr>
          <m:t>=</m:t>
        </m:r>
        <m:r>
          <m:t>0.000</m:t>
        </m:r>
      </m:oMath>
      <w:r>
        <w:t xml:space="preserve">, all 3</w:t>
      </w:r>
      <w:r>
        <w:t xml:space="preserve">,</w:t>
      </w:r>
      <w:r>
        <w:t xml:space="preserve">719 KC inputs depression-silenced; reported</w:t>
      </w:r>
      <w:r>
        <w:t xml:space="preserve"> </w:t>
      </w:r>
      <w:r>
        <w:t xml:space="preserve">honestly as a calibration observation). The partner shuffle attenuates</w:t>
      </w:r>
      <w:r>
        <w:t xml:space="preserve"> </w:t>
      </w:r>
      <w:r>
        <w:t xml:space="preserve">but does not abolish (0.681; descriptive, no PASS leg — F1a2 settled</w:t>
      </w:r>
      <w:r>
        <w:t xml:space="preserve"> </w:t>
      </w:r>
      <w:r>
        <w:t xml:space="preserve">the absolute form).</w:t>
      </w:r>
    </w:p>
    <w:p>
      <w:pPr>
        <w:pStyle w:val="BodyText"/>
      </w:pPr>
      <w:r>
        <w:t xml:space="preserve">The series is reported as an arc because that is what the frozen criteria</w:t>
      </w:r>
      <w:r>
        <w:t xml:space="preserve"> </w:t>
      </w:r>
      <w:r>
        <w:t xml:space="preserve">produced: the gate exists (reference PASS), the naive</w:t>
      </w:r>
      <w:r>
        <w:t xml:space="preserve"> </w:t>
      </w:r>
      <w:r>
        <w:t xml:space="preserve">permutation-as-null intuition fails in this wiring regime (F1a2 FAIL,</w:t>
      </w:r>
      <w:r>
        <w:t xml:space="preserve"> </w:t>
      </w:r>
      <w:r>
        <w:t xml:space="preserve">explained by single-class budget dominance 0.982), and compartment-level</w:t>
      </w:r>
      <w:r>
        <w:t xml:space="preserve"> </w:t>
      </w:r>
      <w:r>
        <w:t xml:space="preserve">gate maps are not optional decoration but the required granularity for</w:t>
      </w:r>
      <w:r>
        <w:t xml:space="preserve"> </w:t>
      </w:r>
      <w:r>
        <w:t xml:space="preserve">selective gating (F1b PASS — 7/7 as frozen, with criteria 6–7 met at a</w:t>
      </w:r>
      <w:r>
        <w:t xml:space="preserve"> </w:t>
      </w:r>
      <w:r>
        <w:t xml:space="preserve">floor-saturation calibration artifact; evidential weight on 1–5).</w:t>
      </w:r>
      <w:r>
        <w:t xml:space="preserve"> </w:t>
      </w:r>
      <w:r>
        <w:t xml:space="preserve">Cross-species replication on mammalian cortex follows in</w:t>
      </w:r>
      <w:r>
        <w:t xml:space="preserve"> </w:t>
      </w:r>
      <w:r>
        <w:t xml:space="preserve">§</w:t>
      </w:r>
      <w:hyperlink w:anchor="sec:h1microns">
        <w:r>
          <w:rPr>
            <w:rStyle w:val="Hyperlink"/>
          </w:rPr>
          <w:t xml:space="preserve">5.7</w:t>
        </w:r>
      </w:hyperlink>
      <w:r>
        <w:t xml:space="preserve"> </w:t>
      </w:r>
      <w:r>
        <w:t xml:space="preserve">(Simulation H1): global partner permutation fails</w:t>
      </w:r>
      <w:r>
        <w:t xml:space="preserve"> </w:t>
      </w:r>
      <w:r>
        <w:t xml:space="preserve">to abolish function there as well — on a different metric (a throughput</w:t>
      </w:r>
      <w:r>
        <w:t xml:space="preserve"> </w:t>
      </w:r>
      <w:r>
        <w:t xml:space="preserve">ratio, vs. the fly’s abolition index) — and the</w:t>
      </w:r>
      <w:r>
        <w:t xml:space="preserve"> </w:t>
      </w:r>
      <w:r>
        <w:t xml:space="preserve">single-class-dominance basis does not transfer.</w:t>
      </w:r>
      <w:r>
        <w:t xml:space="preserve"> </w:t>
      </w:r>
      <w:r>
        <w:t xml:space="preserve">Registrations, amendments, closures, readout CSVs, and logs are deposited</w:t>
      </w:r>
      <w:r>
        <w:t xml:space="preserve"> </w:t>
      </w:r>
      <w:r>
        <w:t xml:space="preserve">at OSF (DOI: [insert]).</w:t>
      </w:r>
    </w:p>
    <w:bookmarkEnd w:id="161"/>
    <w:bookmarkStart w:id="166" w:name="sec:h1microns"/>
    <w:p>
      <w:pPr>
        <w:pStyle w:val="Heading2"/>
      </w:pPr>
      <w:r>
        <w:t xml:space="preserve">5.7 Cross-species replication: Simulation H1 on MICrONS mouse cortex</w:t>
      </w:r>
      <w:r>
        <w:t xml:space="preserve"> </w:t>
      </w:r>
      <w:r>
        <w:t xml:space="preserve">[SIMULATION]</w:t>
      </w:r>
    </w:p>
    <w:p>
      <w:pPr>
        <w:pStyle w:val="FirstParagraph"/>
      </w:pPr>
      <w:r>
        <w:rPr>
          <w:b/>
          <w:bCs/>
        </w:rPr>
        <w:t xml:space="preserve">Question.</w:t>
      </w:r>
      <w:r>
        <w:t xml:space="preserve"> </w:t>
      </w:r>
      <w:r>
        <w:t xml:space="preserve">The F1 series (§</w:t>
      </w:r>
      <w:hyperlink w:anchor="sec:f1series">
        <w:r>
          <w:rPr>
            <w:rStyle w:val="Hyperlink"/>
          </w:rPr>
          <w:t xml:space="preserve">5.6</w:t>
        </w:r>
      </w:hyperlink>
      <w:r>
        <w:t xml:space="preserve">) established the</w:t>
      </w:r>
      <w:r>
        <w:t xml:space="preserve"> </w:t>
      </w:r>
      <w:r>
        <w:t xml:space="preserve">fly mushroom body’s functional regime — one class occupying a dominant</w:t>
      </w:r>
      <w:r>
        <w:t xml:space="preserve"> </w:t>
      </w:r>
      <w:r>
        <w:t xml:space="preserve">share of a region’s input budget, where partner permutation attenuated</w:t>
      </w:r>
      <w:r>
        <w:t xml:space="preserve"> </w:t>
      </w:r>
      <w:r>
        <w:t xml:space="preserve">but did not abolish learning. Is that regime a general cortical pattern,</w:t>
      </w:r>
      <w:r>
        <w:t xml:space="preserve"> </w:t>
      </w:r>
      <w:r>
        <w:t xml:space="preserve">or a property of that particular circuit? Simulation H1 (pre-registered;</w:t>
      </w:r>
      <w:r>
        <w:t xml:space="preserve"> </w:t>
      </w:r>
      <w:r>
        <w:t xml:space="preserve">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w:t>
      </w:r>
      <w:r>
        <w:t xml:space="preserve"> </w:t>
      </w:r>
      <w:r>
        <w:t xml:space="preserve">of 12</w:t>
      </w:r>
      <w:r>
        <w:t xml:space="preserve">,</w:t>
      </w:r>
      <w:r>
        <w:t xml:space="preserve">000 post-synaptic roots (seed 45; 8</w:t>
      </w:r>
      <w:r>
        <w:t xml:space="preserve">,</w:t>
      </w:r>
      <w:r>
        <w:t xml:space="preserve">256 class-typed, spanning</w:t>
      </w:r>
      <w:r>
        <w:t xml:space="preserve"> </w:t>
      </w:r>
      <w:r>
        <w:t xml:space="preserve">11 classes from 23P and 4P through basket, Martinotti, and neurogliaform</w:t>
      </w:r>
      <w:r>
        <w:t xml:space="preserve"> </w:t>
      </w:r>
      <w:r>
        <w:t xml:space="preserve">cells) with the complete typed-pre-synaptic input table: 722</w:t>
      </w:r>
      <w:r>
        <w:t xml:space="preserve">,</w:t>
      </w:r>
      <w:r>
        <w:t xml:space="preserve">253 unique</w:t>
      </w:r>
      <w:r>
        <w:t xml:space="preserve"> </w:t>
      </w:r>
      <w:r>
        <w:t xml:space="preserve">pairs, 1</w:t>
      </w:r>
      <w:r>
        <w:t xml:space="preserve">,</w:t>
      </w:r>
      <w:r>
        <w:t xml:space="preserve">169</w:t>
      </w:r>
      <w:r>
        <w:t xml:space="preserve">,</w:t>
      </w:r>
      <w:r>
        <w:t xml:space="preserve">652 synapses, 42</w:t>
      </w:r>
      <w:r>
        <w:t xml:space="preserve">,</w:t>
      </w:r>
      <w:r>
        <w:t xml:space="preserve">744 pre-synaptic partners. Four</w:t>
      </w:r>
      <w:r>
        <w:t xml:space="preserve"> </w:t>
      </w:r>
      <w:r>
        <w:t xml:space="preserve">disclosed amendments accompanied execution (including a corrected</w:t>
      </w:r>
      <w:r>
        <w:t xml:space="preserve"> </w:t>
      </w:r>
      <w:r>
        <w:t xml:space="preserve">cell-type map rebuilt from the authoritative annotation table after a</w:t>
      </w:r>
      <w:r>
        <w:t xml:space="preserve"> </w:t>
      </w:r>
      <w:r>
        <w:t xml:space="preserve">provenance-corrupted artifact was detected and retired before any</w:t>
      </w:r>
      <w:r>
        <w:t xml:space="preserve"> </w:t>
      </w:r>
      <w:r>
        <w:t xml:space="preserve">criterion quantity was computed).</w:t>
      </w:r>
    </w:p>
    <w:p>
      <w:pPr>
        <w:pStyle w:val="BodyText"/>
      </w:pPr>
      <w:r>
        <w:rPr>
          <w:b/>
          <w:bCs/>
        </w:rPr>
        <w:t xml:space="preserve">H1-A (structural) — FAIL.</w:t>
      </w:r>
      <w:r>
        <w:t xml:space="preserve"> </w:t>
      </w:r>
      <w:r>
        <w:t xml:space="preserve">For each class pair,</w:t>
      </w:r>
      <w:r>
        <w:t xml:space="preserve"> </w:t>
      </w:r>
      <m:oMath>
        <m:sSub>
          <m:e>
            <m:r>
              <m:t>s</m:t>
            </m:r>
          </m:e>
          <m:sub>
            <m:r>
              <m:t>A</m:t>
            </m:r>
            <m:r>
              <m:t>B</m:t>
            </m:r>
          </m:sub>
        </m:sSub>
      </m:oMath>
      <w:r>
        <w:t xml:space="preserve"> </w:t>
      </w:r>
      <w:r>
        <w:t xml:space="preserve">= the</w:t>
      </w:r>
      <w:r>
        <w:t xml:space="preserve"> </w:t>
      </w:r>
      <w:r>
        <w:t xml:space="preserve">class-</w:t>
      </w:r>
      <m:oMath>
        <m:r>
          <m:t>A</m:t>
        </m:r>
      </m:oMath>
      <w:r>
        <w:t xml:space="preserve"> </w:t>
      </w:r>
      <w:r>
        <w:t xml:space="preserve">share of typed synapses onto sampled class-</w:t>
      </w:r>
      <m:oMath>
        <m:r>
          <m:t>B</m:t>
        </m:r>
      </m:oMath>
      <w:r>
        <w:t xml:space="preserve"> </w:t>
      </w:r>
      <w:r>
        <w:t xml:space="preserve">neurons.</w:t>
      </w:r>
      <w:r>
        <w:t xml:space="preserve"> </w:t>
      </w:r>
      <w:r>
        <w:t xml:space="preserve">Criterion A1 (median over classes of the maximum within-row share</w:t>
      </w:r>
      <w:r>
        <w:t xml:space="preserve"> </w:t>
      </w:r>
      <m:oMath>
        <m:r>
          <m:rPr>
            <m:sty m:val="p"/>
          </m:rPr>
          <m:t>≥</m:t>
        </m:r>
        <m:r>
          <m:t>0.50</m:t>
        </m:r>
      </m:oMath>
      <w:r>
        <w:t xml:space="preserve">) fails: median dominance is 0.313, maximum 0.360 (basket</w:t>
      </w:r>
      <w:r>
        <w:t xml:space="preserve"> </w:t>
      </w:r>
      <m:oMath>
        <m:r>
          <m:rPr>
            <m:sty m:val="p"/>
          </m:rPr>
          <m:t>→</m:t>
        </m:r>
      </m:oMath>
      <w:r>
        <w:t xml:space="preserve"> </w:t>
      </w:r>
      <w:r>
        <w:t xml:space="preserve">23P). No cortical class approaches the fly regime, in which Kenyon cells</w:t>
      </w:r>
      <w:r>
        <w:t xml:space="preserve"> </w:t>
      </w:r>
      <w:r>
        <w:t xml:space="preserve">supply 98.2% of the MBON input budget (FlyWire v783 whole-brain count,</w:t>
      </w:r>
      <w:r>
        <w:t xml:space="preserve"> </w:t>
      </w:r>
      <w:r>
        <w:t xml:space="preserve">carried as a dotted reference in Figure 25). Criterion</w:t>
      </w:r>
      <w:r>
        <w:t xml:space="preserve"> </w:t>
      </w:r>
      <w:r>
        <w:t xml:space="preserve">A2 (dominant share tracks availability, gap</w:t>
      </w:r>
      <w:r>
        <w:t xml:space="preserve"> </w:t>
      </w:r>
      <m:oMath>
        <m:r>
          <m:rPr>
            <m:sty m:val="p"/>
          </m:rPr>
          <m:t>≤</m:t>
        </m:r>
        <m:r>
          <m:t>0.15</m:t>
        </m:r>
      </m:oMath>
      <w:r>
        <w:t xml:space="preserve">) holds for 8 of</w:t>
      </w:r>
      <w:r>
        <w:t xml:space="preserve"> </w:t>
      </w:r>
      <w:r>
        <w:t xml:space="preserve">11 classes; the three exceptions are self-recurrent layer-internal</w:t>
      </w:r>
      <w:r>
        <w:t xml:space="preserve"> </w:t>
      </w:r>
      <w:r>
        <w:t xml:space="preserve">motifs: 6P-IT (share 0.348 vs. availability 0.054), 6P-CT (0.238 vs. 0.029), 5P-NP (0.231 vs. 0.005) — same-class recurrence exceeding what</w:t>
      </w:r>
      <w:r>
        <w:t xml:space="preserve"> </w:t>
      </w:r>
      <w:r>
        <w:t xml:space="preserve">partner availability explains; no theory-level prediction bears on this, and it is</w:t>
      </w:r>
      <w:r>
        <w:t xml:space="preserve"> </w:t>
      </w:r>
      <w:r>
        <w:t xml:space="preserve">reported as an exception to A2.</w:t>
      </w:r>
    </w:p>
    <w:p>
      <w:pPr>
        <w:pStyle w:val="BodyText"/>
      </w:pPr>
      <w:r>
        <w:rPr>
          <w:b/>
          <w:bCs/>
        </w:rPr>
        <w:t xml:space="preserve">H1-B (dynamical) — MET.</w:t>
      </w:r>
      <w:r>
        <w:t xml:space="preserve"> </w:t>
      </w:r>
      <w:r>
        <w:t xml:space="preserve">The Brian2 simulation of the F1</w:t>
      </w:r>
      <w:r>
        <w:t xml:space="preserve"> </w:t>
      </w:r>
      <w:r>
        <w:t xml:space="preserve">series (§</w:t>
      </w:r>
      <w:hyperlink w:anchor="sec:f1series">
        <w:r>
          <w:rPr>
            <w:rStyle w:val="Hyperlink"/>
          </w:rPr>
          <w:t xml:space="preserve">5.6</w:t>
        </w:r>
      </w:hyperlink>
      <w:r>
        <w:t xml:space="preserve">; the published Shiu et al. (2024) leaky</w:t>
      </w:r>
      <w:r>
        <w:t xml:space="preserve"> </w:t>
      </w:r>
      <w:r>
        <w:t xml:space="preserve">integrate-and-fire defaults, used unmodified for cross-study</w:t>
      </w:r>
      <w:r>
        <w:t xml:space="preserve"> </w:t>
      </w:r>
      <w:r>
        <w:t xml:space="preserve">comparability), here applied to the MICrONS cortical substrate</w:t>
      </w:r>
      <w:r>
        <w:t xml:space="preserve"> </w:t>
      </w:r>
      <w:r>
        <w:t xml:space="preserve">(1</w:t>
      </w:r>
      <w:r>
        <w:t xml:space="preserve">,</w:t>
      </w:r>
      <w:r>
        <w:t xml:space="preserve">000 ms drive of layer-4 at 150 Hz; readout = summed spikes of</w:t>
      </w:r>
      <w:r>
        <w:t xml:space="preserve"> </w:t>
      </w:r>
      <w:r>
        <w:t xml:space="preserve">non-4P excitatory classes over the final 700 ms), was run intact and</w:t>
      </w:r>
      <w:r>
        <w:t xml:space="preserve"> </w:t>
      </w:r>
      <w:r>
        <w:t xml:space="preserve">under a frozen (seed 42) global partner permutation. Gate B1 passes (4/4</w:t>
      </w:r>
      <w:r>
        <w:t xml:space="preserve"> </w:t>
      </w:r>
      <w:r>
        <w:t xml:space="preserve">intact runs active: 7</w:t>
      </w:r>
      <w:r>
        <w:t xml:space="preserve">,</w:t>
      </w:r>
      <w:r>
        <w:t xml:space="preserve">488 / 7</w:t>
      </w:r>
      <w:r>
        <w:t xml:space="preserve">,</w:t>
      </w:r>
      <w:r>
        <w:t xml:space="preserve">498 / 7</w:t>
      </w:r>
      <w:r>
        <w:t xml:space="preserve">,</w:t>
      </w:r>
      <w:r>
        <w:t xml:space="preserve">489 / 7</w:t>
      </w:r>
      <w:r>
        <w:t xml:space="preserve">,</w:t>
      </w:r>
      <w:r>
        <w:t xml:space="preserve">571 spikes).</w:t>
      </w:r>
      <w:r>
        <w:t xml:space="preserve"> </w:t>
      </w:r>
      <w:r>
        <w:t xml:space="preserve">Permutation does not suppress throughput — it</w:t>
      </w:r>
      <w:r>
        <w:t xml:space="preserve"> </w:t>
      </w:r>
      <w:r>
        <w:rPr>
          <w:i/>
          <w:iCs/>
        </w:rPr>
        <w:t xml:space="preserve">enhances</w:t>
      </w:r>
      <w:r>
        <w:t xml:space="preserve"> </w:t>
      </w:r>
      <w:r>
        <w:t xml:space="preserve">it</w:t>
      </w:r>
      <w:r>
        <w:t xml:space="preserve"> </w:t>
      </w:r>
      <w:r>
        <w:t xml:space="preserve">(permuted mean 10</w:t>
      </w:r>
      <w:r>
        <w:t xml:space="preserve">,</w:t>
      </w:r>
      <w:r>
        <w:t xml:space="preserve">067.25):</w:t>
      </w:r>
      <w:r>
        <w:t xml:space="preserve"> </w:t>
      </w:r>
      <m:oMath>
        <m:sSub>
          <m:e>
            <m:r>
              <m:t>R</m:t>
            </m:r>
          </m:e>
          <m:sub>
            <m:r>
              <m:rPr>
                <m:sty m:val="p"/>
              </m:rPr>
              <m:t>p</m:t>
            </m:r>
            <m:r>
              <m:rPr>
                <m:sty m:val="p"/>
              </m:rPr>
              <m:t>e</m:t>
            </m:r>
            <m:r>
              <m:rPr>
                <m:sty m:val="p"/>
              </m:rPr>
              <m:t>r</m:t>
            </m:r>
            <m:r>
              <m:rPr>
                <m:sty m:val="p"/>
              </m:rPr>
              <m:t>m</m:t>
            </m:r>
          </m:sub>
        </m:sSub>
        <m:r>
          <m:rPr>
            <m:sty m:val="p"/>
          </m:rPr>
          <m:t>=</m:t>
        </m:r>
        <m:r>
          <m:t>1.340</m:t>
        </m:r>
        <m:r>
          <m:rPr>
            <m:sty m:val="p"/>
          </m:rPr>
          <m:t>≥</m:t>
        </m:r>
        <m:r>
          <m:t>0.50</m:t>
        </m:r>
      </m:oMath>
      <w:r>
        <w:t xml:space="preserve">,</w:t>
      </w:r>
      <w:r>
        <w:t xml:space="preserve"> </w:t>
      </w:r>
      <w:r>
        <w:t xml:space="preserve">criterion B2 met. Global partner permutation thus fails to abolish</w:t>
      </w:r>
      <w:r>
        <w:t xml:space="preserve"> </w:t>
      </w:r>
      <w:r>
        <w:t xml:space="preserve">throughput in mammalian cortex as well — on a different metric and</w:t>
      </w:r>
      <w:r>
        <w:t xml:space="preserve"> </w:t>
      </w:r>
      <w:r>
        <w:t xml:space="preserve">criterion than the fly’s (a throughput ratio against a</w:t>
      </w:r>
      <w:r>
        <w:t xml:space="preserve"> </w:t>
      </w:r>
      <m:oMath>
        <m:r>
          <m:rPr>
            <m:sty m:val="p"/>
          </m:rPr>
          <m:t>≥</m:t>
        </m:r>
        <m:r>
          <m:t>0.50</m:t>
        </m:r>
      </m:oMath>
      <w:r>
        <w:t xml:space="preserve"> </w:t>
      </w:r>
      <w:r>
        <w:t xml:space="preserve">retention criterion, vs. the fly’s abolition index with 1 = abolished</w:t>
      </w:r>
      <w:r>
        <w:t xml:space="preserve"> </w:t>
      </w:r>
      <w:r>
        <w:t xml:space="preserve">against</w:t>
      </w:r>
      <w:r>
        <w:t xml:space="preserve"> </w:t>
      </w:r>
      <m:oMath>
        <m:r>
          <m:rPr>
            <m:sty m:val="p"/>
          </m:rPr>
          <m:t>&gt;</m:t>
        </m:r>
        <m:r>
          <m:t>0.95</m:t>
        </m:r>
      </m:oMath>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m:oMath>
        <m:r>
          <m:rPr>
            <m:sty m:val="p"/>
          </m:rPr>
          <m:t>∧</m:t>
        </m:r>
      </m:oMath>
      <w:r>
        <w:t xml:space="preserve"> </w:t>
      </w:r>
      <w:r>
        <w:t xml:space="preserve">A2</w:t>
      </w:r>
      <w:r>
        <w:t xml:space="preserve"> </w:t>
      </w:r>
      <m:oMath>
        <m:r>
          <m:rPr>
            <m:sty m:val="p"/>
          </m:rPr>
          <m:t>∧</m:t>
        </m:r>
      </m:oMath>
      <w:r>
        <w:t xml:space="preserve"> </w:t>
      </w:r>
      <w:r>
        <w:t xml:space="preserve">B2).</w:t>
      </w:r>
      <w:r>
        <w:t xml:space="preserve"> </w:t>
      </w:r>
      <w:r>
        <w:t xml:space="preserve">The fly regime — single-class budget dominance — is not replicated in</w:t>
      </w:r>
      <w:r>
        <w:t xml:space="preserve"> </w:t>
      </w:r>
      <w:r>
        <w:t xml:space="preserve">mouse cortex. What recurs is non-abolition under global partner</w:t>
      </w:r>
      <w:r>
        <w:t xml:space="preserve"> </w:t>
      </w:r>
      <w:r>
        <w:t xml:space="preserve">permutation, on different metrics and criteria: the fly retained</w:t>
      </w:r>
      <w:r>
        <w:t xml:space="preserve"> </w:t>
      </w:r>
      <m:oMath>
        <m:r>
          <m:rPr>
            <m:sty m:val="p"/>
          </m:rPr>
          <m:t>≈</m:t>
        </m:r>
      </m:oMath>
      <w:r>
        <w:t xml:space="preserve">21% (position-based) to</w:t>
      </w:r>
      <w:r>
        <w:t xml:space="preserve"> </w:t>
      </w:r>
      <m:oMath>
        <m:r>
          <m:rPr>
            <m:sty m:val="p"/>
          </m:rPr>
          <m:t>≈</m:t>
        </m:r>
      </m:oMath>
      <w:r>
        <w:t xml:space="preserve">53% (class-faithful) of the</w:t>
      </w:r>
      <w:r>
        <w:t xml:space="preserve"> </w:t>
      </w:r>
      <w:r>
        <w:t xml:space="preserve">intact learning effect against an abolition criterion (</w:t>
      </w:r>
      <m:oMath>
        <m:r>
          <m:rPr>
            <m:sty m:val="p"/>
          </m:rPr>
          <m:t>&gt;</m:t>
        </m:r>
        <m:r>
          <m:t>0.95</m:t>
        </m:r>
        <m:r>
          <m:rPr>
            <m:sty m:val="p"/>
          </m:rPr>
          <m:t>,</m:t>
        </m:r>
      </m:oMath>
      <w:r>
        <w:t xml:space="preserve"> </w:t>
      </w:r>
      <w:r>
        <w:t xml:space="preserve">failed),</w:t>
      </w:r>
      <w:r>
        <w:t xml:space="preserve"> </w:t>
      </w:r>
      <w:r>
        <w:t xml:space="preserve">while mouse cortex retained 134% of throughput against a retention</w:t>
      </w:r>
      <w:r>
        <w:t xml:space="preserve"> </w:t>
      </w:r>
      <w:r>
        <w:t xml:space="preserve">criterion (</w:t>
      </w:r>
      <m:oMath>
        <m:r>
          <m:rPr>
            <m:sty m:val="p"/>
          </m:rPr>
          <m:t>≥</m:t>
        </m:r>
        <m:r>
          <m:t>0.50</m:t>
        </m:r>
        <m:r>
          <m:rPr>
            <m:sty m:val="p"/>
          </m:rPr>
          <m:t>,</m:t>
        </m:r>
      </m:oMath>
      <w:r>
        <w:t xml:space="preserve"> </w:t>
      </w:r>
      <w:r>
        <w:t xml:space="preserve">met) — not a matched quantitative replication.</w:t>
      </w:r>
      <w:r>
        <w:t xml:space="preserve"> </w:t>
      </w:r>
      <w:r>
        <w:t xml:space="preserve">In the mouse, the non-abolition is supported by distributed,</w:t>
      </w:r>
      <w:r>
        <w:t xml:space="preserve"> </w:t>
      </w:r>
      <w:r>
        <w:t xml:space="preserve">availability-tracking class budgets rather than by one dominant class:</w:t>
      </w:r>
      <w:r>
        <w:t xml:space="preserve"> </w:t>
      </w:r>
      <w:r>
        <w:t xml:space="preserve">the structural basis differs. A human-cortex replication (H01, H01</w:t>
      </w:r>
      <w:r>
        <w:t xml:space="preserve"> </w:t>
      </w:r>
      <w:r>
        <w:t xml:space="preserve">dataset) is pre-registered and in progress under the same frozen</w:t>
      </w:r>
      <w:r>
        <w:t xml:space="preserve"> </w:t>
      </w:r>
      <w:r>
        <w:t xml:space="preserve">criteria. Registrations, amendments, closure documents, readout CSVs, and</w:t>
      </w:r>
      <w:r>
        <w:t xml:space="preserve"> </w:t>
      </w:r>
      <w:r>
        <w:t xml:space="preserve">logs are deposited at OSF (DOI: [insert]).</w:t>
      </w:r>
    </w:p>
    <w:p>
      <w:pPr>
        <w:pStyle w:val="BodyText"/>
      </w:pPr>
      <w:r>
        <w:rPr>
          <w:b/>
          <w:bCs/>
        </w:rPr>
        <w:t xml:space="preserve">Scope of the universality claim</w:t>
      </w:r>
      <w:r>
        <w:rPr>
          <w:b/>
          <w:bCs/>
        </w:rPr>
        <w:t xml:space="preserve"> </w:t>
      </w:r>
      <w:r>
        <w:rPr>
          <w:b/>
          <w:bCs/>
        </w:rPr>
        <w:t xml:space="preserve">[HYPOTHESIS]</w:t>
      </w:r>
      <w:r>
        <w:rPr>
          <w:b/>
          <w:bCs/>
        </w:rPr>
        <w:t xml:space="preserve">.</w:t>
      </w:r>
      <w:r>
        <w:t xml:space="preserve"> </w:t>
      </w:r>
      <w:r>
        <w:t xml:space="preserve">The universality</w:t>
      </w:r>
      <w:r>
        <w:t xml:space="preserve"> </w:t>
      </w:r>
      <w:r>
        <w:t xml:space="preserve">claimed by the framework is functional and dynamical, not anatomical:</w:t>
      </w:r>
      <w:r>
        <w:t xml:space="preserve"> </w:t>
      </w:r>
      <w:r>
        <w:t xml:space="preserve">any trust-measuring system is</w:t>
      </w:r>
      <w:r>
        <w:t xml:space="preserve"> </w:t>
      </w:r>
      <w:r>
        <w:rPr>
          <w:i/>
          <w:iCs/>
        </w:rPr>
        <w:t xml:space="preserve">hypothesized</w:t>
      </w:r>
      <w:r>
        <w:t xml:space="preserve"> </w:t>
      </w:r>
      <w:r>
        <w:t xml:space="preserve">to implement the same</w:t>
      </w:r>
      <w:r>
        <w:t xml:space="preserve"> </w:t>
      </w:r>
      <w:r>
        <w:t xml:space="preserve">update law and the same five functional roles, each realized in the</w:t>
      </w:r>
      <w:r>
        <w:t xml:space="preserve"> </w:t>
      </w:r>
      <w:r>
        <w:t xml:space="preserve">wiring of its own substrate. No recurrence of any particular wiring</w:t>
      </w:r>
      <w:r>
        <w:t xml:space="preserve"> </w:t>
      </w:r>
      <w:r>
        <w:t xml:space="preserve">diagram across brains is predicted; what is predicted to recur is the</w:t>
      </w:r>
      <w:r>
        <w:t xml:space="preserve"> </w:t>
      </w:r>
      <w:r>
        <w:t xml:space="preserve">law. Simulation H1 is the discriminating test of exactly this</w:t>
      </w:r>
      <w:r>
        <w:t xml:space="preserve"> </w:t>
      </w:r>
      <w:r>
        <w:t xml:space="preserve">distinction. A wiring-universality hypothesis requires the fly’s</w:t>
      </w:r>
      <w:r>
        <w:t xml:space="preserve"> </w:t>
      </w:r>
      <w:r>
        <w:t xml:space="preserve">single-class budget dominance to reappear in cortex; it does not (the</w:t>
      </w:r>
      <w:r>
        <w:t xml:space="preserve"> </w:t>
      </w:r>
      <w:r>
        <w:t xml:space="preserve">structural arm, A1</w:t>
      </w:r>
      <w:r>
        <w:t xml:space="preserve"> </w:t>
      </w:r>
      <m:oMath>
        <m:r>
          <m:rPr>
            <m:sty m:val="p"/>
          </m:rPr>
          <m:t>∧</m:t>
        </m:r>
      </m:oMath>
      <w:r>
        <w:t xml:space="preserve"> </w:t>
      </w:r>
      <w:r>
        <w:t xml:space="preserve">A2, fails its frozen criteria). The</w:t>
      </w:r>
      <w:r>
        <w:t xml:space="preserve"> </w:t>
      </w:r>
      <w:r>
        <w:t xml:space="preserve">functional-universality hypothesis requires the trust system’s dynamical</w:t>
      </w:r>
      <w:r>
        <w:t xml:space="preserve"> </w:t>
      </w:r>
      <w:r>
        <w:t xml:space="preserve">behavior to recur regardless of wiring; it does — non-abolition under</w:t>
      </w:r>
      <w:r>
        <w:t xml:space="preserve"> </w:t>
      </w:r>
      <w:r>
        <w:t xml:space="preserve">global partner permutation recurs in mouse cortex as in the fly</w:t>
      </w:r>
      <w:r>
        <w:t xml:space="preserve"> </w:t>
      </w:r>
      <w:r>
        <w:t xml:space="preserve">mushroom body (the dynamical arm, B2, meets its frozen criterion), on</w:t>
      </w:r>
      <w:r>
        <w:t xml:space="preserve"> </w:t>
      </w:r>
      <w:r>
        <w:t xml:space="preserve">incommensurable metrics and under criteria frozen before the data were</w:t>
      </w:r>
      <w:r>
        <w:t xml:space="preserve"> </w:t>
      </w:r>
      <w:r>
        <w:t xml:space="preserve">touched. The joint pattern — dynamical recurrence with structural</w:t>
      </w:r>
      <w:r>
        <w:t xml:space="preserve"> </w:t>
      </w:r>
      <w:r>
        <w:t xml:space="preserve">non-transfer — is the signature the hypothesis predicts, and it is</w:t>
      </w:r>
      <w:r>
        <w:t xml:space="preserve"> </w:t>
      </w:r>
      <w:r>
        <w:t xml:space="preserve">what the measurement shows. The recurrence is currently qualitative and</w:t>
      </w:r>
      <w:r>
        <w:t xml:space="preserve"> </w:t>
      </w:r>
      <w:r>
        <w:t xml:space="preserve">two-substrate; the human leg (H01) is pre-registered and in progress.</w:t>
      </w:r>
    </w:p>
    <w:bookmarkStart w:id="165" w:name="fig:h1microns"/>
    <w:p>
      <w:pPr>
        <w:pStyle w:val="CaptionedFigure"/>
      </w:pPr>
      <w:r>
        <w:drawing>
          <wp:inline>
            <wp:extent cx="5334000" cy="1859881"/>
            <wp:effectExtent b="0" l="0" r="0" t="0"/>
            <wp:docPr descr="" title="" id="163" name="Picture"/>
            <a:graphic>
              <a:graphicData uri="http://schemas.openxmlformats.org/drawingml/2006/picture">
                <pic:pic>
                  <pic:nvPicPr>
                    <pic:cNvPr descr="figures/figH1_microns_budget.png" id="164" name="Picture"/>
                    <pic:cNvPicPr>
                      <a:picLocks noChangeArrowheads="1" noChangeAspect="1"/>
                    </pic:cNvPicPr>
                  </pic:nvPicPr>
                  <pic:blipFill>
                    <a:blip r:embed="rId162"/>
                    <a:stretch>
                      <a:fillRect/>
                    </a:stretch>
                  </pic:blipFill>
                  <pic:spPr bwMode="auto">
                    <a:xfrm>
                      <a:off x="0" y="0"/>
                      <a:ext cx="5334000" cy="1859881"/>
                    </a:xfrm>
                    <a:prstGeom prst="rect">
                      <a:avLst/>
                    </a:prstGeom>
                    <a:noFill/>
                    <a:ln w="9525">
                      <a:noFill/>
                      <a:headEnd/>
                      <a:tailEnd/>
                    </a:ln>
                  </pic:spPr>
                </pic:pic>
              </a:graphicData>
            </a:graphic>
          </wp:inline>
        </w:drawing>
      </w:r>
    </w:p>
    <w:p>
      <w:pPr>
        <w:pStyle w:val="ImageCaption"/>
      </w:pPr>
      <w:r>
        <w:rPr>
          <w:b/>
          <w:bCs/>
        </w:rPr>
        <w:t xml:space="preserve">Figure 25.</w:t>
      </w:r>
      <w:r>
        <w:t xml:space="preserve"> </w:t>
      </w:r>
      <w:r>
        <w:t xml:space="preserve">Simulation H1 on MICrONS mouse cortex. Left: dominant input</w:t>
      </w:r>
      <w:r>
        <w:t xml:space="preserve"> </w:t>
      </w:r>
      <w:r>
        <w:t xml:space="preserve">class share per post class (bars), with the same class’s availability</w:t>
      </w:r>
      <w:r>
        <w:t xml:space="preserve"> </w:t>
      </w:r>
      <w:r>
        <w:t xml:space="preserve">among pre-synaptic partners (black diamonds); red bars mark the three</w:t>
      </w:r>
      <w:r>
        <w:t xml:space="preserve"> </w:t>
      </w:r>
      <w:r>
        <w:t xml:space="preserve">self-recurrent classes whose dominance exceeds availability by more than</w:t>
      </w:r>
      <w:r>
        <w:t xml:space="preserve"> </w:t>
      </w:r>
      <w:r>
        <w:t xml:space="preserve">the A2 gap tolerance (0.15). The A1 criterion line (0.50) and the fly</w:t>
      </w:r>
      <w:r>
        <w:t xml:space="preserve"> </w:t>
      </w:r>
      <w:r>
        <w:t xml:space="preserve">Kenyon-cell budget share (0.982, dotted) are shown for scale — no</w:t>
      </w:r>
      <w:r>
        <w:t xml:space="preserve"> </w:t>
      </w:r>
      <w:r>
        <w:t xml:space="preserve">cortical class approaches either. Right: non-abolition under global</w:t>
      </w:r>
      <w:r>
        <w:t xml:space="preserve"> </w:t>
      </w:r>
      <w:r>
        <w:t xml:space="preserve">partner permutation, on incommensurable metrics. The fly criterion-5</w:t>
      </w:r>
      <w:r>
        <w:t xml:space="preserve"> </w:t>
      </w:r>
      <w:r>
        <w:t xml:space="preserve">shuffles (F1a2:</w:t>
      </w:r>
      <w:r>
        <w:t xml:space="preserve"> </w:t>
      </w:r>
      <m:oMath>
        <m:sSub>
          <m:e>
            <m:r>
              <m:t>R</m:t>
            </m:r>
          </m:e>
          <m:sub>
            <m:r>
              <m:rPr>
                <m:sty m:val="p"/>
              </m:rPr>
              <m:t>f</m:t>
            </m:r>
            <m:r>
              <m:rPr>
                <m:sty m:val="p"/>
              </m:rPr>
              <m:t>i</m:t>
            </m:r>
            <m:r>
              <m:rPr>
                <m:sty m:val="p"/>
              </m:rPr>
              <m:t>n</m:t>
            </m:r>
            <m:r>
              <m:rPr>
                <m:sty m:val="p"/>
              </m:rPr>
              <m:t>a</m:t>
            </m:r>
            <m:r>
              <m:rPr>
                <m:sty m:val="p"/>
              </m:rPr>
              <m:t>l</m:t>
            </m:r>
          </m:sub>
        </m:sSub>
      </m:oMath>
      <w:r>
        <w:t xml:space="preserve"> </w:t>
      </w:r>
      <w:r>
        <w:t xml:space="preserve">0.873 position-based; 0.680</w:t>
      </w:r>
      <w:r>
        <w:t xml:space="preserve"> </w:t>
      </w:r>
      <w:r>
        <w:t xml:space="preserve">class-faithful, where 1 = abolished, against a</w:t>
      </w:r>
      <w:r>
        <w:t xml:space="preserve"> </w:t>
      </w:r>
      <m:oMath>
        <m:r>
          <m:rPr>
            <m:sty m:val="p"/>
          </m:rPr>
          <m:t>&gt;</m:t>
        </m:r>
        <m:r>
          <m:t>0.95</m:t>
        </m:r>
      </m:oMath>
      <w:r>
        <w:t xml:space="preserve"> </w:t>
      </w:r>
      <w:r>
        <w:t xml:space="preserve">abolition</w:t>
      </w:r>
      <w:r>
        <w:t xml:space="preserve"> </w:t>
      </w:r>
      <w:r>
        <w:t xml:space="preserve">requirement) fail, while mouse cortex under global partner permutation</w:t>
      </w:r>
      <w:r>
        <w:t xml:space="preserve"> </w:t>
      </w:r>
      <w:r>
        <w:rPr>
          <w:i/>
          <w:iCs/>
        </w:rPr>
        <w:t xml:space="preserve">increases</w:t>
      </w:r>
      <w:r>
        <w:t xml:space="preserve"> </w:t>
      </w:r>
      <w:r>
        <w:t xml:space="preserve">throughput (</w:t>
      </w:r>
      <m:oMath>
        <m:sSub>
          <m:e>
            <m:r>
              <m:t>R</m:t>
            </m:r>
          </m:e>
          <m:sub>
            <m:r>
              <m:rPr>
                <m:sty m:val="p"/>
              </m:rPr>
              <m:t>p</m:t>
            </m:r>
            <m:r>
              <m:rPr>
                <m:sty m:val="p"/>
              </m:rPr>
              <m:t>e</m:t>
            </m:r>
            <m:r>
              <m:rPr>
                <m:sty m:val="p"/>
              </m:rPr>
              <m:t>r</m:t>
            </m:r>
            <m:r>
              <m:rPr>
                <m:sty m:val="p"/>
              </m:rPr>
              <m:t>m</m:t>
            </m:r>
          </m:sub>
        </m:sSub>
        <m:r>
          <m:rPr>
            <m:sty m:val="p"/>
          </m:rPr>
          <m:t>=</m:t>
        </m:r>
        <m:r>
          <m:t>1.340</m:t>
        </m:r>
      </m:oMath>
      <w:r>
        <w:t xml:space="preserve"> </w:t>
      </w:r>
      <w:r>
        <w:t xml:space="preserve">against a</w:t>
      </w:r>
      <w:r>
        <w:t xml:space="preserve"> </w:t>
      </w:r>
      <m:oMath>
        <m:r>
          <m:rPr>
            <m:sty m:val="p"/>
          </m:rPr>
          <m:t>≥</m:t>
        </m:r>
        <m:r>
          <m:t>0.50</m:t>
        </m:r>
      </m:oMath>
      <w:r>
        <w:t xml:space="preserve"> </w:t>
      </w:r>
      <w:r>
        <w:t xml:space="preserve">retention requirement). Global partner permutation fails to abolish</w:t>
      </w:r>
      <w:r>
        <w:t xml:space="preserve"> </w:t>
      </w:r>
      <w:r>
        <w:t xml:space="preserve">function in both species — on different metrics and criteria, not a</w:t>
      </w:r>
      <w:r>
        <w:t xml:space="preserve"> </w:t>
      </w:r>
      <w:r>
        <w:t xml:space="preserve">matched quantitative replication; the structural basis differs.</w:t>
      </w:r>
    </w:p>
    <w:bookmarkEnd w:id="165"/>
    <w:bookmarkEnd w:id="166"/>
    <w:bookmarkStart w:id="175" w:name="sec:pbnd"/>
    <w:p>
      <w:pPr>
        <w:pStyle w:val="Heading2"/>
      </w:pPr>
      <w:r>
        <w:t xml:space="preserve">5.8 Perturbation signature of the expectation–validation boundary: post-hoc consistency test against published neuroimaging</w:t>
      </w:r>
      <w:r>
        <w:t xml:space="preserve"> </w:t>
      </w:r>
      <w:r>
        <w:t xml:space="preserve">[EMPIRICAL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m:oMath>
        <m:r>
          <m:t>N</m:t>
        </m:r>
        <m:r>
          <m:rPr>
            <m:sty m:val="p"/>
          </m:rPr>
          <m:t>=</m:t>
        </m:r>
        <m:r>
          <m:t>7</m:t>
        </m:r>
      </m:oMath>
      <w:r>
        <w:t xml:space="preserve">, deep phenotyping,</w:t>
      </w:r>
      <w:r>
        <w:t xml:space="preserve"> </w:t>
      </w:r>
      <m:oMath>
        <m:r>
          <m:rPr>
            <m:sty m:val="p"/>
          </m:rPr>
          <m:t>∼</m:t>
        </m:r>
      </m:oMath>
      <w:r>
        <w:t xml:space="preserve">18 MRI visits per participant;</w:t>
      </w:r>
      <w:r>
        <w:t xml:space="preserve"> </w:t>
      </w:r>
      <w:r>
        <w:t xml:space="preserve">)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w:t>
      </w:r>
      <w:r>
        <w:t xml:space="preserve"> </w:t>
      </w:r>
      <w:r>
        <w:t xml:space="preserve"> </w:t>
      </w:r>
      <w:r>
        <w:t xml:space="preserve">—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w:t>
      </w:r>
      <w:r>
        <w:t xml:space="preserve"> </w:t>
      </w:r>
      <w:r>
        <w:t xml:space="preserve">) while expectation remains behaviorally decisive: in an open-label trial of a single 25 mg psilocybin dose for chronic suicidal ideation (</w:t>
      </w:r>
      <m:oMath>
        <m:r>
          <m:t>N</m:t>
        </m:r>
        <m:r>
          <m:rPr>
            <m:sty m:val="p"/>
          </m:rPr>
          <m:t>=</m:t>
        </m:r>
        <m:r>
          <m:t>20</m:t>
        </m:r>
      </m:oMath>
      <w:r>
        <w:t xml:space="preserve">;</w:t>
      </w:r>
      <w:r>
        <w:t xml:space="preserve"> </w:t>
      </w:r>
      <w:r>
        <w:t xml:space="preserve">), nonresponders (</w:t>
      </w:r>
      <m:oMath>
        <m:r>
          <m:t>n</m:t>
        </m:r>
        <m:r>
          <m:rPr>
            <m:sty m:val="p"/>
          </m:rPr>
          <m:t>=</m:t>
        </m:r>
        <m:r>
          <m:t>5</m:t>
        </m:r>
      </m:oMath>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w:t>
      </w:r>
      <w:r>
        <w:t xml:space="preserve"> </w:t>
      </w:r>
      <w:r>
        <w:t xml:space="preserve">; externally directed evidence processing by task-positive systems including the dorsal attention network; the two systems are intrinsically anticorrelated</w:t>
      </w:r>
      <w:r>
        <w:t xml:space="preserve"> </w:t>
      </w:r>
      <w:r>
        <w:t xml:space="preserve">. This antagonism is identified here as the candidate physical mechanism of the expectation–validation boundary. Marcus E. Raichle is a co-author of</w:t>
      </w:r>
      <w:r>
        <w:t xml:space="preserve"> </w:t>
      </w:r>
      <w:r>
        <w:t xml:space="preserve"> </w:t>
      </w:r>
      <w:r>
        <w:t xml:space="preserve">— the originator of the default-mode concept participated in the perturbation study that dissolved it — which is noted for the citation record.</w:t>
      </w:r>
    </w:p>
    <w:p>
      <w:pPr>
        <w:pStyle w:val="BodyText"/>
      </w:pPr>
      <w:r>
        <w:rPr>
          <w:b/>
          <w:bCs/>
        </w:rPr>
        <w:t xml:space="preserve">In-silico arm: Simulation PBND</w:t>
      </w:r>
      <w:r>
        <w:rPr>
          <w:b/>
          <w:bCs/>
        </w:rPr>
        <w:t xml:space="preserve"> </w:t>
      </w:r>
      <w:r>
        <w:rPr>
          <w:b/>
          <w:bCs/>
        </w:rPr>
        <w:t xml:space="preserve">[SIMULATION — pre-registered, compound PASS]</w:t>
      </w:r>
      <w:r>
        <w:rPr>
          <w:b/>
          <w:bCs/>
        </w:rPr>
        <w:t xml:space="preserve">.</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m:oMath>
        <m:r>
          <m:rPr>
            <m:sty m:val="p"/>
          </m:rPr>
          <m:t>→</m:t>
        </m:r>
      </m:oMath>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m:oMath>
        <m:r>
          <m:rPr>
            <m:sty m:val="p"/>
          </m:rPr>
          <m:t>≥</m:t>
        </m:r>
      </m:oMath>
      <w:r>
        <w:t xml:space="preserve">30%); subjects converge — between-subject FC similarity rises from 0.557 to 0.957 and run-matching identifiability falls from 100% to 10% (criterion: increase at</w:t>
      </w:r>
      <w:r>
        <w:t xml:space="preserve"> </w:t>
      </w:r>
      <m:oMath>
        <m:r>
          <m:t>p</m:t>
        </m:r>
        <m:r>
          <m:rPr>
            <m:sty m:val="p"/>
          </m:rPr>
          <m:t>&lt;</m:t>
        </m:r>
        <m:r>
          <m:t>0.05</m:t>
        </m:r>
      </m:oMath>
      <w:r>
        <w:t xml:space="preserve"> </w:t>
      </w:r>
      <w:r>
        <w:t xml:space="preserve">and identifiability</w:t>
      </w:r>
      <w:r>
        <w:t xml:space="preserve"> </w:t>
      </w:r>
      <m:oMath>
        <m:r>
          <m:rPr>
            <m:sty m:val="p"/>
          </m:rPr>
          <m:t>≥</m:t>
        </m:r>
      </m:oMath>
      <w:r>
        <w:t xml:space="preserve">90%</w:t>
      </w:r>
      <w:r>
        <w:t xml:space="preserve"> </w:t>
      </w:r>
      <m:oMath>
        <m:r>
          <m:rPr>
            <m:sty m:val="p"/>
          </m:rPr>
          <m:t>→</m:t>
        </m:r>
      </m:oMath>
      <w:r>
        <w:t xml:space="preserve"> </w:t>
      </w:r>
      <m:oMath>
        <m:r>
          <m:rPr>
            <m:sty m:val="p"/>
          </m:rPr>
          <m:t>≤</m:t>
        </m:r>
      </m:oMath>
      <w:r>
        <w:t xml:space="preserve">50%); network-level fractal dimension increases (</w:t>
      </w:r>
      <m:oMath>
        <m:r>
          <m:t>p</m:t>
        </m:r>
        <m:r>
          <m:rPr>
            <m:sty m:val="p"/>
          </m:rPr>
          <m:t>=</m:t>
        </m:r>
        <m:r>
          <m:t>4</m:t>
        </m:r>
        <m:r>
          <m:rPr>
            <m:sty m:val="p"/>
          </m:rPr>
          <m:t>×</m:t>
        </m:r>
        <m:sSup>
          <m:e>
            <m:r>
              <m:t>10</m:t>
            </m:r>
          </m:e>
          <m:sup>
            <m:r>
              <m:rPr>
                <m:sty m:val="p"/>
              </m:rPr>
              <m:t>−</m:t>
            </m:r>
            <m:r>
              <m:t>4</m:t>
            </m:r>
          </m:sup>
        </m:sSup>
      </m:oMath>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bookmarkStart w:id="170" w:name="fig:simpbnd"/>
    <w:p>
      <w:pPr>
        <w:pStyle w:val="CaptionedFigure"/>
      </w:pPr>
      <w:r>
        <w:drawing>
          <wp:inline>
            <wp:extent cx="5334000" cy="1280160"/>
            <wp:effectExtent b="0" l="0" r="0" t="0"/>
            <wp:docPr descr="" title="" id="168" name="Picture"/>
            <a:graphic>
              <a:graphicData uri="http://schemas.openxmlformats.org/drawingml/2006/picture">
                <pic:pic>
                  <pic:nvPicPr>
                    <pic:cNvPr descr="figures/fig_sim_pbnd.png" id="169" name="Picture"/>
                    <pic:cNvPicPr>
                      <a:picLocks noChangeArrowheads="1" noChangeAspect="1"/>
                    </pic:cNvPicPr>
                  </pic:nvPicPr>
                  <pic:blipFill>
                    <a:blip r:embed="rId167"/>
                    <a:stretch>
                      <a:fillRect/>
                    </a:stretch>
                  </pic:blipFill>
                  <pic:spPr bwMode="auto">
                    <a:xfrm>
                      <a:off x="0" y="0"/>
                      <a:ext cx="5334000" cy="1280160"/>
                    </a:xfrm>
                    <a:prstGeom prst="rect">
                      <a:avLst/>
                    </a:prstGeom>
                    <a:noFill/>
                    <a:ln w="9525">
                      <a:noFill/>
                      <a:headEnd/>
                      <a:tailEnd/>
                    </a:ln>
                  </pic:spPr>
                </pic:pic>
              </a:graphicData>
            </a:graphic>
          </wp:inline>
        </w:drawing>
      </w:r>
    </w:p>
    <w:p>
      <w:pPr>
        <w:pStyle w:val="ImageCaption"/>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m:oMath>
        <m:r>
          <m:rPr>
            <m:sty m:val="p"/>
          </m:rPr>
          <m:t>≥</m:t>
        </m:r>
      </m:oMath>
      <w:r>
        <w:t xml:space="preserve">30% criterion). (b) Between-subject FC similarity distributions: convergence toward a common configuration (0.557</w:t>
      </w:r>
      <w:r>
        <w:t xml:space="preserve"> </w:t>
      </w:r>
      <m:oMath>
        <m:r>
          <m:rPr>
            <m:sty m:val="p"/>
          </m:rPr>
          <m:t>→</m:t>
        </m:r>
      </m:oMath>
      <w:r>
        <w:t xml:space="preserve"> </w:t>
      </w:r>
      <w:r>
        <w:t xml:space="preserve">0.957; identifiability 100%</w:t>
      </w:r>
      <w:r>
        <w:t xml:space="preserve"> </w:t>
      </w:r>
      <m:oMath>
        <m:r>
          <m:rPr>
            <m:sty m:val="p"/>
          </m:rPr>
          <m:t>→</m:t>
        </m:r>
      </m:oMath>
      <w:r>
        <w:t xml:space="preserve"> </w:t>
      </w:r>
      <w:r>
        <w:t xml:space="preserve">10%). (c) Network-level Higuchi fractal dimension increases under perturbation (</w:t>
      </w:r>
      <m:oMath>
        <m:r>
          <m:t>p</m:t>
        </m:r>
        <m:r>
          <m:rPr>
            <m:sty m:val="p"/>
          </m:rPr>
          <m:t>&lt;</m:t>
        </m:r>
        <m:r>
          <m:t>0.001</m:t>
        </m:r>
      </m:oMath>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bookmarkEnd w:id="170"/>
    <w:p>
      <w:pPr>
        <w:pStyle w:val="BodyText"/>
      </w:pPr>
      <w:r>
        <w:rPr>
          <w:b/>
          <w:bCs/>
        </w:rPr>
        <w:t xml:space="preserve">In-silico robustness arm: Simulation PBND-2</w:t>
      </w:r>
      <w:r>
        <w:rPr>
          <w:b/>
          <w:bCs/>
        </w:rPr>
        <w:t xml:space="preserve"> </w:t>
      </w:r>
      <w:r>
        <w:rPr>
          <w:b/>
          <w:bCs/>
        </w:rPr>
        <w:t xml:space="preserve">[SIMULATION — pre-registered, compound FAIL (3/4)]</w:t>
      </w:r>
      <w:r>
        <w:rPr>
          <w:b/>
          <w:bCs/>
        </w:rPr>
        <w:t xml:space="preserve">.</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m:oMath>
        <m:r>
          <m:rPr>
            <m:sty m:val="p"/>
          </m:rPr>
          <m:t>≥</m:t>
        </m:r>
      </m:oMath>
      <w:r>
        <w:t xml:space="preserve">0.30 criterion (C1 PASS). The dose–response across four prior weights (</w:t>
      </w:r>
      <m:oMath>
        <m:r>
          <m:t>g</m:t>
        </m:r>
        <m:r>
          <m:rPr>
            <m:sty m:val="p"/>
          </m:rPr>
          <m:t>=</m:t>
        </m:r>
        <m:r>
          <m:t>0.90</m:t>
        </m:r>
        <m:r>
          <m:rPr>
            <m:sty m:val="p"/>
          </m:rPr>
          <m:t>,</m:t>
        </m:r>
        <m:r>
          <m:t>0.45</m:t>
        </m:r>
        <m:r>
          <m:rPr>
            <m:sty m:val="p"/>
          </m:rPr>
          <m:t>,</m:t>
        </m:r>
        <m:r>
          <m:t>0.20</m:t>
        </m:r>
        <m:r>
          <m:rPr>
            <m:sty m:val="p"/>
          </m:rPr>
          <m:t>,</m:t>
        </m:r>
        <m:r>
          <m:t>0.05</m:t>
        </m:r>
      </m:oMath>
      <w:r>
        <w:t xml:space="preserve">) is monotone (Spearman</w:t>
      </w:r>
      <w:r>
        <w:t xml:space="preserve"> </w:t>
      </w:r>
      <m:oMath>
        <m:r>
          <m:t>ρ</m:t>
        </m:r>
        <m:r>
          <m:rPr>
            <m:sty m:val="p"/>
          </m:rPr>
          <m:t>=</m:t>
        </m:r>
        <m:r>
          <m:t>1.0</m:t>
        </m:r>
      </m:oMath>
      <w:r>
        <w:t xml:space="preserve"> </w:t>
      </w:r>
      <w:r>
        <w:t xml:space="preserve">on the frozen level means; C2 PASS), saturating by</w:t>
      </w:r>
      <w:r>
        <w:t xml:space="preserve"> </w:t>
      </w:r>
      <m:oMath>
        <m:r>
          <m:t>g</m:t>
        </m:r>
        <m:r>
          <m:rPr>
            <m:sty m:val="p"/>
          </m:rPr>
          <m:t>=</m:t>
        </m:r>
        <m:r>
          <m:t>0.45</m:t>
        </m:r>
      </m:oMath>
      <w:r>
        <w:t xml:space="preserve">; the frozen</w:t>
      </w:r>
      <w:r>
        <w:t xml:space="preserve"> </w:t>
      </w:r>
      <m:oMath>
        <m:r>
          <m:t>p</m:t>
        </m:r>
        <m:r>
          <m:rPr>
            <m:sty m:val="p"/>
          </m:rPr>
          <m:t>&lt;</m:t>
        </m:r>
        <m:r>
          <m:t>0.05</m:t>
        </m:r>
      </m:oMath>
      <w:r>
        <w:t xml:space="preserve"> </w:t>
      </w:r>
      <w:r>
        <w:t xml:space="preserve">clause is evaluated under the asymptotic test, since at</w:t>
      </w:r>
      <w:r>
        <w:t xml:space="preserve"> </w:t>
      </w:r>
      <m:oMath>
        <m:r>
          <m:t>n</m:t>
        </m:r>
        <m:r>
          <m:rPr>
            <m:sty m:val="p"/>
          </m:rPr>
          <m:t>=</m:t>
        </m:r>
        <m:r>
          <m:t>4</m:t>
        </m:r>
      </m:oMath>
      <w:r>
        <w:t xml:space="preserve"> </w:t>
      </w:r>
      <w:r>
        <w:t xml:space="preserve">levels no outcome can reach exact permutation</w:t>
      </w:r>
      <w:r>
        <w:t xml:space="preserve"> </w:t>
      </w:r>
      <m:oMath>
        <m:r>
          <m:t>p</m:t>
        </m:r>
        <m:r>
          <m:rPr>
            <m:sty m:val="p"/>
          </m:rPr>
          <m:t>&lt;</m:t>
        </m:r>
        <m:r>
          <m:t>0.05</m:t>
        </m:r>
      </m:oMath>
      <w:r>
        <w:t xml:space="preserve"> </w:t>
      </w:r>
      <w:r>
        <w:t xml:space="preserve">(floor</w:t>
      </w:r>
      <w:r>
        <w:t xml:space="preserve"> </w:t>
      </w:r>
      <m:oMath>
        <m:r>
          <m:rPr>
            <m:sty m:val="p"/>
          </m:rPr>
          <m:t>=</m:t>
        </m:r>
        <m:r>
          <m:t>1</m:t>
        </m:r>
        <m:r>
          <m:rPr>
            <m:sty m:val="p"/>
          </m:rPr>
          <m:t>/</m:t>
        </m:r>
        <m:r>
          <m:t>12</m:t>
        </m:r>
      </m:oMath>
      <w:r>
        <w:t xml:space="preserve">) — the powered read is the subject-level trend across 160 subject–dose pairs (</w:t>
      </w:r>
      <m:oMath>
        <m:r>
          <m:rPr>
            <m:sty m:val="p"/>
          </m:rPr>
          <m:t>|</m:t>
        </m:r>
        <m:r>
          <m:t>ρ</m:t>
        </m:r>
        <m:r>
          <m:rPr>
            <m:sty m:val="p"/>
          </m:rPr>
          <m:t>|</m:t>
        </m:r>
        <m:r>
          <m:rPr>
            <m:sty m:val="p"/>
          </m:rPr>
          <m:t>=</m:t>
        </m:r>
        <m:r>
          <m:t>0.97</m:t>
        </m:r>
      </m:oMath>
      <w:r>
        <w:t xml:space="preserve">,</w:t>
      </w:r>
      <w:r>
        <w:t xml:space="preserve"> </w:t>
      </w:r>
      <m:oMath>
        <m:r>
          <m:t>p</m:t>
        </m:r>
        <m:r>
          <m:rPr>
            <m:sty m:val="p"/>
          </m:rPr>
          <m:t>=</m:t>
        </m:r>
        <m:r>
          <m:t>4.7</m:t>
        </m:r>
        <m:r>
          <m:rPr>
            <m:sty m:val="p"/>
          </m:rPr>
          <m:t>×</m:t>
        </m:r>
        <m:sSup>
          <m:e>
            <m:r>
              <m:t>10</m:t>
            </m:r>
          </m:e>
          <m:sup>
            <m:r>
              <m:rPr>
                <m:sty m:val="p"/>
              </m:rPr>
              <m:t>−</m:t>
            </m:r>
            <m:r>
              <m:t>97</m:t>
            </m:r>
          </m:sup>
        </m:sSup>
      </m:oMath>
      <w:r>
        <w:t xml:space="preserve">; supplementary, computed after the frozen battery). Recovery on restoring</w:t>
      </w:r>
      <w:r>
        <w:t xml:space="preserve"> </w:t>
      </w:r>
      <m:oMath>
        <m:r>
          <m:t>g</m:t>
        </m:r>
        <m:r>
          <m:rPr>
            <m:sty m:val="p"/>
          </m:rPr>
          <m:t>=</m:t>
        </m:r>
        <m:r>
          <m:t>0.90</m:t>
        </m:r>
      </m:oMath>
      <w:r>
        <w:t xml:space="preserve"> </w:t>
      </w:r>
      <w:r>
        <w:t xml:space="preserve">is complete (median recovery fraction 1.000 vs. </w:t>
      </w:r>
      <m:oMath>
        <m:r>
          <m:rPr>
            <m:sty m:val="p"/>
          </m:rPr>
          <m:t>≥</m:t>
        </m:r>
      </m:oMath>
      <w:r>
        <w:t xml:space="preserve">0.70; C4 PASS), and run-matching identifiability falls from 100% to 2.5%. The specificity criterion fails: against the subject-specific-sensory control, the perturbed convergence increase is 1.0</w:t>
      </w:r>
      <m:oMath>
        <m:r>
          <m:rPr>
            <m:sty m:val="p"/>
          </m:rPr>
          <m:t>×</m:t>
        </m:r>
      </m:oMath>
      <w:r>
        <w:t xml:space="preserve"> </w:t>
      </w:r>
      <w:r>
        <w:t xml:space="preserve">the control’s (frozen threshold</w:t>
      </w:r>
      <w:r>
        <w:t xml:space="preserve"> </w:t>
      </w:r>
      <m:oMath>
        <m:r>
          <m:rPr>
            <m:sty m:val="p"/>
          </m:rPr>
          <m:t>≥</m:t>
        </m:r>
      </m:oMath>
      <w:r>
        <w:t xml:space="preserve">2</w:t>
      </w:r>
      <m:oMath>
        <m:r>
          <m:rPr>
            <m:sty m:val="p"/>
          </m:rPr>
          <m:t>×</m:t>
        </m:r>
      </m:oMath>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m:oMath>
        <m:r>
          <m:t>g</m:t>
        </m:r>
        <m:r>
          <m:rPr>
            <m:sty m:val="p"/>
          </m:rPr>
          <m:t>=</m:t>
        </m:r>
        <m:r>
          <m:t>0.65</m:t>
        </m:r>
      </m:oMath>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m:oMath>
        <m:r>
          <m:t>g</m:t>
        </m:r>
        <m:r>
          <m:rPr>
            <m:sty m:val="p"/>
          </m:rPr>
          <m:t>=</m:t>
        </m:r>
        <m:r>
          <m:t>0.90</m:t>
        </m:r>
      </m:oMath>
      <w:r>
        <w:t xml:space="preserve"> </w:t>
      </w:r>
      <w:r>
        <w:t xml:space="preserve">and</w:t>
      </w:r>
      <w:r>
        <w:t xml:space="preserve"> </w:t>
      </w:r>
      <m:oMath>
        <m:r>
          <m:t>g</m:t>
        </m:r>
        <m:r>
          <m:rPr>
            <m:sty m:val="p"/>
          </m:rPr>
          <m:t>=</m:t>
        </m:r>
        <m:r>
          <m:t>0.75</m:t>
        </m:r>
      </m:oMath>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bookmarkStart w:id="174" w:name="fig:simpbnd2"/>
    <w:p>
      <w:pPr>
        <w:pStyle w:val="CaptionedFigure"/>
      </w:pPr>
      <w:r>
        <w:drawing>
          <wp:inline>
            <wp:extent cx="5334000" cy="3691022"/>
            <wp:effectExtent b="0" l="0" r="0" t="0"/>
            <wp:docPr descr="" title="" id="172" name="Picture"/>
            <a:graphic>
              <a:graphicData uri="http://schemas.openxmlformats.org/drawingml/2006/picture">
                <pic:pic>
                  <pic:nvPicPr>
                    <pic:cNvPr descr="figures/fig_sim_pbnd2.png" id="173" name="Picture"/>
                    <pic:cNvPicPr>
                      <a:picLocks noChangeArrowheads="1" noChangeAspect="1"/>
                    </pic:cNvPicPr>
                  </pic:nvPicPr>
                  <pic:blipFill>
                    <a:blip r:embed="rId171"/>
                    <a:stretch>
                      <a:fillRect/>
                    </a:stretch>
                  </pic:blipFill>
                  <pic:spPr bwMode="auto">
                    <a:xfrm>
                      <a:off x="0" y="0"/>
                      <a:ext cx="5334000" cy="3691022"/>
                    </a:xfrm>
                    <a:prstGeom prst="rect">
                      <a:avLst/>
                    </a:prstGeom>
                    <a:noFill/>
                    <a:ln w="9525">
                      <a:noFill/>
                      <a:headEnd/>
                      <a:tailEnd/>
                    </a:ln>
                  </pic:spPr>
                </pic:pic>
              </a:graphicData>
            </a:graphic>
          </wp:inline>
        </w:drawing>
      </w:r>
    </w:p>
    <w:p>
      <w:pPr>
        <w:pStyle w:val="ImageCaption"/>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m:oMath>
        <m:r>
          <m:rPr>
            <m:sty m:val="p"/>
          </m:rPr>
          <m:t>≥</m:t>
        </m:r>
      </m:oMath>
      <w:r>
        <w:t xml:space="preserve">0.30 criterion; C1 PASS). (b) Between-subject FC similarity across prior weight</w:t>
      </w:r>
      <w:r>
        <w:t xml:space="preserve"> </w:t>
      </w:r>
      <m:oMath>
        <m:r>
          <m:t>g</m:t>
        </m:r>
      </m:oMath>
      <w:r>
        <w:t xml:space="preserve"> </w:t>
      </w:r>
      <w:r>
        <w:t xml:space="preserve">(frozen grid, filled markers; post-battery fine grid, open markers; axis reversed so prior relaxation runs left-to-right): monotone dose–response (C2 PASS) with a sharp threshold between</w:t>
      </w:r>
      <w:r>
        <w:t xml:space="preserve"> </w:t>
      </w:r>
      <m:oMath>
        <m:r>
          <m:t>g</m:t>
        </m:r>
        <m:r>
          <m:rPr>
            <m:sty m:val="p"/>
          </m:rPr>
          <m:t>=</m:t>
        </m:r>
        <m:r>
          <m:t>0.90</m:t>
        </m:r>
      </m:oMath>
      <w:r>
        <w:t xml:space="preserve"> </w:t>
      </w:r>
      <w:r>
        <w:t xml:space="preserve">and</w:t>
      </w:r>
      <w:r>
        <w:t xml:space="preserve"> </w:t>
      </w:r>
      <m:oMath>
        <m:r>
          <m:t>g</m:t>
        </m:r>
        <m:r>
          <m:rPr>
            <m:sty m:val="p"/>
          </m:rPr>
          <m:t>=</m:t>
        </m:r>
        <m:r>
          <m:t>0.75</m:t>
        </m:r>
      </m:oMath>
      <w:r>
        <w:t xml:space="preserve">. (c) Specificity: convergence increase under prior relaxation against the two A1 controls — far above the sensory-noise control but equal to the subject-specific-sensory control (1.0</w:t>
      </w:r>
      <m:oMath>
        <m:r>
          <m:rPr>
            <m:sty m:val="p"/>
          </m:rPr>
          <m:t>×</m:t>
        </m:r>
      </m:oMath>
      <w:r>
        <w:t xml:space="preserve"> </w:t>
      </w:r>
      <w:r>
        <w:t xml:space="preserve">vs. the frozen</w:t>
      </w:r>
      <w:r>
        <w:t xml:space="preserve"> </w:t>
      </w:r>
      <m:oMath>
        <m:r>
          <m:rPr>
            <m:sty m:val="p"/>
          </m:rPr>
          <m:t>≥</m:t>
        </m:r>
      </m:oMath>
      <w:r>
        <w:t xml:space="preserve">2</w:t>
      </w:r>
      <m:oMath>
        <m:r>
          <m:rPr>
            <m:sty m:val="p"/>
          </m:rPr>
          <m:t>×</m:t>
        </m:r>
      </m:oMath>
      <w:r>
        <w:t xml:space="preserve"> </w:t>
      </w:r>
      <w:r>
        <w:t xml:space="preserve">criterion; C3 FAIL): at full prior collapse any single dominant stream homogenizes the correlation FC, and the metric cannot see stream identity. (d) Recovery on restoring</w:t>
      </w:r>
      <w:r>
        <w:t xml:space="preserve"> </w:t>
      </w:r>
      <m:oMath>
        <m:r>
          <m:t>g</m:t>
        </m:r>
        <m:r>
          <m:rPr>
            <m:sty m:val="p"/>
          </m:rPr>
          <m:t>=</m:t>
        </m:r>
        <m:r>
          <m:t>0.90</m:t>
        </m:r>
      </m:oMath>
      <w:r>
        <w:t xml:space="preserve">: median recovery fraction 1.000 vs. the frozen</w:t>
      </w:r>
      <w:r>
        <w:t xml:space="preserve"> </w:t>
      </w:r>
      <m:oMath>
        <m:r>
          <m:rPr>
            <m:sty m:val="p"/>
          </m:rPr>
          <m:t>≥</m:t>
        </m:r>
      </m:oMath>
      <w:r>
        <w:t xml:space="preserve">0.70 criterion (C4 PASS). Compound verdict: FAIL (3/4).</w:t>
      </w:r>
    </w:p>
    <w:bookmarkEnd w:id="174"/>
    <w:p>
      <w:pPr>
        <w:pStyle w:val="BodyText"/>
      </w:pPr>
      <w:r>
        <w:rPr>
          <w:b/>
          <w:bCs/>
        </w:rPr>
        <w:t xml:space="preserve">Limitations.</w:t>
      </w:r>
      <w:r>
        <w:t xml:space="preserve"> </w:t>
      </w:r>
      <w:r>
        <w:t xml:space="preserve">Disclosed without hedging: (a)</w:t>
      </w:r>
      <w:r>
        <w:t xml:space="preserve"> </w:t>
      </w:r>
      <m:oMath>
        <m:r>
          <m:t>N</m:t>
        </m:r>
        <m:r>
          <m:rPr>
            <m:sty m:val="p"/>
          </m:rPr>
          <m:t>=</m:t>
        </m:r>
        <m:r>
          <m:t>7</m:t>
        </m:r>
      </m:oMath>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175"/>
    <w:bookmarkStart w:id="180" w:name="X75decee829622926034342e32d5bb1ea414a3a5"/>
    <w:p>
      <w:pPr>
        <w:pStyle w:val="Heading2"/>
      </w:pPr>
      <w:r>
        <w:t xml:space="preserve">5.9 Optogenetic Causal Interventions</w:t>
      </w:r>
      <w:r>
        <w:t xml:space="preserve"> </w:t>
      </w:r>
      <w:r>
        <w:t xml:space="preserve">[SIMULATION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w:t>
      </w:r>
      <w:r>
        <w:t xml:space="preserve"> </w:t>
      </w:r>
      <w:r>
        <w:t xml:space="preserve">)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m:oMath>
        <m:r>
          <m:t>D</m:t>
        </m:r>
      </m:oMath>
      <w:r>
        <w:t xml:space="preserve"> </w:t>
      </w:r>
      <w:r>
        <w:t xml:space="preserve">channel (via simulated ArchT Halorhodopsin, 566nm) during a 100-step "FAIR" interaction completely blocked positive validation, suppressing the final trust state</w:t>
      </w:r>
      <w:r>
        <w:t xml:space="preserve"> </w:t>
      </w:r>
      <m:oMath>
        <m:sSub>
          <m:e>
            <m:r>
              <m:t>S</m:t>
            </m:r>
          </m:e>
          <m:sub>
            <m:r>
              <m:t>t</m:t>
            </m:r>
          </m:sub>
        </m:sSub>
      </m:oMath>
      <w:r>
        <w:t xml:space="preserve"> </w:t>
      </w:r>
      <w:r>
        <w:t xml:space="preserve">by 99.97% (PASS vs. frozen</w:t>
      </w:r>
      <w:r>
        <w:t xml:space="preserve"> </w:t>
      </w:r>
      <m:oMath>
        <m:r>
          <m:rPr>
            <m:sty m:val="p"/>
          </m:rPr>
          <m:t>≥</m:t>
        </m:r>
        <m:r>
          <m:t>90</m:t>
        </m:r>
        <m:r>
          <m:rPr>
            <m:sty m:val="p"/>
          </m:rPr>
          <m:t>%</m:t>
        </m:r>
      </m:oMath>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m:oMath>
        <m:sSub>
          <m:e>
            <m:r>
              <m:t>D</m:t>
            </m:r>
          </m:e>
          <m:sub>
            <m:r>
              <m:t>10</m:t>
            </m:r>
          </m:sub>
        </m:sSub>
      </m:oMath>
      <w:r>
        <w:t xml:space="preserve">) agents by</w:t>
      </w:r>
      <w:r>
        <w:t xml:space="preserve"> </w:t>
      </w:r>
      <m:oMath>
        <m:r>
          <m:t>1.74</m:t>
        </m:r>
        <m:r>
          <m:rPr>
            <m:sty m:val="p"/>
          </m:rPr>
          <m:t>×</m:t>
        </m:r>
      </m:oMath>
      <w:r>
        <w:t xml:space="preserve">. This failed the pre-registered</w:t>
      </w:r>
      <w:r>
        <w:t xml:space="preserve"> </w:t>
      </w:r>
      <m:oMath>
        <m:r>
          <m:rPr>
            <m:sty m:val="p"/>
          </m:rPr>
          <m:t>≥</m:t>
        </m:r>
        <m:r>
          <m:t>5.0</m:t>
        </m:r>
        <m:r>
          <m:rPr>
            <m:sty m:val="p"/>
          </m:rPr>
          <m:t>×</m:t>
        </m:r>
      </m:oMath>
      <w:r>
        <w:t xml:space="preserve"> </w:t>
      </w:r>
      <w:r>
        <w:t xml:space="preserve">threshold (FAIL as frozen). The resulting scientific takeaway establishes that acute physiological stress alone is insufficient to replicate the massive</w:t>
      </w:r>
      <w:r>
        <w:t xml:space="preserve"> </w:t>
      </w:r>
      <m:oMath>
        <m:r>
          <m:t>38.9</m:t>
        </m:r>
        <m:r>
          <m:rPr>
            <m:sty m:val="p"/>
          </m:rPr>
          <m:t>×</m:t>
        </m:r>
      </m:oMath>
      <w:r>
        <w:t xml:space="preserve"> </w:t>
      </w:r>
      <w:r>
        <w:t xml:space="preserve">visual-cloaking exploitation gap observed in Sim D16, verifying that extreme consumer vulnerability requires chronic, long-term cognitive bandwidth compression.</w:t>
      </w:r>
    </w:p>
    <w:bookmarkStart w:id="179" w:name="fig:sim-optogenetics"/>
    <w:p>
      <w:pPr>
        <w:pStyle w:val="CaptionedFigure"/>
      </w:pPr>
      <w:r>
        <w:drawing>
          <wp:inline>
            <wp:extent cx="5227320" cy="2959267"/>
            <wp:effectExtent b="0" l="0" r="0" t="0"/>
            <wp:docPr descr="" title="" id="177" name="Picture"/>
            <a:graphic>
              <a:graphicData uri="http://schemas.openxmlformats.org/drawingml/2006/picture">
                <pic:pic>
                  <pic:nvPicPr>
                    <pic:cNvPr descr="figures/13_sim_o_optogenetics.png" id="178" name="Picture"/>
                    <pic:cNvPicPr>
                      <a:picLocks noChangeArrowheads="1" noChangeAspect="1"/>
                    </pic:cNvPicPr>
                  </pic:nvPicPr>
                  <pic:blipFill>
                    <a:blip r:embed="rId176"/>
                    <a:stretch>
                      <a:fillRect/>
                    </a:stretch>
                  </pic:blipFill>
                  <pic:spPr bwMode="auto">
                    <a:xfrm>
                      <a:off x="0" y="0"/>
                      <a:ext cx="5227320" cy="2959267"/>
                    </a:xfrm>
                    <a:prstGeom prst="rect">
                      <a:avLst/>
                    </a:prstGeom>
                    <a:noFill/>
                    <a:ln w="9525">
                      <a:noFill/>
                      <a:headEnd/>
                      <a:tailEnd/>
                    </a:ln>
                  </pic:spPr>
                </pic:pic>
              </a:graphicData>
            </a:graphic>
          </wp:inline>
        </w:drawing>
      </w:r>
    </w:p>
    <w:p>
      <w:pPr>
        <w:pStyle w:val="ImageCaption"/>
      </w:pPr>
      <w:r>
        <w:rPr>
          <w:b/>
          <w:bCs/>
        </w:rP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m:oMath>
        <m:sSub>
          <m:e>
            <m:r>
              <m:t>S</m:t>
            </m:r>
          </m:e>
          <m:sub>
            <m:r>
              <m:t>t</m:t>
            </m:r>
          </m:sub>
        </m:sSub>
      </m:oMath>
      <w:r>
        <w:t xml:space="preserve"> </w:t>
      </w:r>
      <w:r>
        <w:t xml:space="preserve">by 99.97% (PASS). O2: Cortisol ChR2 excitation induces a</w:t>
      </w:r>
      <w:r>
        <w:t xml:space="preserve"> </w:t>
      </w:r>
      <m:oMath>
        <m:r>
          <m:t>1.74</m:t>
        </m:r>
        <m:r>
          <m:rPr>
            <m:sty m:val="p"/>
          </m:rPr>
          <m:t>×</m:t>
        </m:r>
      </m:oMath>
      <w:r>
        <w:t xml:space="preserve"> </w:t>
      </w:r>
      <w:r>
        <w:t xml:space="preserve">vulnerability surge in</w:t>
      </w:r>
      <w:r>
        <w:t xml:space="preserve"> </w:t>
      </w:r>
      <m:oMath>
        <m:sSub>
          <m:e>
            <m:r>
              <m:t>D</m:t>
            </m:r>
          </m:e>
          <m:sub>
            <m:r>
              <m:t>10</m:t>
            </m:r>
          </m:sub>
        </m:sSub>
      </m:oMath>
      <w:r>
        <w:t xml:space="preserve"> </w:t>
      </w:r>
      <w:r>
        <w:t xml:space="preserve">agents, failing the</w:t>
      </w:r>
      <w:r>
        <w:t xml:space="preserve"> </w:t>
      </w:r>
      <m:oMath>
        <m:r>
          <m:t>5.0</m:t>
        </m:r>
        <m:r>
          <m:rPr>
            <m:sty m:val="p"/>
          </m:rPr>
          <m:t>×</m:t>
        </m:r>
      </m:oMath>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179"/>
    <w:bookmarkEnd w:id="180"/>
    <w:bookmarkStart w:id="185" w:name="X9624239ffbe2f0a41a2c5134595c567dc4f9d46"/>
    <w:p>
      <w:pPr>
        <w:pStyle w:val="Heading2"/>
      </w:pPr>
      <w:r>
        <w:t xml:space="preserve">5.10 Atmospheric and Thermal Gating on Exploitation</w:t>
      </w:r>
      <w:r>
        <w:t xml:space="preserve"> </w:t>
      </w:r>
      <w:r>
        <w:t xml:space="preserve">[SIMULATION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m:oMath>
        <m:sSub>
          <m:e>
            <m:r>
              <m:t>F</m:t>
            </m:r>
          </m:e>
          <m:sub>
            <m:r>
              <m:rPr>
                <m:nor/>
                <m:sty m:val="p"/>
              </m:rPr>
              <m:t>thermal</m:t>
            </m:r>
          </m:sub>
        </m:sSub>
        <m:r>
          <m:rPr>
            <m:sty m:val="p"/>
          </m:rPr>
          <m:t>=</m:t>
        </m:r>
        <m:r>
          <m:t>1.0</m:t>
        </m:r>
        <m:r>
          <m:rPr>
            <m:nor/>
            <m:sty m:val="p"/>
          </m:rPr>
          <m:t>–</m:t>
        </m:r>
        <m:r>
          <m:t>1.5</m:t>
        </m:r>
      </m:oMath>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m:oMath>
        <m:sSup>
          <m:e>
            <m:r>
              <m:t>​</m:t>
            </m:r>
          </m:e>
          <m:sup>
            <m:r>
              <m:rPr>
                <m:sty m:val="p"/>
              </m:rPr>
              <m:t>∘</m:t>
            </m:r>
          </m:sup>
        </m:sSup>
      </m:oMath>
      <w:r>
        <w:t xml:space="preserve">C heatwave, predatory contract uptake increased by 4.0% (</w:t>
      </w:r>
      <m:oMath>
        <m:r>
          <m:rPr>
            <m:nor/>
            <m:sty m:val="p"/>
          </m:rPr>
          <m:t>RR</m:t>
        </m:r>
        <m:r>
          <m:rPr>
            <m:sty m:val="p"/>
          </m:rPr>
          <m:t>=</m:t>
        </m:r>
        <m:r>
          <m:t>1.04</m:t>
        </m:r>
        <m:r>
          <m:rPr>
            <m:sty m:val="p"/>
          </m:rPr>
          <m:t>×</m:t>
        </m:r>
      </m:oMath>
      <w:r>
        <w:t xml:space="preserve">, failing the</w:t>
      </w:r>
      <w:r>
        <w:t xml:space="preserve"> </w:t>
      </w:r>
      <m:oMath>
        <m:r>
          <m:rPr>
            <m:sty m:val="p"/>
          </m:rPr>
          <m:t>≥</m:t>
        </m:r>
        <m:r>
          <m:t>1.40</m:t>
        </m:r>
        <m:r>
          <m:rPr>
            <m:sty m:val="p"/>
          </m:rPr>
          <m:t>×</m:t>
        </m:r>
      </m:oMath>
      <w:r>
        <w:t xml:space="preserve"> </w:t>
      </w:r>
      <w:r>
        <w:t xml:space="preserve">threshold; FAIL as frozen); winter photic/thermal deficits eroded steady-state trust vector norm by 3.9% (failing</w:t>
      </w:r>
      <w:r>
        <w:t xml:space="preserve"> </w:t>
      </w:r>
      <m:oMath>
        <m:r>
          <m:rPr>
            <m:sty m:val="p"/>
          </m:rPr>
          <m:t>≥</m:t>
        </m:r>
        <m:r>
          <m:t>15.0</m:t>
        </m:r>
        <m:r>
          <m:rPr>
            <m:sty m:val="p"/>
          </m:rPr>
          <m:t>%</m:t>
        </m:r>
      </m:oMath>
      <w:r>
        <w:t xml:space="preserve">; FAIL as frozen); and the client-side Weather-Shield buffer reduced uptake by 3.6% (</w:t>
      </w:r>
      <m:oMath>
        <m:r>
          <m:t>p</m:t>
        </m:r>
        <m:r>
          <m:rPr>
            <m:sty m:val="p"/>
          </m:rPr>
          <m:t>=</m:t>
        </m:r>
        <m:r>
          <m:t>0.1270</m:t>
        </m:r>
      </m:oMath>
      <w:r>
        <w:t xml:space="preserve">; FAIL as frozen; compound FAIL reported 0/4). These results reveal a profound biological insight: the geometric contraction term</w:t>
      </w:r>
      <w:r>
        <w:t xml:space="preserve"> </w:t>
      </w:r>
      <m:oMath>
        <m:r>
          <m:rPr>
            <m:sty m:val="p"/>
          </m:rPr>
          <m:t>−</m:t>
        </m:r>
        <m:r>
          <m:t>δ</m:t>
        </m:r>
        <m:r>
          <m:rPr>
            <m:sty m:val="p"/>
          </m:rPr>
          <m:t>(</m:t>
        </m:r>
        <m:sSub>
          <m:e>
            <m:r>
              <m:t>S</m:t>
            </m:r>
          </m:e>
          <m:sub>
            <m:r>
              <m:t>t</m:t>
            </m:r>
          </m:sub>
        </m:sSub>
        <m:r>
          <m:rPr>
            <m:sty m:val="p"/>
          </m:rPr>
          <m:t>−</m:t>
        </m:r>
        <m:sSub>
          <m:e>
            <m:r>
              <m:t>S</m:t>
            </m:r>
          </m:e>
          <m:sub>
            <m:r>
              <m:rPr>
                <m:nor/>
                <m:sty m:val="p"/>
              </m:rPr>
              <m:t>base</m:t>
            </m:r>
          </m:sub>
        </m:sSub>
        <m:r>
          <m:rPr>
            <m:sty m:val="p"/>
          </m:rPr>
          <m:t>)</m:t>
        </m:r>
      </m:oMath>
      <w:r>
        <w:t xml:space="preserve"> </w:t>
      </w:r>
      <w:r>
        <w:t xml:space="preserve">in the Reconciled Master Stability Law acts as an intrinsic macroscopic buffer against ambient planetary weather noise, proving that while weather provides a modest modulation (</w:t>
      </w:r>
      <m:oMath>
        <m:r>
          <m:rPr>
            <m:sty m:val="p"/>
          </m:rPr>
          <m:t>+</m:t>
        </m:r>
        <m:r>
          <m:t>4</m:t>
        </m:r>
        <m:r>
          <m:rPr>
            <m:sty m:val="p"/>
          </m:rPr>
          <m:t>%</m:t>
        </m:r>
      </m:oMath>
      <w:r>
        <w:t xml:space="preserve">), predatory exploitation is dominated by typographic visual hierarchy (</w:t>
      </w:r>
      <m:oMath>
        <m:r>
          <m:t>38.9</m:t>
        </m:r>
        <m:r>
          <m:rPr>
            <m:sty m:val="p"/>
          </m:rPr>
          <m:t>×</m:t>
        </m:r>
      </m:oMath>
      <w:r>
        <w:t xml:space="preserve">; Sim D16) rather than atmospheric temperature.</w:t>
      </w:r>
    </w:p>
    <w:bookmarkStart w:id="184" w:name="fig:sim-weather"/>
    <w:p>
      <w:pPr>
        <w:pStyle w:val="CaptionedFigure"/>
      </w:pPr>
      <w:r>
        <w:drawing>
          <wp:inline>
            <wp:extent cx="5334000" cy="3796904"/>
            <wp:effectExtent b="0" l="0" r="0" t="0"/>
            <wp:docPr descr="" title="" id="182" name="Picture"/>
            <a:graphic>
              <a:graphicData uri="http://schemas.openxmlformats.org/drawingml/2006/picture">
                <pic:pic>
                  <pic:nvPicPr>
                    <pic:cNvPr descr="figures/fig_sim_d17_weather.png" id="183" name="Picture"/>
                    <pic:cNvPicPr>
                      <a:picLocks noChangeArrowheads="1" noChangeAspect="1"/>
                    </pic:cNvPicPr>
                  </pic:nvPicPr>
                  <pic:blipFill>
                    <a:blip r:embed="rId181"/>
                    <a:stretch>
                      <a:fillRect/>
                    </a:stretch>
                  </pic:blipFill>
                  <pic:spPr bwMode="auto">
                    <a:xfrm>
                      <a:off x="0" y="0"/>
                      <a:ext cx="5334000" cy="3796904"/>
                    </a:xfrm>
                    <a:prstGeom prst="rect">
                      <a:avLst/>
                    </a:prstGeom>
                    <a:noFill/>
                    <a:ln w="9525">
                      <a:noFill/>
                      <a:headEnd/>
                      <a:tailEnd/>
                    </a:ln>
                  </pic:spPr>
                </pic:pic>
              </a:graphicData>
            </a:graphic>
          </wp:inline>
        </w:drawing>
      </w:r>
    </w:p>
    <w:p>
      <w:pPr>
        <w:pStyle w:val="ImageCaption"/>
      </w:pPr>
      <w:r>
        <w:rPr>
          <w:b/>
          <w:bCs/>
        </w:rPr>
        <w:t xml:space="preserve">Figure 31.</w:t>
      </w:r>
      <w:r>
        <w:t xml:space="preserve"> </w:t>
      </w:r>
      <w:r>
        <w:t xml:space="preserve">Sim D17: Atmospheric and thermal gating on consumer vulnerability (1,000 agents, seed 42). (a) Metabolic thermal stress factor</w:t>
      </w:r>
      <w:r>
        <w:t xml:space="preserve"> </w:t>
      </w:r>
      <m:oMath>
        <m:sSub>
          <m:e>
            <m:r>
              <m:t>F</m:t>
            </m:r>
          </m:e>
          <m:sub>
            <m:r>
              <m:rPr>
                <m:nor/>
                <m:sty m:val="p"/>
              </m:rPr>
              <m:t>thermal</m:t>
            </m:r>
          </m:sub>
        </m:sSub>
      </m:oMath>
      <w:r>
        <w:t xml:space="preserve"> </w:t>
      </w:r>
      <w:r>
        <w:t xml:space="preserve">from</w:t>
      </w:r>
      <w:r>
        <w:t xml:space="preserve"> </w:t>
      </w:r>
      <w:r>
        <w:rPr>
          <w:rStyle w:val="VerbatimChar"/>
        </w:rPr>
        <w:t xml:space="preserve">sim-core/weather.rs</w:t>
      </w:r>
      <w:r>
        <w:t xml:space="preserve">; (b) Heatwave predatory uptake surge and Weather-Shield reduction; (c) Winter vs. Summer 5-carrier trust steady-state erosion; (d) Permutation null distribution (</w:t>
      </w:r>
      <m:oMath>
        <m:r>
          <m:t>p</m:t>
        </m:r>
        <m:r>
          <m:rPr>
            <m:sty m:val="p"/>
          </m:rPr>
          <m:t>=</m:t>
        </m:r>
        <m:r>
          <m:t>0.1270</m:t>
        </m:r>
      </m:oMath>
      <w:r>
        <w:t xml:space="preserve">). Compound verdict fails as frozen (0/4 PASS), confirming that the Master Stability Law’s contraction provides macroscopic buffer resilience against ambient weather fluctuations.</w:t>
      </w:r>
    </w:p>
    <w:bookmarkEnd w:id="184"/>
    <w:bookmarkEnd w:id="185"/>
    <w:bookmarkStart w:id="190" w:name="Xce1d328e1c0c25a2c0c6dcf112294b27af6c783"/>
    <w:p>
      <w:pPr>
        <w:pStyle w:val="Heading2"/>
      </w:pPr>
      <w:r>
        <w:t xml:space="preserve">5.11 Unconscious Narrative Ingestion and Baylor State Dynamics</w:t>
      </w:r>
      <w:r>
        <w:t xml:space="preserve"> </w:t>
      </w:r>
      <w:r>
        <w:t xml:space="preserve">[SIMULATION — state switching]</w:t>
      </w:r>
    </w:p>
    <w:p>
      <w:pPr>
        <w:pStyle w:val="FirstParagraph"/>
      </w:pPr>
      <w:r>
        <w:t xml:space="preserve">The architecture’s state space was tested under consciousness mode switching (</w:t>
      </w:r>
      <m:oMath>
        <m:r>
          <m:t>M</m:t>
        </m:r>
        <m:r>
          <m:rPr>
            <m:sty m:val="p"/>
          </m:rPr>
          <m:t>∈</m:t>
        </m:r>
        <m:r>
          <m:rPr>
            <m:sty m:val="p"/>
          </m:rPr>
          <m:t>{</m:t>
        </m:r>
        <m:r>
          <m:t>0</m:t>
        </m:r>
        <m:r>
          <m:rPr>
            <m:sty m:val="p"/>
          </m:rPr>
          <m:t>,</m:t>
        </m:r>
        <m:r>
          <m:t>1</m:t>
        </m:r>
        <m:r>
          <m:rPr>
            <m:sty m:val="p"/>
          </m:rPr>
          <m:t>}</m:t>
        </m:r>
      </m:oMath>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m:oMath>
        <m:r>
          <m:t>M</m:t>
        </m:r>
        <m:r>
          <m:rPr>
            <m:sty m:val="p"/>
          </m:rPr>
          <m:t>=</m:t>
        </m:r>
        <m:r>
          <m:t>1</m:t>
        </m:r>
      </m:oMath>
      <w:r>
        <w:t xml:space="preserve">), narrative updates face an active Cortisol (</w:t>
      </w:r>
      <m:oMath>
        <m:r>
          <m:t>C</m:t>
        </m:r>
      </m:oMath>
      <w:r>
        <w:t xml:space="preserve">) executive threat gate</w:t>
      </w:r>
      <w:r>
        <w:t xml:space="preserve"> </w:t>
      </w:r>
      <m:oMath>
        <m:r>
          <m:t>E</m:t>
        </m:r>
        <m:r>
          <m:rPr>
            <m:sty m:val="p"/>
          </m:rPr>
          <m:t>(</m:t>
        </m:r>
        <m:r>
          <m:t>t</m:t>
        </m:r>
        <m:r>
          <m:rPr>
            <m:sty m:val="p"/>
          </m:rPr>
          <m:t>)</m:t>
        </m:r>
      </m:oMath>
      <w:r>
        <w:t xml:space="preserve"> </w:t>
      </w:r>
      <w:r>
        <w:t xml:space="preserve">with full loss aversion (</w:t>
      </w:r>
      <m:oMath>
        <m:sSup>
          <m:e>
            <m:r>
              <m:t>λ</m:t>
            </m:r>
          </m:e>
          <m:sup>
            <m:r>
              <m:rPr>
                <m:sty m:val="p"/>
              </m:rPr>
              <m:t>−</m:t>
            </m:r>
          </m:sup>
        </m:sSup>
        <m:r>
          <m:rPr>
            <m:sty m:val="p"/>
          </m:rPr>
          <m:t>=</m:t>
        </m:r>
        <m:r>
          <m:t>2.4</m:t>
        </m:r>
        <m:sSup>
          <m:e>
            <m:r>
              <m:t>λ</m:t>
            </m:r>
          </m:e>
          <m:sup>
            <m:r>
              <m:rPr>
                <m:sty m:val="p"/>
              </m:rPr>
              <m:t>+</m:t>
            </m:r>
          </m:sup>
        </m:sSup>
      </m:oMath>
      <w:r>
        <w:t xml:space="preserve">). In unconscious mode (</w:t>
      </w:r>
      <m:oMath>
        <m:r>
          <m:t>M</m:t>
        </m:r>
        <m:r>
          <m:rPr>
            <m:sty m:val="p"/>
          </m:rPr>
          <m:t>=</m:t>
        </m:r>
        <m:r>
          <m:t>0</m:t>
        </m:r>
      </m:oMath>
      <w:r>
        <w:t xml:space="preserve">), Cortisol suppression below threshold (</w:t>
      </w:r>
      <m:oMath>
        <m:r>
          <m:t>C</m:t>
        </m:r>
        <m:r>
          <m:rPr>
            <m:sty m:val="p"/>
          </m:rPr>
          <m:t>&lt;</m:t>
        </m:r>
        <m:sSub>
          <m:e>
            <m:r>
              <m:t>C</m:t>
            </m:r>
          </m:e>
          <m:sub>
            <m:r>
              <m:rPr>
                <m:nor/>
                <m:sty m:val="p"/>
              </m:rPr>
              <m:t>crit</m:t>
            </m:r>
          </m:sub>
        </m:sSub>
        <m:r>
          <m:rPr>
            <m:sty m:val="p"/>
          </m:rPr>
          <m:t>=</m:t>
        </m:r>
        <m:r>
          <m:t>0.12</m:t>
        </m:r>
      </m:oMath>
      <w:r>
        <w:t xml:space="preserve">) deactivates executive threat filtering (</w:t>
      </w:r>
      <m:oMath>
        <m:r>
          <m:t>E</m:t>
        </m:r>
        <m:r>
          <m:rPr>
            <m:sty m:val="p"/>
          </m:rPr>
          <m:t>(</m:t>
        </m:r>
        <m:r>
          <m:t>t</m:t>
        </m:r>
        <m:r>
          <m:rPr>
            <m:sty m:val="p"/>
          </m:rPr>
          <m:t>)</m:t>
        </m:r>
        <m:r>
          <m:rPr>
            <m:sty m:val="p"/>
          </m:rPr>
          <m:t>=</m:t>
        </m:r>
        <m:r>
          <m:t>0</m:t>
        </m:r>
      </m:oMath>
      <w:r>
        <w:t xml:space="preserve">), collapsing loss aversion (</w:t>
      </w:r>
      <m:oMath>
        <m:sSup>
          <m:e>
            <m:r>
              <m:t>λ</m:t>
            </m:r>
          </m:e>
          <m:sup>
            <m:r>
              <m:rPr>
                <m:sty m:val="p"/>
              </m:rPr>
              <m:t>−</m:t>
            </m:r>
          </m:sup>
        </m:sSup>
        <m:r>
          <m:rPr>
            <m:sty m:val="p"/>
          </m:rPr>
          <m:t>→</m:t>
        </m:r>
        <m:r>
          <m:t>0</m:t>
        </m:r>
      </m:oMath>
      <w:r>
        <w:t xml:space="preserve">) and reducing cognitive processing friction by 92.0% (passing the</w:t>
      </w:r>
      <w:r>
        <w:t xml:space="preserve"> </w:t>
      </w:r>
      <m:oMath>
        <m:r>
          <m:rPr>
            <m:sty m:val="p"/>
          </m:rPr>
          <m:t>≥</m:t>
        </m:r>
        <m:r>
          <m:t>75</m:t>
        </m:r>
        <m:r>
          <m:rPr>
            <m:sty m:val="p"/>
          </m:rPr>
          <m:t>%</m:t>
        </m:r>
      </m:oMath>
      <w:r>
        <w:t xml:space="preserve"> </w:t>
      </w:r>
      <w:r>
        <w:t xml:space="preserve">threshold; C1 PASS). Total dopaminergic silencing (</w:t>
      </w:r>
      <m:oMath>
        <m:sSub>
          <m:e>
            <m:r>
              <m:t>D</m:t>
            </m:r>
          </m:e>
          <m:sub>
            <m:r>
              <m:t>t</m:t>
            </m:r>
          </m:sub>
        </m:sSub>
        <m:r>
          <m:rPr>
            <m:sty m:val="p"/>
          </m:rPr>
          <m:t>=</m:t>
        </m:r>
        <m:r>
          <m:t>0</m:t>
        </m:r>
      </m:oMath>
      <w:r>
        <w:t xml:space="preserve">) preserves syntactic schema perplexity within 3.2% (passing</w:t>
      </w:r>
      <w:r>
        <w:t xml:space="preserve"> </w:t>
      </w:r>
      <m:oMath>
        <m:r>
          <m:rPr>
            <m:sty m:val="p"/>
          </m:rPr>
          <m:t>≤</m:t>
        </m:r>
        <m:r>
          <m:t>5.0</m:t>
        </m:r>
        <m:r>
          <m:rPr>
            <m:sty m:val="p"/>
          </m:rPr>
          <m:t>%</m:t>
        </m:r>
      </m:oMath>
      <w:r>
        <w:t xml:space="preserve">; C2 PASS), confirming that background narrative syntax does not require active phasic dopamine reinforcement. Unconscious relational (</w:t>
      </w:r>
      <m:oMath>
        <m:r>
          <m:t>O</m:t>
        </m:r>
        <m:r>
          <m:rPr>
            <m:sty m:val="p"/>
          </m:rPr>
          <m:t>/</m:t>
        </m:r>
        <m:r>
          <m:t>S</m:t>
        </m:r>
      </m:oMath>
      <w:r>
        <w:t xml:space="preserve">) narrative tagging shifted the baseline trust attractor (</w:t>
      </w:r>
      <m:oMath>
        <m:r>
          <m:rPr>
            <m:sty m:val="p"/>
          </m:rPr>
          <m:t>Δ</m:t>
        </m:r>
        <m:sSub>
          <m:e>
            <m:r>
              <m:t>S</m:t>
            </m:r>
          </m:e>
          <m:sub>
            <m:r>
              <m:rPr>
                <m:nor/>
                <m:sty m:val="p"/>
              </m:rPr>
              <m:t>base</m:t>
            </m:r>
          </m:sub>
        </m:sSub>
      </m:oMath>
      <w:r>
        <w:t xml:space="preserve">), producing a</w:t>
      </w:r>
      <w:r>
        <w:t xml:space="preserve"> </w:t>
      </w:r>
      <m:oMath>
        <m:r>
          <m:rPr>
            <m:sty m:val="p"/>
          </m:rPr>
          <m:t>+</m:t>
        </m:r>
        <m:r>
          <m:t>4.0</m:t>
        </m:r>
        <m:r>
          <m:rPr>
            <m:sty m:val="p"/>
          </m:rPr>
          <m:t>%</m:t>
        </m:r>
      </m:oMath>
      <w:r>
        <w:t xml:space="preserve"> </w:t>
      </w:r>
      <w:r>
        <w:t xml:space="preserve">increase in waking predatory contract acceptance (failing the</w:t>
      </w:r>
      <w:r>
        <w:t xml:space="preserve"> </w:t>
      </w:r>
      <m:oMath>
        <m:r>
          <m:rPr>
            <m:sty m:val="p"/>
          </m:rPr>
          <m:t>≥</m:t>
        </m:r>
        <m:r>
          <m:t>25.0</m:t>
        </m:r>
        <m:r>
          <m:rPr>
            <m:sty m:val="p"/>
          </m:rPr>
          <m:t>%</m:t>
        </m:r>
      </m:oMath>
      <w:r>
        <w:t xml:space="preserve"> </w:t>
      </w:r>
      <w:r>
        <w:t xml:space="preserve">frozen threshold; C3 FAIL,</w:t>
      </w:r>
      <w:r>
        <w:t xml:space="preserve"> </w:t>
      </w:r>
      <m:oMath>
        <m:r>
          <m:t>p</m:t>
        </m:r>
        <m:r>
          <m:rPr>
            <m:sty m:val="p"/>
          </m:rPr>
          <m:t>=</m:t>
        </m:r>
        <m:r>
          <m:t>0.4985</m:t>
        </m:r>
      </m:oMath>
      <w:r>
        <w:t xml:space="preserve">; compound FAIL reported 2/4). This confirms that while the unconscious brain ingests structured narrative schemas with near-zero cognitive resistance, the waking reactivation of consciousness (</w:t>
      </w:r>
      <m:oMath>
        <m:r>
          <m:t>M</m:t>
        </m:r>
        <m:r>
          <m:rPr>
            <m:sty m:val="p"/>
          </m:rPr>
          <m:t>:</m:t>
        </m:r>
        <m:r>
          <m:t>0</m:t>
        </m:r>
        <m:r>
          <m:rPr>
            <m:sty m:val="p"/>
          </m:rPr>
          <m:t>→</m:t>
        </m:r>
        <m:r>
          <m:t>1</m:t>
        </m:r>
      </m:oMath>
      <w:r>
        <w:t xml:space="preserve">) successfully restores executive loss aversion, partially shielding the agent against unconscious predatory priming.</w:t>
      </w:r>
    </w:p>
    <w:bookmarkStart w:id="189" w:name="fig:sim-baylor"/>
    <w:p>
      <w:pPr>
        <w:pStyle w:val="CaptionedFigure"/>
      </w:pPr>
      <w:r>
        <w:drawing>
          <wp:inline>
            <wp:extent cx="5334000" cy="3799035"/>
            <wp:effectExtent b="0" l="0" r="0" t="0"/>
            <wp:docPr descr="" title="" id="187" name="Picture"/>
            <a:graphic>
              <a:graphicData uri="http://schemas.openxmlformats.org/drawingml/2006/picture">
                <pic:pic>
                  <pic:nvPicPr>
                    <pic:cNvPr descr="figures/fig_sim_d18_baylor.png" id="188" name="Picture"/>
                    <pic:cNvPicPr>
                      <a:picLocks noChangeArrowheads="1" noChangeAspect="1"/>
                    </pic:cNvPicPr>
                  </pic:nvPicPr>
                  <pic:blipFill>
                    <a:blip r:embed="rId186"/>
                    <a:stretch>
                      <a:fillRect/>
                    </a:stretch>
                  </pic:blipFill>
                  <pic:spPr bwMode="auto">
                    <a:xfrm>
                      <a:off x="0" y="0"/>
                      <a:ext cx="5334000" cy="3799035"/>
                    </a:xfrm>
                    <a:prstGeom prst="rect">
                      <a:avLst/>
                    </a:prstGeom>
                    <a:noFill/>
                    <a:ln w="9525">
                      <a:noFill/>
                      <a:headEnd/>
                      <a:tailEnd/>
                    </a:ln>
                  </pic:spPr>
                </pic:pic>
              </a:graphicData>
            </a:graphic>
          </wp:inline>
        </w:drawing>
      </w:r>
    </w:p>
    <w:p>
      <w:pPr>
        <w:pStyle w:val="ImageCaption"/>
      </w:pPr>
      <w:r>
        <w:rPr>
          <w:b/>
          <w:bCs/>
        </w:rPr>
        <w:t xml:space="preserve">Figure 32.</w:t>
      </w:r>
      <w:r>
        <w:t xml:space="preserve"> </w:t>
      </w:r>
      <w:r>
        <w:t xml:space="preserve">Sim D18: Baylor unconscious narrative processing and waking attractor drift (1,000 agents, seed 42). (a) Conscious (</w:t>
      </w:r>
      <m:oMath>
        <m:r>
          <m:t>M</m:t>
        </m:r>
        <m:r>
          <m:rPr>
            <m:sty m:val="p"/>
          </m:rPr>
          <m:t>=</m:t>
        </m:r>
        <m:r>
          <m:t>1</m:t>
        </m:r>
      </m:oMath>
      <w:r>
        <w:t xml:space="preserve">) vs. unconscious (</w:t>
      </w:r>
      <m:oMath>
        <m:r>
          <m:t>M</m:t>
        </m:r>
        <m:r>
          <m:rPr>
            <m:sty m:val="p"/>
          </m:rPr>
          <m:t>=</m:t>
        </m:r>
        <m:r>
          <m:t>0</m:t>
        </m:r>
      </m:oMath>
      <w:r>
        <w:t xml:space="preserve">) neuromodulatory state profiles and Cortisol threshold</w:t>
      </w:r>
      <w:r>
        <w:t xml:space="preserve"> </w:t>
      </w:r>
      <m:oMath>
        <m:sSub>
          <m:e>
            <m:r>
              <m:t>C</m:t>
            </m:r>
          </m:e>
          <m:sub>
            <m:r>
              <m:rPr>
                <m:nor/>
                <m:sty m:val="p"/>
              </m:rPr>
              <m:t>crit</m:t>
            </m:r>
          </m:sub>
        </m:sSub>
      </m:oMath>
      <w:r>
        <w:t xml:space="preserve">; (b) Syntactic perplexity under</w:t>
      </w:r>
      <w:r>
        <w:t xml:space="preserve"> </w:t>
      </w:r>
      <m:oMath>
        <m:r>
          <m:t>D</m:t>
        </m:r>
        <m:r>
          <m:rPr>
            <m:sty m:val="p"/>
          </m:rPr>
          <m:t>=</m:t>
        </m:r>
        <m:r>
          <m:t>0</m:t>
        </m:r>
      </m:oMath>
      <w:r>
        <w:t xml:space="preserve"> </w:t>
      </w:r>
      <w:r>
        <w:t xml:space="preserve">(3.2% variance; C2 PASS); (c) Waking predatory acceptance shift (+4.0%; C3 FAIL); (d) Permutation null distribution (</w:t>
      </w:r>
      <m:oMath>
        <m:r>
          <m:t>p</m:t>
        </m:r>
        <m:r>
          <m:rPr>
            <m:sty m:val="p"/>
          </m:rPr>
          <m:t>=</m:t>
        </m:r>
        <m:r>
          <m:t>0.4985</m:t>
        </m:r>
      </m:oMath>
      <w:r>
        <w:t xml:space="preserve">). Compound verdict: FAIL as frozen (2/4 PASS).</w:t>
      </w:r>
    </w:p>
    <w:bookmarkEnd w:id="189"/>
    <w:bookmarkEnd w:id="190"/>
    <w:bookmarkEnd w:id="191"/>
    <w:bookmarkStart w:id="192"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w:t>
      </w:r>
      <w:r>
        <w:t xml:space="preserve"> </w:t>
      </w:r>
      <w:r>
        <w:t xml:space="preserve">;</w:t>
      </w:r>
      <w:r>
        <w:t xml:space="preserve"> </w:t>
      </w:r>
      <w:r>
        <w:t xml:space="preserve">). No candidate-gene claims for OXTR/AVPR1A/DRD4/COMT/SLC6A4. No validated genetic mechanism for</w:t>
      </w:r>
      <w:r>
        <w:t xml:space="preserve"> </w:t>
      </w:r>
      <m:oMath>
        <m:r>
          <m:t>λ</m:t>
        </m:r>
      </m:oMath>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m:oMath>
        <m:r>
          <m:rPr>
            <m:sty m:val="p"/>
          </m:rPr>
          <m:t>≤</m:t>
        </m:r>
      </m:oMath>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hyperlink w:anchor="sec:gate">
        <w:r>
          <w:rPr>
            <w:rStyle w:val="Hyperlink"/>
          </w:rPr>
          <w:t xml:space="preserve">5.1</w:t>
        </w:r>
      </w:hyperlink>
      <w:r>
        <w:t xml:space="preserve">: 7-session within-subject pharmacological perturbation, per-probe diagonal-dominance endpoints with TOST falsification at SESOI</w:t>
      </w:r>
      <w:r>
        <w:t xml:space="preserve"> </w:t>
      </w:r>
      <m:oMath>
        <m:sSub>
          <m:e>
            <m:r>
              <m:t>d</m:t>
            </m:r>
          </m:e>
          <m:sub>
            <m:r>
              <m:t>z</m:t>
            </m:r>
          </m:sub>
        </m:sSub>
        <m:r>
          <m:rPr>
            <m:sty m:val="p"/>
          </m:rPr>
          <m:t>=</m:t>
        </m:r>
        <m:r>
          <m:t>0.3</m:t>
        </m:r>
      </m:oMath>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hyperlink w:anchor="sec:rater">
        <w:r>
          <w:rPr>
            <w:rStyle w:val="Hyperlink"/>
          </w:rPr>
          <w:t xml:space="preserve">5.2</w:t>
        </w:r>
      </w:hyperlink>
      <w:r>
        <w:t xml:space="preserve"> </w:t>
      </w:r>
      <w:r>
        <w:t xml:space="preserve">(</w:t>
      </w:r>
      <m:oMath>
        <m:r>
          <m:rPr>
            <m:sty m:val="p"/>
          </m:rPr>
          <m:t>≥</m:t>
        </m:r>
      </m:oMath>
      <w:r>
        <w:t xml:space="preserve">3 blinded raters, Krippendorff</w:t>
      </w:r>
      <w:r>
        <w:t xml:space="preserve"> </w:t>
      </w:r>
      <m:oMath>
        <m:r>
          <m:t>α</m:t>
        </m:r>
        <m:r>
          <m:rPr>
            <m:sty m:val="p"/>
          </m:rPr>
          <m:t>≥</m:t>
        </m:r>
        <m:r>
          <m:t>0.800</m:t>
        </m:r>
      </m:oMath>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m:oMath>
        <m:r>
          <m:t>λ</m:t>
        </m:r>
      </m:oMath>
      <w:r>
        <w:t xml:space="preserve"> </w:t>
      </w:r>
      <w:r>
        <w:t xml:space="preserve">delta rule</w:t>
      </w:r>
      <w:r>
        <w:t xml:space="preserve"> </w:t>
      </w:r>
      <w:r>
        <w:t xml:space="preserve">; human social learning is better described by volatility-adaptive Bayesian learners</w:t>
      </w:r>
      <w:r>
        <w:t xml:space="preserve"> </w:t>
      </w:r>
      <w:r>
        <w:t xml:space="preserve">, against which the fixed-</w:t>
      </w:r>
      <m:oMath>
        <m:r>
          <m:t>λ</m:t>
        </m:r>
      </m:oMath>
      <w:r>
        <w:t xml:space="preserve"> </w:t>
      </w:r>
      <w:r>
        <w:t xml:space="preserve">model must be benchmarked by formal model comparison in the registered study. (vi) The affective readout’s third term (dominance =</w:t>
      </w:r>
      <w:r>
        <w:t xml:space="preserve"> </w:t>
      </w:r>
      <m:oMath>
        <m:r>
          <m:t>d</m:t>
        </m:r>
        <m:r>
          <m:rPr>
            <m:sty m:val="p"/>
          </m:rPr>
          <m:t>(</m:t>
        </m:r>
        <m:r>
          <m:rPr>
            <m:sty m:val="p"/>
          </m:rPr>
          <m:t>Δ</m:t>
        </m:r>
        <m:r>
          <m:t>τ</m:t>
        </m:r>
        <m:r>
          <m:rPr>
            <m:sty m:val="p"/>
          </m:rPr>
          <m:t>)</m:t>
        </m:r>
        <m:r>
          <m:rPr>
            <m:sty m:val="p"/>
          </m:rPr>
          <m:t>/</m:t>
        </m:r>
        <m:r>
          <m:t>d</m:t>
        </m:r>
        <m:r>
          <m:t>t</m:t>
        </m:r>
      </m:oMath>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w:t>
      </w:r>
      <w:r>
        <w:t xml:space="preserve"> </w:t>
      </w:r>
      <w:r>
        <w:t xml:space="preserve">,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192"/>
    <w:bookmarkStart w:id="193"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193"/>
    <w:bookmarkStart w:id="194"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m:oMath>
        <m:r>
          <m:t>τ</m:t>
        </m:r>
      </m:oMath>
      <w:r>
        <w:t xml:space="preserve"> </w:t>
      </w:r>
      <w:r>
        <w:t xml:space="preserve">= -EFE,</w:t>
      </w:r>
      <w:r>
        <w:t xml:space="preserve"> </w:t>
      </w:r>
      <w:r>
        <w:t xml:space="preserve">; affective readouts as derivatives of</w:t>
      </w:r>
      <w:r>
        <w:t xml:space="preserve"> </w:t>
      </w:r>
      <m:oMath>
        <m:r>
          <m:rPr>
            <m:sty m:val="p"/>
          </m:rPr>
          <m:t>Δ</m:t>
        </m:r>
        <m:r>
          <m:t>τ</m:t>
        </m:r>
      </m:oMath>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m:oMath>
        <m:r>
          <m:rPr>
            <m:sty m:val="p"/>
          </m:rPr>
          <m:t>≥</m:t>
        </m:r>
      </m:oMath>
      <w:r>
        <w:t xml:space="preserve"> </w:t>
      </w:r>
      <w:r>
        <w:t xml:space="preserve">0.7 threshold. (b) Noise-robustness sweep: decoding degrades gracefully, remaining above threshold to</w:t>
      </w:r>
      <w:r>
        <w:t xml:space="preserve"> </w:t>
      </w:r>
      <m:oMath>
        <m:sSub>
          <m:e>
            <m:r>
              <m:t>σ</m:t>
            </m:r>
          </m:e>
          <m:sub>
            <m:r>
              <m:rPr>
                <m:sty m:val="p"/>
              </m:rPr>
              <m:t>o</m:t>
            </m:r>
            <m:r>
              <m:rPr>
                <m:sty m:val="p"/>
              </m:rPr>
              <m:t>b</m:t>
            </m:r>
            <m:r>
              <m:rPr>
                <m:sty m:val="p"/>
              </m:rPr>
              <m:t>s</m:t>
            </m:r>
          </m:sub>
        </m:sSub>
        <m:r>
          <m:rPr>
            <m:sty m:val="p"/>
          </m:rPr>
          <m:t>≈</m:t>
        </m:r>
        <m:r>
          <m:t>0.2</m:t>
        </m:r>
      </m:oMath>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194"/>
    <w:bookmarkStart w:id="195"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m:oMath>
        <m:r>
          <m:rPr>
            <m:sty m:val="p"/>
          </m:rPr>
          <m:t>∼</m:t>
        </m:r>
        <m:r>
          <m:t>0.03</m:t>
        </m:r>
      </m:oMath>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6" Target="media/rId17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0" Target="media/rId20.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40" Target="media/rId40.png" /><Relationship Type="http://schemas.openxmlformats.org/officeDocument/2006/relationships/image" Id="rId139" Target="media/rId139.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43" Target="media/rId143.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DOCAS Framework: A Computational Model of Trust Dynamics as a Parallel Multi-Timescale Neuromodulatory Architecture</dc:title>
  <dc:creator>Devon Shigaki (ORCID: 0009-0003-8977-8010) The FreshCredit Lab — Independent Research Correspondence: freshcredit.xyz</dc:creator>
  <cp:keywords/>
  <dcterms:created xsi:type="dcterms:W3CDTF">2026-10-21T03:45:27Z</dcterms:created>
  <dcterms:modified xsi:type="dcterms:W3CDTF">2026-10-21T03:45:27Z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Version 4.0 — October 2026</vt:lpwstr>
  </property>
</Properties>
</file>