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8.png" ContentType="image/png"/>
  <Override PartName="/word/media/rId61.png" ContentType="image/png"/>
  <Override PartName="/word/media/rId57.png" ContentType="image/png"/>
  <Override PartName="/word/media/rId52.png" ContentType="image/png"/>
  <Override PartName="/word/media/rId80.png" ContentType="image/png"/>
  <Override PartName="/word/media/rId76.png" ContentType="image/png"/>
  <Override PartName="/word/media/rId71.png" ContentType="image/png"/>
  <Override PartName="/word/media/rId86.png" ContentType="image/png"/>
  <Override PartName="/word/media/rId28.png" ContentType="image/png"/>
  <Override PartName="/word/media/rId66.png" ContentType="image/png"/>
  <Override PartName="/word/media/rId22.png" ContentType="image/png"/>
  <Override PartName="/word/media/rId44.png" ContentType="image/png"/>
  <Override PartName="/word/media/rId40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Fresh Protocol: A Decentralized Architecture for Trust Measurement and Validation</w:t>
      </w:r>
    </w:p>
    <w:p>
      <w:pPr>
        <w:pStyle w:val="Author"/>
      </w:pPr>
      <w:r>
        <w:t xml:space="preserve">Devon Shigaki (ORCID: 0009-0003-8977-8010)</w:t>
      </w:r>
      <w:r>
        <w:br/>
      </w:r>
      <w:r>
        <w:t xml:space="preserve">The FreshCredit Lab — Independent Research</w:t>
      </w:r>
      <w:r>
        <w:br/>
      </w:r>
      <w:r>
        <w:t xml:space="preserve">Correspondence: freshcredit.xyz</w:t>
      </w:r>
    </w:p>
    <w:p>
      <w:pPr>
        <w:pStyle w:val="Date"/>
      </w:pPr>
      <w:r>
        <w:t xml:space="preserve">Version 4.0 — October 2026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Institutions that measure trust — identity providers, platforms, data</w:t>
      </w:r>
      <w:r>
        <w:t xml:space="preserve"> </w:t>
      </w:r>
      <w:r>
        <w:t xml:space="preserve">brokers, credentialing systems — do so through centralized,</w:t>
      </w:r>
      <w:r>
        <w:t xml:space="preserve"> </w:t>
      </w:r>
      <w:r>
        <w:t xml:space="preserve">expropriative architectures whose observation of users distorts the very</w:t>
      </w:r>
      <w:r>
        <w:t xml:space="preserve"> </w:t>
      </w:r>
      <w:r>
        <w:t xml:space="preserve">behavior being measured. This paper specifies The Fresh Protocol (TFP),</w:t>
      </w:r>
      <w:r>
        <w:t xml:space="preserve"> </w:t>
      </w:r>
      <w:r>
        <w:t xml:space="preserve">a domain-agnostic, decentralized architecture for trust measurement: a</w:t>
      </w:r>
      <w:r>
        <w:t xml:space="preserve"> </w:t>
      </w:r>
      <w:r>
        <w:t xml:space="preserve">five-layer stack that implements the companion theory’s stability</w:t>
      </w:r>
      <w:r>
        <w:t xml:space="preserve"> </w:t>
      </w:r>
      <w:r>
        <w:t xml:space="preserve">law (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the signed validation-minus-expectation</w:t>
      </w:r>
      <w:r>
        <w:t xml:space="preserve"> </w:t>
      </w:r>
      <w:r>
        <w:t xml:space="preserve">mismatch) as a live computational process, in which any verifiable</w:t>
      </w:r>
      <w:r>
        <w:t xml:space="preserve"> </w:t>
      </w:r>
      <w:r>
        <w:t xml:space="preserve">interaction — a transaction, a credential check, an API call, a device</w:t>
      </w:r>
      <w:r>
        <w:t xml:space="preserve"> </w:t>
      </w:r>
      <w:r>
        <w:t xml:space="preserve">attestation — functions as a validation event that updates a</w:t>
      </w:r>
      <w:r>
        <w:t xml:space="preserve"> </w:t>
      </w:r>
      <w:r>
        <w:t xml:space="preserve">user-owned record: trust measurement where genuine vulnerability is at</w:t>
      </w:r>
      <w:r>
        <w:t xml:space="preserve"> </w:t>
      </w:r>
      <w:r>
        <w:t xml:space="preserve">stake; verification/reputation measurement otherwise (§1.1). The stack combines W3C decentralized</w:t>
      </w:r>
      <w:r>
        <w:t xml:space="preserve"> </w:t>
      </w:r>
      <w:r>
        <w:t xml:space="preserve">identifiers with selective-disclosure credentials (SD-JWT, IETF RFC</w:t>
      </w:r>
      <w:r>
        <w:t xml:space="preserve"> </w:t>
      </w:r>
      <w:r>
        <w:t xml:space="preserve">9901), database-per-tenant edge storage (libSQL; single-writer in</w:t>
      </w:r>
      <w:r>
        <w:t xml:space="preserve"> </w:t>
      </w:r>
      <w:r>
        <w:t xml:space="preserve">production), a Substrate settlement and audit layer (143,343 batch</w:t>
      </w:r>
      <w:r>
        <w:t xml:space="preserve"> </w:t>
      </w:r>
      <w:r>
        <w:t xml:space="preserve">transactions per second measured on 23 of 100 Kusama cores in the</w:t>
      </w:r>
      <w:r>
        <w:t xml:space="preserve"> </w:t>
      </w:r>
      <w:r>
        <w:t xml:space="preserve">December 2024</w:t>
      </w:r>
      <w:r>
        <w:t xml:space="preserve"> </w:t>
      </w:r>
      <w:r>
        <w:t xml:space="preserve">“Spammening”</w:t>
      </w:r>
      <w:r>
        <w:t xml:space="preserve"> </w:t>
      </w:r>
      <w:r>
        <w:t xml:space="preserve">stress test; ordinary peer-to-peer</w:t>
      </w:r>
      <w:r>
        <w:t xml:space="preserve"> </w:t>
      </w:r>
      <w:r>
        <w:t xml:space="preserve">transfers peaked at 10,920 TPS), light-client verification (Smoldot),</w:t>
      </w:r>
      <w:r>
        <w:t xml:space="preserve"> </w:t>
      </w:r>
      <w:r>
        <w:t xml:space="preserve">and x402 micropayment rails (Coinbase-incubated, May 2025; 169M payments</w:t>
      </w:r>
      <w:r>
        <w:t xml:space="preserve"> </w:t>
      </w:r>
      <w:r>
        <w:t xml:space="preserve">in year one (memecoin-inflated; sub-cent settlement is the claim); zero</w:t>
      </w:r>
      <w:r>
        <w:t xml:space="preserve"> </w:t>
      </w:r>
      <w:r>
        <w:t xml:space="preserve">protocol fees; sub-cent settlement). TFP contains no</w:t>
      </w:r>
      <w:r>
        <w:t xml:space="preserve"> </w:t>
      </w:r>
      <w:r>
        <w:t xml:space="preserve">domain logic: an application is constructed by configuring the</w:t>
      </w:r>
      <w:r>
        <w:t xml:space="preserve"> </w:t>
      </w:r>
      <w:r>
        <w:t xml:space="preserve">protocol’s estimator interface for a domain-specific event stream and</w:t>
      </w:r>
      <w:r>
        <w:t xml:space="preserve"> </w:t>
      </w:r>
      <w:r>
        <w:t xml:space="preserve">loading matrix (the financial application is specified in a separate financial application preprint; no financial content appears in this paper beyond minimal pointers). The protocol’s defining design constraint is</w:t>
      </w:r>
      <w:r>
        <w:t xml:space="preserve"> </w:t>
      </w:r>
      <w:r>
        <w:t xml:space="preserve">measurement-theoretic: centralized observation measurably distorts the</w:t>
      </w:r>
      <w:r>
        <w:t xml:space="preserve"> </w:t>
      </w:r>
      <w:r>
        <w:t xml:space="preserve">observed (chilling effects; demand characteristics), so measurement must</w:t>
      </w:r>
      <w:r>
        <w:t xml:space="preserve"> </w:t>
      </w:r>
      <w:r>
        <w:t xml:space="preserve">be user-owned, locally verifiable, and minimally expropriative. Two boundaries are stated up front and defended in the body: (i)</w:t>
      </w:r>
      <w:r>
        <w:t xml:space="preserve"> </w:t>
      </w:r>
      <w:r>
        <w:t xml:space="preserve">user-owned measurement reduces observation salience but does not</w:t>
      </w:r>
      <w:r>
        <w:t xml:space="preserve"> </w:t>
      </w:r>
      <w:r>
        <w:t xml:space="preserve">eliminate distortion — the protocol’s own measurement still perturbs</w:t>
      </w:r>
      <w:r>
        <w:t xml:space="preserve"> </w:t>
      </w:r>
      <w:r>
        <w:t xml:space="preserve">the mismatch process (</w:t>
      </w:r>
      <m:oMath>
        <m:r>
          <m:t>ψ</m:t>
        </m:r>
        <m:r>
          <m:rPr>
            <m:sty m:val="p"/>
          </m:rPr>
          <m:t>→</m:t>
        </m:r>
        <m:sSub>
          <m:e>
            <m:r>
              <m:t>ψ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not 0; §4); and (ii)</w:t>
      </w:r>
      <w:r>
        <w:t xml:space="preserve"> </w:t>
      </w:r>
      <w:r>
        <w:t xml:space="preserve">database-per-tenant custody converts rare-catastrophic loss into</w:t>
      </w:r>
      <w:r>
        <w:t xml:space="preserve"> </w:t>
      </w:r>
      <w:r>
        <w:t xml:space="preserve">frequent-small loss — a variance reduction whose expected-loss</w:t>
      </w:r>
      <w:r>
        <w:t xml:space="preserve"> </w:t>
      </w:r>
      <w:r>
        <w:t xml:space="preserve">advantage is conditional on endpoint hygiene and client integrity,</w:t>
      </w:r>
      <w:r>
        <w:t xml:space="preserve"> </w:t>
      </w:r>
      <w:r>
        <w:t xml:space="preserve">quantified in §3.9. All performance figures are measurements of existing</w:t>
      </w:r>
      <w:r>
        <w:t xml:space="preserve"> </w:t>
      </w:r>
      <w:r>
        <w:t xml:space="preserve">external systems cited to source, or clearly labeled simulations; cost,</w:t>
      </w:r>
      <w:r>
        <w:t xml:space="preserve"> </w:t>
      </w:r>
      <w:r>
        <w:t xml:space="preserve">speed, and security figures are printed as frozen snapshots, with the</w:t>
      </w:r>
      <w:r>
        <w:t xml:space="preserve"> </w:t>
      </w:r>
      <w:r>
        <w:t xml:space="preserve">live versioned calculator at freshcredit.xyz/cost maintained as a</w:t>
      </w:r>
      <w:r>
        <w:t xml:space="preserve"> </w:t>
      </w:r>
      <w:r>
        <w:t xml:space="preserve">supplementary tool, not a reference.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trust measurement; decentralized identity; verifiable credentials;</w:t>
      </w:r>
      <w:r>
        <w:t xml:space="preserve"> </w:t>
      </w:r>
      <w:r>
        <w:t xml:space="preserve">Substrate; x402; chilling effects; edge computing</w:t>
      </w:r>
      <w:r>
        <w:t xml:space="preserve"> </w:t>
      </w:r>
      <w:r>
        <w:rPr>
          <w:b/>
          <w:bCs/>
        </w:rPr>
        <w:t xml:space="preserve">Contents</w:t>
      </w:r>
      <w:r>
        <w:br/>
      </w:r>
      <w:r>
        <w:t xml:space="preserve">. Introduction: Trust Measurement as Infrastructure</w:t>
      </w:r>
      <w:r>
        <w:br/>
      </w:r>
      <w:r>
        <w:t xml:space="preserve">2. Design Principles from the Theory</w:t>
      </w:r>
      <w:r>
        <w:br/>
      </w:r>
      <w:r>
        <w:t xml:space="preserve">3. Architecture</w:t>
      </w:r>
      <w:r>
        <w:br/>
      </w:r>
      <w:r>
        <w:t xml:space="preserve">4. Observation Distortion as an Engineering Constraint</w:t>
      </w:r>
      <w:r>
        <w:br/>
      </w:r>
      <w:r>
        <w:t xml:space="preserve">5. Protocol Evolution and Benchmarking</w:t>
      </w:r>
      <w:r>
        <w:br/>
      </w:r>
      <w:r>
        <w:t xml:space="preserve">6. Discussion</w:t>
      </w:r>
      <w:r>
        <w:br/>
      </w:r>
      <w:r>
        <w:t xml:space="preserve">7. Conclusion</w:t>
      </w:r>
      <w:r>
        <w:br/>
      </w:r>
    </w:p>
    <w:bookmarkEnd w:id="9"/>
    <w:bookmarkStart w:id="16" w:name="X800aa78165f16e34052df4345c68112cf81814c"/>
    <w:p>
      <w:pPr>
        <w:pStyle w:val="Heading1"/>
      </w:pPr>
      <w:r>
        <w:t xml:space="preserve">1. Introduction: Trust Measurement as</w:t>
      </w:r>
      <w:r>
        <w:t xml:space="preserve"> </w:t>
      </w:r>
      <w:r>
        <w:t xml:space="preserve">Infrastructure</w:t>
      </w:r>
    </w:p>
    <w:bookmarkStart w:id="10" w:name="the-problem"/>
    <w:p>
      <w:pPr>
        <w:pStyle w:val="Heading2"/>
      </w:pPr>
      <w:r>
        <w:t xml:space="preserve">1.1 The problem</w:t>
      </w:r>
    </w:p>
    <w:p>
      <w:pPr>
        <w:pStyle w:val="FirstParagraph"/>
      </w:pPr>
      <w:r>
        <w:t xml:space="preserve">Every digital interaction of consequence passes through a measurement</w:t>
      </w:r>
      <w:r>
        <w:t xml:space="preserve"> </w:t>
      </w:r>
      <w:r>
        <w:t xml:space="preserve">— proving identity, establishing reputation, presenting a</w:t>
      </w:r>
      <w:r>
        <w:t xml:space="preserve"> </w:t>
      </w:r>
      <w:r>
        <w:t xml:space="preserve">credential, demonstrating a history — that is trust measurement where</w:t>
      </w:r>
      <w:r>
        <w:t xml:space="preserve"> </w:t>
      </w:r>
      <w:r>
        <w:t xml:space="preserve">genuine vulnerability is at stake; verification/reputation measurement</w:t>
      </w:r>
      <w:r>
        <w:t xml:space="preserve"> </w:t>
      </w:r>
      <w:r>
        <w:t xml:space="preserve">otherwise. The incumbent measurement</w:t>
      </w:r>
      <w:r>
        <w:t xml:space="preserve"> </w:t>
      </w:r>
      <w:r>
        <w:t xml:space="preserve">infrastructure shares a common architecture — centralized</w:t>
      </w:r>
      <w:r>
        <w:t xml:space="preserve"> </w:t>
      </w:r>
      <w:r>
        <w:t xml:space="preserve">custodianship of behavioral data — and a common failure profile: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Compromise at scale.</w:t>
      </w:r>
      <w:r>
        <w:t xml:space="preserve"> </w:t>
      </w:r>
      <w:r>
        <w:t xml:space="preserve">In 2021, 23.9 million U.S. residents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9% of the population age 16+) experienced identity</w:t>
      </w:r>
      <w:r>
        <w:t xml:space="preserve"> </w:t>
      </w:r>
      <w:r>
        <w:t xml:space="preserve">theft</w:t>
      </w:r>
      <w:r>
        <w:t xml:space="preserve"> </w:t>
      </w:r>
      <w:r>
        <w:t xml:space="preserve">. U.S. data breaches generated 1.367 billion</w:t>
      </w:r>
      <w:r>
        <w:t xml:space="preserve"> </w:t>
      </w:r>
      <w:r>
        <w:t xml:space="preserve">victim notices in 2024 (the restated figure; the Identity Theft</w:t>
      </w:r>
      <w:r>
        <w:t xml:space="preserve"> </w:t>
      </w:r>
      <w:r>
        <w:t xml:space="preserve">Resource Center revised its initial 1.73 billion estimate downward</w:t>
      </w:r>
      <w:r>
        <w:t xml:space="preserve"> </w:t>
      </w:r>
      <w:r>
        <w:t xml:space="preserve">after de-duplication), still up more than 300% year over year, with</w:t>
      </w:r>
      <w:r>
        <w:t xml:space="preserve"> </w:t>
      </w:r>
      <w:r>
        <w:t xml:space="preserve">six</w:t>
      </w:r>
      <w:r>
        <w:t xml:space="preserve"> </w:t>
      </w:r>
      <w:r>
        <w:t xml:space="preserve">“mega-breaches”</w:t>
      </w:r>
      <w:r>
        <w:t xml:space="preserve"> </w:t>
      </w:r>
      <w:r>
        <w:t xml:space="preserve">— four of them preventable with MFA/passkeys</w:t>
      </w:r>
      <w:r>
        <w:t xml:space="preserve"> </w:t>
      </w:r>
      <w:r>
        <w:t xml:space="preserve">— accounting for the large majority</w:t>
      </w:r>
      <w:r>
        <w:t xml:space="preserve"> </w:t>
      </w:r>
      <w:r>
        <w:t xml:space="preserve">. Centralized</w:t>
      </w:r>
      <w:r>
        <w:t xml:space="preserve"> </w:t>
      </w:r>
      <w:r>
        <w:t xml:space="preserve">behavioral databases are single points of catastrophic failure by</w:t>
      </w:r>
      <w:r>
        <w:t xml:space="preserve"> </w:t>
      </w:r>
      <w:r>
        <w:t xml:space="preserve">construction; the canonical quantification is Equifax 2017 — 147.9</w:t>
      </w:r>
      <w:r>
        <w:t xml:space="preserve"> </w:t>
      </w:r>
      <w:r>
        <w:t xml:space="preserve">million records, 44% of the U.S. population, one unpatched server,</w:t>
      </w:r>
      <w:r>
        <w:t xml:space="preserve"> </w:t>
      </w:r>
      <w:r>
        <w:t xml:space="preserve">total costs exceeding $1.4B</w:t>
      </w:r>
      <w:r>
        <w:t xml:space="preserve"> </w:t>
      </w:r>
      <w:r>
        <w:t xml:space="preserve">. In the language this</w:t>
      </w:r>
      <w:r>
        <w:t xml:space="preserve"> </w:t>
      </w:r>
      <w:r>
        <w:t xml:space="preserve">paper develops below, a mass breach is an extreme injection of</w:t>
      </w:r>
      <w:r>
        <w:t xml:space="preserve"> </w:t>
      </w:r>
      <w:r>
        <w:rPr>
          <w:i/>
          <w:iCs/>
        </w:rPr>
        <w:t xml:space="preserve">observation noise and expropriation</w:t>
      </w:r>
      <w:r>
        <w:t xml:space="preserve"> </w:t>
      </w:r>
      <w:r>
        <w:t xml:space="preserve">into the measurement</w:t>
      </w:r>
      <w:r>
        <w:t xml:space="preserve"> </w:t>
      </w:r>
      <w:r>
        <w:t xml:space="preserve">channel: the records of millions are observed by an adversary who was</w:t>
      </w:r>
      <w:r>
        <w:t xml:space="preserve"> </w:t>
      </w:r>
      <w:r>
        <w:t xml:space="preserve">never a party to the measurement.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Attestation failure.</w:t>
      </w:r>
      <w:r>
        <w:t xml:space="preserve"> </w:t>
      </w:r>
      <w:r>
        <w:t xml:space="preserve">Centralized attestation is expensive and</w:t>
      </w:r>
      <w:r>
        <w:t xml:space="preserve"> </w:t>
      </w:r>
      <w:r>
        <w:t xml:space="preserve">still does not verify reliably: the strongest cost accounting comes</w:t>
      </w:r>
      <w:r>
        <w:t xml:space="preserve"> </w:t>
      </w:r>
      <w:r>
        <w:t xml:space="preserve">from financial-services studies — $5.75 in total cost per $1 of</w:t>
      </w:r>
      <w:r>
        <w:t xml:space="preserve"> </w:t>
      </w:r>
      <w:r>
        <w:t xml:space="preserve">fraud losses</w:t>
      </w:r>
      <w:r>
        <w:t xml:space="preserve"> </w:t>
      </w:r>
      <w:r>
        <w:t xml:space="preserve">. Synthetic-identity fraud —</w:t>
      </w:r>
      <w:r>
        <w:t xml:space="preserve"> </w:t>
      </w:r>
      <w:r>
        <w:t xml:space="preserve">fabricated identities</w:t>
      </w:r>
      <w:r>
        <w:t xml:space="preserve"> </w:t>
      </w:r>
      <w:r>
        <w:t xml:space="preserve">“seasoned”</w:t>
      </w:r>
      <w:r>
        <w:t xml:space="preserve"> </w:t>
      </w:r>
      <w:r>
        <w:t xml:space="preserve">with months-to-years of</w:t>
      </w:r>
      <w:r>
        <w:t xml:space="preserve"> </w:t>
      </w:r>
      <w:r>
        <w:t xml:space="preserve">manufactured payment history before a bust-out — is documented</w:t>
      </w:r>
      <w:r>
        <w:t xml:space="preserve"> </w:t>
      </w:r>
      <w:r>
        <w:t xml:space="preserve">qualitatively in the Federal Reserve’s three-part white-paper series</w:t>
      </w:r>
      <w:r>
        <w:t xml:space="preserve"> </w:t>
      </w:r>
      <w:r>
        <w:t xml:space="preserve"> </w:t>
      </w:r>
      <w:r>
        <w:t xml:space="preserve">as among the fastest-growing financial crimes in the</w:t>
      </w:r>
      <w:r>
        <w:t xml:space="preserve"> </w:t>
      </w:r>
      <w:r>
        <w:t xml:space="preserve">U.S. (A widely circulated claim that</w:t>
      </w:r>
      <w:r>
        <w:t xml:space="preserve"> </w:t>
      </w:r>
      <w:r>
        <w:t xml:space="preserve">“95% of synthetic identities</w:t>
      </w:r>
      <w:r>
        <w:t xml:space="preserve"> </w:t>
      </w:r>
      <w:r>
        <w:t xml:space="preserve">pass onboarding undetected,”</w:t>
      </w:r>
      <w:r>
        <w:t xml:space="preserve"> </w:t>
      </w:r>
      <w:r>
        <w:t xml:space="preserve">attributed to Thomson Reuters across</w:t>
      </w:r>
      <w:r>
        <w:t xml:space="preserve"> </w:t>
      </w:r>
      <w:r>
        <w:t xml:space="preserve">vendor blogs, has no locatable primary source, methodology, or date;</w:t>
      </w:r>
      <w:r>
        <w:t xml:space="preserve"> </w:t>
      </w:r>
      <w:r>
        <w:t xml:space="preserve">we treat it as an unverifiable industry statistic and do not rely on</w:t>
      </w:r>
      <w:r>
        <w:t xml:space="preserve"> </w:t>
      </w:r>
      <w:r>
        <w:t xml:space="preserve">it.)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Observation distortion.</w:t>
      </w:r>
      <w:r>
        <w:t xml:space="preserve"> </w:t>
      </w:r>
      <w:r>
        <w:t xml:space="preserve">Awareness of surveillance measurably</w:t>
      </w:r>
      <w:r>
        <w:t xml:space="preserve"> </w:t>
      </w:r>
      <w:r>
        <w:t xml:space="preserve">changes measured behavior: after the June 2013 surveillance</w:t>
      </w:r>
      <w:r>
        <w:t xml:space="preserve"> </w:t>
      </w:r>
      <w:r>
        <w:t xml:space="preserve">revelations, traffic to privacy-sensitive Wikipedia articles fell by a</w:t>
      </w:r>
      <w:r>
        <w:t xml:space="preserve"> </w:t>
      </w:r>
      <w:r>
        <w:t xml:space="preserve">statistically significant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19% immediately, with a</w:t>
      </w:r>
      <w:r>
        <w:t xml:space="preserve"> </w:t>
      </w:r>
      <w:r>
        <w:t xml:space="preserve">persistent downward trend change (interrupted time-series design;</w:t>
      </w:r>
      <w:r>
        <w:t xml:space="preserve"> </w:t>
      </w:r>
      <w:r>
        <w:t xml:space="preserve">). Experimental demand characteristics show</w:t>
      </w:r>
      <w:r>
        <w:t xml:space="preserve"> </w:t>
      </w:r>
      <w:r>
        <w:t xml:space="preserve">heterogeneous, bidirectional participation effects with frequent nulls</w:t>
      </w:r>
      <w:r>
        <w:t xml:space="preserve"> </w:t>
      </w:r>
      <w:r>
        <w:t xml:space="preserve">— 12 of 19 studies positive, 5 clear nulls; the review concludes</w:t>
      </w:r>
      <w:r>
        <w:t xml:space="preserve"> </w:t>
      </w:r>
      <w:r>
        <w:t xml:space="preserve">little is securely known about conditions, mechanisms, or magnitudes</w:t>
      </w:r>
      <w:r>
        <w:t xml:space="preserve"> </w:t>
      </w:r>
      <w:r>
        <w:t xml:space="preserve">. A</w:t>
      </w:r>
      <w:r>
        <w:t xml:space="preserve"> </w:t>
      </w:r>
      <w:r>
        <w:t xml:space="preserve">measurement system that frightens its subjects measures their fear.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Stale feedback.</w:t>
      </w:r>
      <w:r>
        <w:t xml:space="preserve"> </w:t>
      </w:r>
      <w:r>
        <w:t xml:space="preserve">Institutional trust records update on</w:t>
      </w:r>
      <w:r>
        <w:t xml:space="preserve"> </w:t>
      </w:r>
      <w:r>
        <w:t xml:space="preserve">custodial schedules — monthly, quarterly, or upon dispute — so the</w:t>
      </w:r>
      <w:r>
        <w:t xml:space="preserve"> </w:t>
      </w:r>
      <w:r>
        <w:t xml:space="preserve">measurement systematically describes the past.</w:t>
      </w:r>
    </w:p>
    <w:p>
      <w:pPr>
        <w:pStyle w:val="FirstParagraph"/>
      </w:pPr>
      <w:r>
        <w:t xml:space="preserve">A scope boundary is stated up front: vulnerability-free verifiable</w:t>
      </w:r>
      <w:r>
        <w:t xml:space="preserve"> </w:t>
      </w:r>
      <w:r>
        <w:t xml:space="preserve">events (credential checks, device attestations) yield a</w:t>
      </w:r>
      <w:r>
        <w:t xml:space="preserve"> </w:t>
      </w:r>
      <w:r>
        <w:t xml:space="preserve">verification/reputation state, not trust dynamics in the theory’s sense</w:t>
      </w:r>
      <w:r>
        <w:t xml:space="preserve"> </w:t>
      </w:r>
      <w:r>
        <w:t xml:space="preserve">(companion theory preprint, §1.2b, Rousseau boundary: no genuine vulnerability, no trust</w:t>
      </w:r>
      <w:r>
        <w:t xml:space="preserve"> </w:t>
      </w:r>
      <w:r>
        <w:t xml:space="preserve">dynamics); the trust reading applies only where risk and interdependence</w:t>
      </w:r>
      <w:r>
        <w:t xml:space="preserve"> </w:t>
      </w:r>
      <w:r>
        <w:t xml:space="preserve">are present.</w:t>
      </w:r>
    </w:p>
    <w:bookmarkEnd w:id="10"/>
    <w:bookmarkStart w:id="11" w:name="the-theoretical-diagnosis"/>
    <w:p>
      <w:pPr>
        <w:pStyle w:val="Heading2"/>
      </w:pPr>
      <w:r>
        <w:t xml:space="preserve">1.2 The theoretical</w:t>
      </w:r>
      <w:r>
        <w:t xml:space="preserve"> </w:t>
      </w:r>
      <w:r>
        <w:t xml:space="preserve">diagnosis</w:t>
      </w:r>
    </w:p>
    <w:p>
      <w:pPr>
        <w:pStyle w:val="FirstParagraph"/>
      </w:pPr>
      <w:r>
        <w:t xml:space="preserve">The companion theory preprint identifies the parameter that governs how expensive trust is to maintain: the</w:t>
      </w:r>
      <w:r>
        <w:t xml:space="preserve"> </w:t>
      </w:r>
      <w:r>
        <w:t xml:space="preserve">corrective bandwidth</w:t>
      </w:r>
      <w:r>
        <w:t xml:space="preserve"> </w:t>
      </w:r>
      <m:oMath>
        <m:r>
          <m:t>μ</m:t>
        </m:r>
      </m:oMath>
      <w:r>
        <w:t xml:space="preserve">, the rate at which expectation–validation</w:t>
      </w:r>
      <w:r>
        <w:t xml:space="preserve"> </w:t>
      </w:r>
      <w:r>
        <w:t xml:space="preserve">mismatches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dissipated by honest,</w:t>
      </w:r>
      <w:r>
        <w:t xml:space="preserve"> </w:t>
      </w:r>
      <w:r>
        <w:t xml:space="preserve">immediate feedback. In the theory’s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dynamics, the</w:t>
      </w:r>
      <w:r>
        <w:t xml:space="preserve"> </w:t>
      </w:r>
      <w:r>
        <w:t xml:space="preserve">phase volume of the mismatch flow contracts uniformly at rate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(the divergence of the stated flow is the constant</w:t>
      </w:r>
      <w:r>
        <w:t xml:space="preserve"> </w:t>
      </w:r>
      <m:oMath>
        <m:r>
          <m:rPr>
            <m:sty m:val="p"/>
          </m:rPr>
          <m:t>−</m:t>
        </m:r>
        <m:r>
          <m:t>μ</m:t>
        </m:r>
      </m:oMath>
      <w:r>
        <w:t xml:space="preserve">; no critical</w:t>
      </w:r>
      <w:r>
        <w:t xml:space="preserve"> </w:t>
      </w:r>
      <w:r>
        <w:t xml:space="preserve">point or bifurcation exists in the single-agent dynamics, and none is</w:t>
      </w:r>
      <w:r>
        <w:t xml:space="preserve"> </w:t>
      </w:r>
      <w:r>
        <w:t xml:space="preserve">claimed). Centralized custodians minimize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feedback is slow,</w:t>
      </w:r>
      <w:r>
        <w:t xml:space="preserve"> </w:t>
      </w:r>
      <w:r>
        <w:t xml:space="preserve">opaque, and adversarial — so mismatch accumulates: the stationary</w:t>
      </w:r>
      <w:r>
        <w:t xml:space="preserve"> </w:t>
      </w:r>
      <w:r>
        <w:t xml:space="preserve">variance of the mismatch process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μ</m:t>
        </m:r>
      </m:oMath>
      <w:r>
        <w:t xml:space="preserve">, and low-</w:t>
      </w:r>
      <m:oMath>
        <m:r>
          <m:t>μ</m:t>
        </m:r>
      </m:oMath>
      <w:r>
        <w:t xml:space="preserve"> </w:t>
      </w:r>
      <w:r>
        <w:t xml:space="preserve">regimes carry a permanently noisier alignment. And because their</w:t>
      </w:r>
      <w:r>
        <w:t xml:space="preserve"> </w:t>
      </w:r>
      <w:r>
        <w:t xml:space="preserve">observation is expropriative and unaccountable, they trigger the</w:t>
      </w:r>
      <w:r>
        <w:t xml:space="preserve"> </w:t>
      </w:r>
      <w:r>
        <w:t xml:space="preserve">measurement-dependence that the theory formalizes through the</w:t>
      </w:r>
      <w:r>
        <w:t xml:space="preserve"> </w:t>
      </w:r>
      <w:r>
        <w:t xml:space="preserve">observation-salience-dependent dissipation coefficient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(defined</w:t>
      </w:r>
      <w:r>
        <w:t xml:space="preserve"> </w:t>
      </w:r>
      <w:r>
        <w:t xml:space="preserve">precisely in §4 below): the act of measuring lengthens the memory of</w:t>
      </w:r>
      <w:r>
        <w:t xml:space="preserve"> </w:t>
      </w:r>
      <w:r>
        <w:t xml:space="preserve">mismatch (autocorrelation time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+</m:t>
        </m:r>
        <m:r>
          <m:t>ψ</m:t>
        </m:r>
        <m:r>
          <m:rPr>
            <m:sty m:val="p"/>
          </m:rPr>
          <m:t>)</m:t>
        </m:r>
      </m:oMath>
      <w:r>
        <w:t xml:space="preserve">) and inflates its</w:t>
      </w:r>
      <w:r>
        <w:t xml:space="preserve"> </w:t>
      </w:r>
      <w:r>
        <w:t xml:space="preserve">stationary variance (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+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). The architectural</w:t>
      </w:r>
      <w:r>
        <w:t xml:space="preserve"> </w:t>
      </w:r>
      <w:r>
        <w:t xml:space="preserve">remedy is motivated by the model rather than derived from it —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model contains no term that ranks user-owned over</w:t>
      </w:r>
      <w:r>
        <w:t xml:space="preserve"> </w:t>
      </w:r>
      <w:r>
        <w:t xml:space="preserve">accountable-centralized observation: measurement should be user-owned,</w:t>
      </w:r>
      <w:r>
        <w:t xml:space="preserve"> </w:t>
      </w:r>
      <w:r>
        <w:t xml:space="preserve">locally</w:t>
      </w:r>
      <w:r>
        <w:t xml:space="preserve"> </w:t>
      </w:r>
      <w:r>
        <w:t xml:space="preserve">verifiable, immediately fed back, and minimally expropriative — with</w:t>
      </w:r>
      <w:r>
        <w:t xml:space="preserve"> </w:t>
      </w:r>
      <w:r>
        <w:t xml:space="preserve">the quantified caveat, developed in §4, that this minimizes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but</w:t>
      </w:r>
      <w:r>
        <w:t xml:space="preserve"> </w:t>
      </w:r>
      <w:r>
        <w:t xml:space="preserve">does not drive it to zero.</w:t>
      </w:r>
    </w:p>
    <w:p>
      <w:pPr>
        <w:pStyle w:val="BodyText"/>
      </w:pPr>
      <w:r>
        <w:t xml:space="preserve">Two failure registers should be distinguished explicitly, because they</w:t>
      </w:r>
      <w:r>
        <w:t xml:space="preserve"> </w:t>
      </w:r>
      <w:r>
        <w:t xml:space="preserve">have different remedies. The instrumental (logical) failures of the</w:t>
      </w:r>
      <w:r>
        <w:t xml:space="preserve"> </w:t>
      </w:r>
      <w:r>
        <w:t xml:space="preserve">incumbent stack — error rates, stale updates, custody concentration</w:t>
      </w:r>
      <w:r>
        <w:t xml:space="preserve"> </w:t>
      </w:r>
      <w:r>
        <w:t xml:space="preserve">— are correctness problems, addressable by better instruments. The</w:t>
      </w:r>
      <w:r>
        <w:t xml:space="preserve"> </w:t>
      </w:r>
      <w:r>
        <w:t xml:space="preserve">behavioral (psychological) failure — observation distortion — is not</w:t>
      </w:r>
      <w:r>
        <w:t xml:space="preserve"> </w:t>
      </w:r>
      <w:r>
        <w:t xml:space="preserve">a correctness problem: no improvement in accuracy removes it, because</w:t>
      </w:r>
      <w:r>
        <w:t xml:space="preserve"> </w:t>
      </w:r>
      <w:r>
        <w:t xml:space="preserve">its mechanism is the subject’s awareness of being measured, not the</w:t>
      </w:r>
      <w:r>
        <w:t xml:space="preserve"> </w:t>
      </w:r>
      <w:r>
        <w:t xml:space="preserve">measurer’s error. The incumbent failure profile above therefore</w:t>
      </w:r>
      <w:r>
        <w:t xml:space="preserve"> </w:t>
      </w:r>
      <w:r>
        <w:t xml:space="preserve">decomposes into instrumental failures (compromise, attestation,</w:t>
      </w:r>
      <w:r>
        <w:t xml:space="preserve"> </w:t>
      </w:r>
      <w:r>
        <w:t xml:space="preserve">staleness) that better engineering could in principle mitigate, and a</w:t>
      </w:r>
      <w:r>
        <w:t xml:space="preserve"> </w:t>
      </w:r>
      <w:r>
        <w:t xml:space="preserve">behavioral failure (distortion) that only an architectural change —</w:t>
      </w:r>
      <w:r>
        <w:t xml:space="preserve"> </w:t>
      </w:r>
      <w:r>
        <w:t xml:space="preserve">non-expropriative, accountable, user-owned observation — can address.</w:t>
      </w:r>
      <w:r>
        <w:t xml:space="preserve"> </w:t>
      </w:r>
      <w:r>
        <w:t xml:space="preserve">TFP is specified against both registers, but the second is the one the</w:t>
      </w:r>
      <w:r>
        <w:t xml:space="preserve"> </w:t>
      </w:r>
      <w:r>
        <w:t xml:space="preserve">incumbent architecture cannot retrofit.</w:t>
      </w:r>
    </w:p>
    <w:bookmarkEnd w:id="11"/>
    <w:bookmarkStart w:id="12" w:name="X91f41b8f342a240ceff85281d688371cede8270"/>
    <w:p>
      <w:pPr>
        <w:pStyle w:val="Heading2"/>
      </w:pPr>
      <w:r>
        <w:t xml:space="preserve">1.2.1 Historical placement: what the protocol’s primitives</w:t>
      </w:r>
      <w:r>
        <w:t xml:space="preserve"> </w:t>
      </w:r>
      <w:r>
        <w:t xml:space="preserve">make</w:t>
      </w:r>
      <w:r>
        <w:t xml:space="preserve"> </w:t>
      </w:r>
      <w:r>
        <w:t xml:space="preserve">possible</w:t>
      </w:r>
    </w:p>
    <w:p>
      <w:pPr>
        <w:pStyle w:val="FirstParagraph"/>
      </w:pPr>
      <w:r>
        <w:t xml:space="preserve">The protocol sits at a specific point in the engineering lineage of the</w:t>
      </w:r>
      <w:r>
        <w:t xml:space="preserve"> </w:t>
      </w:r>
      <w:r>
        <w:t xml:space="preserve">web, and the placement is definitional rather than rhetorical. Each</w:t>
      </w:r>
      <w:r>
        <w:t xml:space="preserve"> </w:t>
      </w:r>
      <w:r>
        <w:t xml:space="preserve">regime of the web is individuated by the operation primitive it adds.</w:t>
      </w:r>
      <w:r>
        <w:t xml:space="preserve"> </w:t>
      </w:r>
      <w:r>
        <w:t xml:space="preserve">Web1 provided read: access to published data. Web2 added write: users</w:t>
      </w:r>
      <w:r>
        <w:t xml:space="preserve"> </w:t>
      </w:r>
      <w:r>
        <w:t xml:space="preserve">authored content, with the platform retaining custody of what they</w:t>
      </w:r>
      <w:r>
        <w:t xml:space="preserve"> </w:t>
      </w:r>
      <w:r>
        <w:t xml:space="preserve">wrote. The third regime adds store: user-side persistence of state,</w:t>
      </w:r>
      <w:r>
        <w:t xml:space="preserve"> </w:t>
      </w:r>
      <w:r>
        <w:t xml:space="preserve">held by the user and anchored against retroactive alteration, outside</w:t>
      </w:r>
      <w:r>
        <w:t xml:space="preserve"> </w:t>
      </w:r>
      <w:r>
        <w:t xml:space="preserve">any platform’s custody (read / write / store). The operative definition</w:t>
      </w:r>
      <w:r>
        <w:t xml:space="preserve"> </w:t>
      </w:r>
      <w:r>
        <w:t xml:space="preserve">of the third regime — independent of any asset class or product built</w:t>
      </w:r>
      <w:r>
        <w:t xml:space="preserve"> </w:t>
      </w:r>
      <w:r>
        <w:t xml:space="preserve">on top of it — is therefore operational, not ideological: it names a</w:t>
      </w:r>
      <w:r>
        <w:t xml:space="preserve"> </w:t>
      </w:r>
      <w:r>
        <w:t xml:space="preserve">new primitive in the vocabulary of what a participant can do with data,</w:t>
      </w:r>
      <w:r>
        <w:t xml:space="preserve"> </w:t>
      </w:r>
      <w:r>
        <w:t xml:space="preserve">not a slogan. In particular,</w:t>
      </w:r>
      <w:r>
        <w:t xml:space="preserve"> </w:t>
      </w:r>
      <w:r>
        <w:t xml:space="preserve">“ownership”</w:t>
      </w:r>
      <w:r>
        <w:t xml:space="preserve"> </w:t>
      </w:r>
      <w:r>
        <w:t xml:space="preserve">is not the primitive;</w:t>
      </w:r>
      <w:r>
        <w:t xml:space="preserve"> </w:t>
      </w:r>
      <w:r>
        <w:t xml:space="preserve">ownership is the functional consequence of the store primitive — of</w:t>
      </w:r>
      <w:r>
        <w:t xml:space="preserve"> </w:t>
      </w:r>
      <w:r>
        <w:t xml:space="preserve">who holds the state and who holds the means to alter or revoke it —</w:t>
      </w:r>
      <w:r>
        <w:t xml:space="preserve"> </w:t>
      </w:r>
      <w:r>
        <w:t xml:space="preserve">and it obtains only where the primitive is actually implemented. What</w:t>
      </w:r>
      <w:r>
        <w:t xml:space="preserve"> </w:t>
      </w:r>
      <w:r>
        <w:t xml:space="preserve">distinguishes store from an ordinary local file is the anchoring</w:t>
      </w:r>
      <w:r>
        <w:t xml:space="preserve"> </w:t>
      </w:r>
      <w:r>
        <w:t xml:space="preserve">guarantee: consensus mechanisms, whether more or less centralized in</w:t>
      </w:r>
      <w:r>
        <w:t xml:space="preserve"> </w:t>
      </w:r>
      <w:r>
        <w:t xml:space="preserve">operation, must guarantee that stored state cannot be retroactively</w:t>
      </w:r>
      <w:r>
        <w:t xml:space="preserve"> </w:t>
      </w:r>
      <w:r>
        <w:t xml:space="preserve">altered. Decentralization is one instrument for securing that guarantee;</w:t>
      </w:r>
      <w:r>
        <w:t xml:space="preserve"> </w:t>
      </w:r>
      <w:r>
        <w:t xml:space="preserve">it is the guarantee itself that constitutes the capability shift. The</w:t>
      </w:r>
      <w:r>
        <w:t xml:space="preserve"> </w:t>
      </w:r>
      <w:r>
        <w:t xml:space="preserve">historical analogy is asymmetric-key cryptography: RSA did not create</w:t>
      </w:r>
      <w:r>
        <w:t xml:space="preserve"> </w:t>
      </w:r>
      <w:r>
        <w:t xml:space="preserve">any new class of application — communication, commerce, and identity</w:t>
      </w:r>
      <w:r>
        <w:t xml:space="preserve"> </w:t>
      </w:r>
      <w:r>
        <w:t xml:space="preserve">all predated it — but it made those applications securable without a</w:t>
      </w:r>
      <w:r>
        <w:t xml:space="preserve"> </w:t>
      </w:r>
      <w:r>
        <w:t xml:space="preserve">shared secret, and every secure channel since is built on that unlock.</w:t>
      </w:r>
      <w:r>
        <w:t xml:space="preserve"> </w:t>
      </w:r>
      <w:r>
        <w:t xml:space="preserve">User-side anchored storage occupies the same position for measurement</w:t>
      </w:r>
      <w:r>
        <w:t xml:space="preserve"> </w:t>
      </w:r>
      <w:r>
        <w:t xml:space="preserve">infrastructure: it adds no new domain capability, but it makes an</w:t>
      </w:r>
      <w:r>
        <w:t xml:space="preserve"> </w:t>
      </w:r>
      <w:r>
        <w:t xml:space="preserve">existing one — continuous, high-resolution trust measurement —</w:t>
      </w:r>
      <w:r>
        <w:t xml:space="preserve"> </w:t>
      </w:r>
      <w:r>
        <w:t xml:space="preserve">possible without custodial exposure, which is the precondition for</w:t>
      </w:r>
      <w:r>
        <w:t xml:space="preserve"> </w:t>
      </w:r>
      <w:r>
        <w:t xml:space="preserve">everything this paper specifies. The placement also counters a recurring</w:t>
      </w:r>
      <w:r>
        <w:t xml:space="preserve"> </w:t>
      </w:r>
      <w:r>
        <w:t xml:space="preserve">industry narrative that conflates capability with scale: the read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read/write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read/write/store progression is a capability</w:t>
      </w:r>
      <w:r>
        <w:t xml:space="preserve"> </w:t>
      </w:r>
      <w:r>
        <w:t xml:space="preserve">sequence, and the decisive step is store (anchored, user-held state),</w:t>
      </w:r>
      <w:r>
        <w:t xml:space="preserve"> </w:t>
      </w:r>
      <w:r>
        <w:t xml:space="preserve">not any increment of throughput. Scale is an engineering consequence of</w:t>
      </w:r>
      <w:r>
        <w:t xml:space="preserve"> </w:t>
      </w:r>
      <w:r>
        <w:t xml:space="preserve">execution architecture (§3.4); capability is what the primitive unlocks.</w:t>
      </w:r>
      <w:r>
        <w:t xml:space="preserve"> </w:t>
      </w:r>
      <w:r>
        <w:t xml:space="preserve">This distinction is why the choice of chain is load-bearing rather than</w:t>
      </w:r>
      <w:r>
        <w:t xml:space="preserve"> </w:t>
      </w:r>
      <w:r>
        <w:t xml:space="preserve">cosmetic.</w:t>
      </w:r>
    </w:p>
    <w:bookmarkEnd w:id="12"/>
    <w:bookmarkStart w:id="13" w:name="scope-the-protocol-not-an-application"/>
    <w:p>
      <w:pPr>
        <w:pStyle w:val="Heading2"/>
      </w:pPr>
      <w:r>
        <w:t xml:space="preserve">1.3 Scope: the protocol, not an</w:t>
      </w:r>
      <w:r>
        <w:t xml:space="preserve"> </w:t>
      </w:r>
      <w:r>
        <w:t xml:space="preserve">application</w:t>
      </w:r>
    </w:p>
    <w:p>
      <w:pPr>
        <w:pStyle w:val="FirstParagraph"/>
      </w:pPr>
      <w:r>
        <w:t xml:space="preserve">TFP is deliberately agnostic about what is being validated. It supplies:</w:t>
      </w:r>
      <w:r>
        <w:t xml:space="preserve"> </w:t>
      </w:r>
      <w:r>
        <w:t xml:space="preserve">identity primitives, user-owned data topology, a validation compute</w:t>
      </w:r>
      <w:r>
        <w:t xml:space="preserve"> </w:t>
      </w:r>
      <w:r>
        <w:t xml:space="preserve">layer applying the stability law, a settlement/audit substrate, and</w:t>
      </w:r>
      <w:r>
        <w:t xml:space="preserve"> </w:t>
      </w:r>
      <w:r>
        <w:t xml:space="preserve">governance-by-design (user-owned custody, accountable access logging,</w:t>
      </w:r>
      <w:r>
        <w:t xml:space="preserve"> </w:t>
      </w:r>
      <w:r>
        <w:t xml:space="preserve">open standards — see §3.5 for what this does and does not include). It</w:t>
      </w:r>
      <w:r>
        <w:t xml:space="preserve"> </w:t>
      </w:r>
      <w:r>
        <w:t xml:space="preserve">does not contain scoring models, credit logic, financial regulations, or</w:t>
      </w:r>
      <w:r>
        <w:t xml:space="preserve"> </w:t>
      </w:r>
      <w:r>
        <w:t xml:space="preserve">any domain-specific decision rules. Applications consume the protocol’s</w:t>
      </w:r>
      <w:r>
        <w:t xml:space="preserve"> </w:t>
      </w:r>
      <w:r>
        <w:t xml:space="preserve">validation stream and impose their own domain semantics; the financial application preprint (specified separately) applies this protocol to finance, including all credit-pull, bureau, and</w:t>
      </w:r>
      <w:r>
        <w:t xml:space="preserve"> </w:t>
      </w:r>
      <w:r>
        <w:t xml:space="preserve">scoring content. This separation is architectural hygiene: the</w:t>
      </w:r>
      <w:r>
        <w:t xml:space="preserve"> </w:t>
      </w:r>
      <w:r>
        <w:t xml:space="preserve">protocol’s claims must stand on infrastructure evidence, not on any one</w:t>
      </w:r>
      <w:r>
        <w:t xml:space="preserve"> </w:t>
      </w:r>
      <w:r>
        <w:t xml:space="preserve">application’s regulatory or predictive record.</w:t>
      </w:r>
    </w:p>
    <w:bookmarkEnd w:id="13"/>
    <w:bookmarkStart w:id="14" w:name="hypotheses-and-proof-obligations"/>
    <w:p>
      <w:pPr>
        <w:pStyle w:val="Heading2"/>
      </w:pPr>
      <w:r>
        <w:t xml:space="preserve">1.4 Hypotheses and proof</w:t>
      </w:r>
      <w:r>
        <w:t xml:space="preserve"> </w:t>
      </w:r>
      <w:r>
        <w:t xml:space="preserve">obligations</w:t>
      </w:r>
    </w:p>
    <w:p>
      <w:pPr>
        <w:pStyle w:val="FirstParagraph"/>
      </w:pPr>
      <w:r>
        <w:t xml:space="preserve">The hypothesis below matches the tested design (§3.6) and is the</w:t>
      </w:r>
      <w:r>
        <w:t xml:space="preserve"> </w:t>
      </w:r>
      <w:r>
        <w:t xml:space="preserve">registered form (specified and timestamped in the Supporting Document;</w:t>
      </w:r>
      <w:r>
        <w:t xml:space="preserve"> </w:t>
      </w:r>
      <w:r>
        <w:t xml:space="preserve">an OSF registration of the same design filed with the deposit (DOI: [insert]) prior to any pilot data collection).</w:t>
      </w:r>
    </w:p>
    <w:p>
      <w:pPr>
        <w:pStyle w:val="BodyText"/>
      </w:pPr>
      <w:r>
        <w:rPr>
          <w:b/>
          <w:bCs/>
        </w:rPr>
        <w:t xml:space="preserve">Null hypothesis (H0).</w:t>
      </w:r>
      <w:r>
        <w:t xml:space="preserve"> </w:t>
      </w:r>
      <w:r>
        <w:t xml:space="preserve">Feedback coupling has no effect on</w:t>
      </w:r>
      <w:r>
        <w:t xml:space="preserve"> </w:t>
      </w:r>
      <w:r>
        <w:t xml:space="preserve">population-level trust-field coherence (the Kuramoto order parameter R</w:t>
      </w:r>
      <w:r>
        <w:t xml:space="preserve"> </w:t>
      </w:r>
      <w:r>
        <w:t xml:space="preserve">stays at the finite-size incoherent floor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</w:t>
      </w:r>
      <w:r>
        <w:t xml:space="preserve"> </w:t>
      </w:r>
      <w:r>
        <w:t xml:space="preserve">all coupling strengths), observation leakage has no effect on coherence</w:t>
      </w:r>
      <w:r>
        <w:t xml:space="preserve"> </w:t>
      </w:r>
      <w:r>
        <w:t xml:space="preserve">at fixed coupling, and edge architecture does not reduce the marginal</w:t>
      </w:r>
      <w:r>
        <w:t xml:space="preserve"> </w:t>
      </w:r>
      <w:r>
        <w:t xml:space="preserve">cost of engagement.</w:t>
      </w:r>
    </w:p>
    <w:p>
      <w:pPr>
        <w:pStyle w:val="BodyText"/>
      </w:pPr>
      <w:r>
        <w:rPr>
          <w:b/>
          <w:bCs/>
        </w:rPr>
        <w:t xml:space="preserve">Alternative hypothesis (H1).</w:t>
      </w:r>
      <w:r>
        <w:t xml:space="preserve"> </w:t>
      </w:r>
      <w:r>
        <w:t xml:space="preserve">Three legs, stated in the</w:t>
      </w:r>
      <w:r>
        <w:t xml:space="preserve"> </w:t>
      </w:r>
      <w:r>
        <w:t xml:space="preserve">direction actually tested: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Coupling produces coherence.</w:t>
      </w:r>
      <w:r>
        <w:t xml:space="preserve"> </w:t>
      </w:r>
      <w:r>
        <w:t xml:space="preserve">Under protocol feedback coupling</w:t>
      </w:r>
      <w:r>
        <w:t xml:space="preserve"> </w:t>
      </w:r>
      <w:r>
        <w:t xml:space="preserve">at sufficient strength K, the agent population self-organizes above</w:t>
      </w:r>
      <w:r>
        <w:t xml:space="preserve"> </w:t>
      </w:r>
      <w:r>
        <w:t xml:space="preserve">the coherence threshold (target: order parameter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0.7</m:t>
        </m:r>
      </m:oMath>
      <w:r>
        <w:t xml:space="preserve">); the</w:t>
      </w:r>
      <w:r>
        <w:t xml:space="preserve"> </w:t>
      </w:r>
      <w:r>
        <w:t xml:space="preserve">isolated control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remains at the incoherent floor (target: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0.3</m:t>
        </m:r>
      </m:oMath>
      <w:r>
        <w:t xml:space="preserve">). Coherence is a property of the coupling — of the</w:t>
      </w:r>
      <w:r>
        <w:t xml:space="preserve"> </w:t>
      </w:r>
      <w:r>
        <w:t xml:space="preserve">feedback composition — not of isolated stores.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Observation leakage degrades coherence.</w:t>
      </w:r>
      <w:r>
        <w:t xml:space="preserve"> </w:t>
      </w:r>
      <w:r>
        <w:t xml:space="preserve">At fixed K, R decays</w:t>
      </w:r>
      <w:r>
        <w:t xml:space="preserve"> </w:t>
      </w:r>
      <w:r>
        <w:t xml:space="preserve">monotonically as the observation-leakage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rises</w:t>
      </w:r>
      <w:r>
        <w:t xml:space="preserve"> </w:t>
      </w:r>
      <w:r>
        <w:t xml:space="preserve">(operationalized exactly in §3.6). The architectural content of the</w:t>
      </w:r>
      <w:r>
        <w:t xml:space="preserve"> </w:t>
      </w:r>
      <w:r>
        <w:t xml:space="preserve">privacy claim lives here: non-expropriative measurement is what keeps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below the fragility threshold at which coherence collapses.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Edge architecture reduces marginal cost.</w:t>
      </w:r>
      <w:r>
        <w:t xml:space="preserve"> </w:t>
      </w:r>
      <w:r>
        <w:t xml:space="preserve">Edge compute plus</w:t>
      </w:r>
      <w:r>
        <w:t xml:space="preserve"> </w:t>
      </w:r>
      <w:r>
        <w:t xml:space="preserve">per-event micropayment settlement achieves a marginal cost per</w:t>
      </w:r>
      <w:r>
        <w:t xml:space="preserve"> </w:t>
      </w:r>
      <w:r>
        <w:t xml:space="preserve">validation event far below incumbent marginal per-query costs,</w:t>
      </w:r>
      <w:r>
        <w:t xml:space="preserve"> </w:t>
      </w:r>
      <w:r>
        <w:t xml:space="preserve">stated as a conditional (incumbent marginal price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$0.05/query)</w:t>
      </w:r>
      <w:r>
        <w:t xml:space="preserve"> </w:t>
      </w:r>
      <w:r>
        <w:t xml:space="preserve">against printed frozen figures; the reduction factor itself is not</w:t>
      </w:r>
      <w:r>
        <w:t xml:space="preserve"> </w:t>
      </w:r>
      <w:r>
        <w:t xml:space="preserve">printed (§3.6, Sim P3; §5.2).</w:t>
      </w:r>
    </w:p>
    <w:p>
      <w:pPr>
        <w:pStyle w:val="FirstParagraph"/>
      </w:pPr>
      <w:r>
        <w:t xml:space="preserve">The protocol’s proof obligations: (1) an agent-based simulation of</w:t>
      </w:r>
      <w:r>
        <w:t xml:space="preserve"> </w:t>
      </w:r>
      <w:r>
        <w:t xml:space="preserve">coupled vs. isolated conditions — run and reported in §3.6 against</w:t>
      </w:r>
      <w:r>
        <w:t xml:space="preserve"> </w:t>
      </w:r>
      <w:r>
        <w:t xml:space="preserve">pre-registered criteria, with an OSF registration of the same design filed with the deposit (DOI: [insert]) prior to any pilot data collection — with coherence differences evaluated at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;</w:t>
      </w:r>
      <w:r>
        <w:t xml:space="preserve"> </w:t>
      </w:r>
      <w:r>
        <w:t xml:space="preserve">(2) the leakage-graded desynchronization arm — R(K,</w:t>
      </w:r>
      <w:r>
        <w:t xml:space="preserve"> </w:t>
      </w:r>
      <m:oMath>
        <m:r>
          <m:t>ℓ</m:t>
        </m:r>
      </m:oMath>
      <w:r>
        <w:t xml:space="preserve">) mapped over a</w:t>
      </w:r>
      <w:r>
        <w:t xml:space="preserve"> </w:t>
      </w:r>
      <w:r>
        <w:t xml:space="preserve">(K,</w:t>
      </w:r>
      <w:r>
        <w:t xml:space="preserve"> </w:t>
      </w:r>
      <m:oMath>
        <m:r>
          <m:t>ℓ</m:t>
        </m:r>
      </m:oMath>
      <w:r>
        <w:t xml:space="preserve">) grid, run and reported in §3.6 (Sim P1b); (3) the</w:t>
      </w:r>
      <w:r>
        <w:t xml:space="preserve"> </w:t>
      </w:r>
      <w:r>
        <w:t xml:space="preserve">coherence threshold itself (leg 1); (4) cost — edge compute plus</w:t>
      </w:r>
      <w:r>
        <w:t xml:space="preserve"> </w:t>
      </w:r>
      <w:r>
        <w:t xml:space="preserve">x402-class settlement at near-zero marginal per-validation cost, with</w:t>
      </w:r>
      <w:r>
        <w:t xml:space="preserve"> </w:t>
      </w:r>
      <w:r>
        <w:t xml:space="preserve">the comparison restricted to like-for-like marginal quantities and</w:t>
      </w:r>
      <w:r>
        <w:t xml:space="preserve"> </w:t>
      </w:r>
      <w:r>
        <w:t xml:space="preserve">frozen figures printed in §5.2. Obligations (1), (2), and (3) are now</w:t>
      </w:r>
      <w:r>
        <w:t xml:space="preserve"> </w:t>
      </w:r>
      <w:r>
        <w:t xml:space="preserve">discharged in silico in §3.6,</w:t>
      </w:r>
      <w:r>
        <w:t xml:space="preserve"> </w:t>
      </w:r>
      <w:r>
        <w:rPr>
          <w:b/>
          <w:bCs/>
        </w:rPr>
        <w:t xml:space="preserve">with an honest null on the</w:t>
      </w:r>
      <w:r>
        <w:rPr>
          <w:b/>
          <w:bCs/>
        </w:rPr>
        <w:t xml:space="preserve"> </w:t>
      </w:r>
      <w:r>
        <w:rPr>
          <w:b/>
          <w:bCs/>
        </w:rPr>
        <w:t xml:space="preserve">quantitative threshold</w:t>
      </w:r>
      <w:r>
        <w:t xml:space="preserve">: leg 1 is supported (</w:t>
      </w:r>
      <m:oMath>
        <m:r>
          <m:t>R</m:t>
        </m:r>
        <m:r>
          <m:rPr>
            <m:sty m:val="p"/>
          </m:rPr>
          <m:t>=</m:t>
        </m:r>
        <m:r>
          <m:t>0.739</m:t>
        </m:r>
      </m:oMath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0.029</w:t>
      </w:r>
      <w:r>
        <w:t xml:space="preserve"> </w:t>
      </w:r>
      <w:r>
        <w:t xml:space="preserve">coupled vs. </w:t>
      </w:r>
      <m:oMath>
        <m:r>
          <m:t>0.040</m:t>
        </m:r>
        <m:r>
          <m:rPr>
            <m:sty m:val="p"/>
          </m:rPr>
          <m:t>±</m:t>
        </m:r>
        <m:r>
          <m:t>0.001</m:t>
        </m:r>
      </m:oMath>
      <w:r>
        <w:t xml:space="preserve"> </w:t>
      </w:r>
      <w:r>
        <w:t xml:space="preserve">isolated — the verification re-run</w:t>
      </w:r>
      <w:r>
        <w:t xml:space="preserve"> </w:t>
      </w:r>
      <w:r>
        <w:t xml:space="preserve">values; the isolated arm sits at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0.045</w:t>
      </w:r>
      <w:r>
        <w:t xml:space="preserve"> </w:t>
      </w:r>
      <w:r>
        <w:t xml:space="preserve">finite-size floor); leg 2 is supported qualitatively (R decays</w:t>
      </w:r>
      <w:r>
        <w:t xml:space="preserve"> </w:t>
      </w:r>
      <w:r>
        <w:t xml:space="preserve">monotonically in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every K tested — mechanism demonstrated</w:t>
      </w:r>
      <w:r>
        <w:t xml:space="preserve"> </w:t>
      </w:r>
      <w:r>
        <w:t xml:space="preserve">in silico under a stated operationalization whose attenuation component</w:t>
      </w:r>
      <w:r>
        <w:t xml:space="preserve"> </w:t>
      </w:r>
      <w:r>
        <w:t xml:space="preserve">is definitional; §3.6) but the zero-leakage</w:t>
      </w:r>
      <w:r>
        <w:t xml:space="preserve"> </w:t>
      </w:r>
      <w:r>
        <w:t xml:space="preserve">operating point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t xml:space="preserve">is fragile — R falls below the 0.7 target</w:t>
      </w:r>
      <w:r>
        <w:t xml:space="preserve"> </w:t>
      </w:r>
      <w:r>
        <w:t xml:space="preserve">within the leakage band</w:t>
      </w:r>
      <w:r>
        <w:t xml:space="preserve"> </w:t>
      </w:r>
      <m:oMath>
        <m:r>
          <m:t>ℓ</m:t>
        </m:r>
      </m:oMath>
      <w:r>
        <w:t xml:space="preserve">*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[</w:t>
      </w:r>
      <w:r>
        <w:t xml:space="preserve">0.02, 0.10</w:t>
      </w:r>
      <w:r>
        <w:t xml:space="preserve">]</w:t>
      </w:r>
      <w:r>
        <w:t xml:space="preserve"> </w:t>
      </w:r>
      <w:r>
        <w:t xml:space="preserve">(a 9-seed</w:t>
      </w:r>
      <w:r>
        <w:t xml:space="preserve"> </w:t>
      </w:r>
      <w:r>
        <w:t xml:space="preserve">fine scan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t xml:space="preserve">gives R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0.69–0.74 across</w:t>
      </w:r>
      <w:r>
        <w:t xml:space="preserve"> </w:t>
      </w:r>
      <m:oMath>
        <m:r>
          <m:t>ℓ</m:t>
        </m:r>
      </m:oMath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[</w:t>
      </w:r>
      <w:r>
        <w:t xml:space="preserve">0, 0.10</w:t>
      </w:r>
      <w:r>
        <w:t xml:space="preserve">]</w:t>
      </w:r>
      <w:r>
        <w:t xml:space="preserve">, first below-0.7 reading at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0.08</m:t>
        </m:r>
      </m:oMath>
      <w:r>
        <w:t xml:space="preserve">; the</w:t>
      </w:r>
      <w:r>
        <w:t xml:space="preserve"> </w:t>
      </w:r>
      <w:r>
        <w:t xml:space="preserve">exact crossing is not resolvable at seed noise</w:t>
      </w:r>
      <w:r>
        <w:t xml:space="preserve"> </w:t>
      </w:r>
      <m:oMath>
        <m:r>
          <m:rPr>
            <m:sty m:val="p"/>
          </m:rPr>
          <m:t>±</m:t>
        </m:r>
        <m:r>
          <m:t>0.02</m:t>
        </m:r>
        <m:r>
          <m:rPr>
            <m:sty m:val="p"/>
          </m:rPr>
          <m:t>–</m:t>
        </m:r>
        <m:r>
          <m:t>0.03</m:t>
        </m:r>
      </m:oMath>
      <w:r>
        <w:t xml:space="preserve">), so</w:t>
      </w:r>
      <w:r>
        <w:t xml:space="preserve"> </w:t>
      </w:r>
      <w:r>
        <w:t xml:space="preserve">robust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0.7</m:t>
        </m:r>
      </m:oMath>
      <w:r>
        <w:t xml:space="preserve"> </w:t>
      </w:r>
      <w:r>
        <w:t xml:space="preserve">requires either stronger coupling or a lower</w:t>
      </w:r>
      <w:r>
        <w:t xml:space="preserve"> </w:t>
      </w:r>
      <w:r>
        <w:t xml:space="preserve">coherence target —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coherence survives to</w:t>
      </w:r>
      <w:r>
        <w:t xml:space="preserve"> </w:t>
      </w:r>
      <m:oMath>
        <m:r>
          <m:t>ℓ</m:t>
        </m:r>
        <m:r>
          <m:rPr>
            <m:sty m:val="p"/>
          </m:rPr>
          <m:t>≈</m:t>
        </m:r>
        <m:r>
          <m:t>0.22</m:t>
        </m:r>
        <m:r>
          <m:rPr>
            <m:nor/>
            <m:sty m:val="p"/>
          </m:rPr>
          <m:t>–</m:t>
        </m:r>
        <m:r>
          <m:t>0.28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ℓ</m:t>
        </m:r>
        <m:r>
          <m:rPr>
            <m:sty m:val="p"/>
          </m:rPr>
          <m:t>≈</m:t>
        </m:r>
        <m:r>
          <m:t>0.30</m:t>
        </m:r>
        <m:r>
          <m:rPr>
            <m:nor/>
            <m:sty m:val="p"/>
          </m:rPr>
          <m:t>–</m:t>
        </m:r>
        <m:r>
          <m:t>0.40</m:t>
        </m:r>
      </m:oMath>
      <w:r>
        <w:t xml:space="preserve"> </w:t>
      </w:r>
      <w:r>
        <w:t xml:space="preserve">(ranges span two independent seeded re-renders;</w:t>
      </w:r>
      <w:r>
        <w:t xml:space="preserve"> </w:t>
      </w:r>
      <w:r>
        <w:t xml:space="preserve">point precision is not resolvable at these N). Obligation (4) is</w:t>
      </w:r>
      <w:r>
        <w:t xml:space="preserve"> </w:t>
      </w:r>
      <w:r>
        <w:t xml:space="preserve">restated in like-for-like form and maintained against printed frozen</w:t>
      </w:r>
      <w:r>
        <w:t xml:space="preserve"> </w:t>
      </w:r>
      <w:r>
        <w:t xml:space="preserve">figures plus the supplementary versioned calculator; it is not asserted</w:t>
      </w:r>
      <w:r>
        <w:t xml:space="preserve"> </w:t>
      </w:r>
      <w:r>
        <w:t xml:space="preserve">as a deployed result.</w:t>
      </w:r>
    </w:p>
    <w:bookmarkEnd w:id="14"/>
    <w:bookmarkStart w:id="15" w:name="epistemic-posture"/>
    <w:p>
      <w:pPr>
        <w:pStyle w:val="Heading2"/>
      </w:pPr>
      <w:r>
        <w:t xml:space="preserve">1.5 Epistemic posture</w:t>
      </w:r>
    </w:p>
    <w:p>
      <w:pPr>
        <w:pStyle w:val="FirstParagraph"/>
      </w:pPr>
      <w:r>
        <w:t xml:space="preserve">All quantitative figures in this paper are (a) measurements of existing</w:t>
      </w:r>
      <w:r>
        <w:t xml:space="preserve"> </w:t>
      </w:r>
      <w:r>
        <w:t xml:space="preserve">external systems, cited to source; (b) labeled simulations over</w:t>
      </w:r>
      <w:r>
        <w:t xml:space="preserve"> </w:t>
      </w:r>
      <w:r>
        <w:t xml:space="preserve">synthetic data; or (c) frozen benchmark snapshots printed in §5.2, with</w:t>
      </w:r>
      <w:r>
        <w:t xml:space="preserve"> </w:t>
      </w:r>
      <w:r>
        <w:t xml:space="preserve">the live, versioned calculator at freshcredit.xyz/cost maintained as a</w:t>
      </w:r>
      <w:r>
        <w:t xml:space="preserve"> </w:t>
      </w:r>
      <w:r>
        <w:t xml:space="preserve">supplementary tool — the print figures, not the live page, are the</w:t>
      </w:r>
      <w:r>
        <w:t xml:space="preserve"> </w:t>
      </w:r>
      <w:r>
        <w:t xml:space="preserve">canonical reference for this paper’s claims. No achieved end-to-end</w:t>
      </w:r>
      <w:r>
        <w:t xml:space="preserve"> </w:t>
      </w:r>
      <w:r>
        <w:t xml:space="preserve">performance is claimed for deployed applications of the protocol. Claims</w:t>
      </w:r>
      <w:r>
        <w:t xml:space="preserve"> </w:t>
      </w:r>
      <w:r>
        <w:t xml:space="preserve">carry the stack’s epistemic labels:</w:t>
      </w:r>
      <w: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DERIVED</w:t>
      </w:r>
      <w:r>
        <w:rPr>
          <w:b/>
          <w:bCs/>
        </w:rPr>
        <w:t xml:space="preserve">]</w:t>
      </w:r>
      <w:r>
        <w:t xml:space="preserve"> </w:t>
      </w:r>
      <w:r>
        <w:t xml:space="preserve">(follows from</w:t>
      </w:r>
      <w:r>
        <w:t xml:space="preserve"> </w:t>
      </w:r>
      <w:r>
        <w:t xml:space="preserve">stated assumptions),</w:t>
      </w:r>
      <w: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STANDARD</w:t>
      </w:r>
      <w:r>
        <w:rPr>
          <w:b/>
          <w:bCs/>
        </w:rPr>
        <w:t xml:space="preserve">]</w:t>
      </w:r>
      <w:r>
        <w:t xml:space="preserve"> </w:t>
      </w:r>
      <w:r>
        <w:t xml:space="preserve">(textbook results derived</w:t>
      </w:r>
      <w:r>
        <w:t xml:space="preserve"> </w:t>
      </w:r>
      <w:r>
        <w:t xml:space="preserve">for self-containment),</w:t>
      </w:r>
      <w: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ANALOGY</w:t>
      </w:r>
      <w:r>
        <w:rPr>
          <w:b/>
          <w:bCs/>
        </w:rPr>
        <w:t xml:space="preserve">]</w:t>
      </w:r>
      <w:r>
        <w:t xml:space="preserve">,</w:t>
      </w:r>
      <w: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HOMOLOGY</w:t>
      </w:r>
      <w:r>
        <w:rPr>
          <w:b/>
          <w:bCs/>
        </w:rPr>
        <w:t xml:space="preserve">]</w:t>
      </w:r>
      <w:r>
        <w:t xml:space="preserve">,</w:t>
      </w:r>
      <w: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EMPIRICAL</w:t>
      </w:r>
      <w:r>
        <w:rPr>
          <w:b/>
          <w:bCs/>
        </w:rPr>
        <w:t xml:space="preserve">]</w:t>
      </w:r>
      <w:r>
        <w:t xml:space="preserve">,</w:t>
      </w:r>
      <w: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HYPOTHESIS</w:t>
      </w:r>
      <w:r>
        <w:rPr>
          <w:b/>
          <w:bCs/>
        </w:rPr>
        <w:t xml:space="preserve">]</w:t>
      </w:r>
      <w:r>
        <w:t xml:space="preserve">,</w:t>
      </w:r>
      <w: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SIMULATION</w:t>
      </w:r>
      <w:r>
        <w:rPr>
          <w:b/>
          <w:bCs/>
        </w:rPr>
        <w:t xml:space="preserve">]</w:t>
      </w:r>
      <w:r>
        <w:t xml:space="preserve">.</w:t>
      </w:r>
    </w:p>
    <w:bookmarkEnd w:id="15"/>
    <w:bookmarkEnd w:id="16"/>
    <w:bookmarkStart w:id="17" w:name="design-principles-from-the-theory"/>
    <w:p>
      <w:pPr>
        <w:pStyle w:val="Heading1"/>
      </w:pPr>
      <w:r>
        <w:t xml:space="preserve">2. Design Principles from the</w:t>
      </w:r>
      <w:r>
        <w:t xml:space="preserve"> </w:t>
      </w:r>
      <w:r>
        <w:t xml:space="preserve">Theory</w:t>
      </w:r>
    </w:p>
    <w:p>
      <w:pPr>
        <w:pStyle w:val="FirstParagraph"/>
      </w:pPr>
      <w:r>
        <w:t xml:space="preserve">Three principles follow from the theory and biology layers of the stack (the companion theory and biological-instantiation preprints):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Interactions as validations (theory layer).</w:t>
      </w:r>
      <w:r>
        <w:t xml:space="preserve"> </w:t>
      </w:r>
      <w:r>
        <w:t xml:space="preserve">Any event with a recorded</w:t>
      </w:r>
      <w:r>
        <w:t xml:space="preserve"> </w:t>
      </w:r>
      <w:r>
        <w:t xml:space="preserve">expectation and a recorded outcome can drive the stability update.</w:t>
      </w:r>
      <w:r>
        <w:t xml:space="preserve"> </w:t>
      </w:r>
      <w:r>
        <w:t xml:space="preserve">Stack-wide, the update is the master law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ε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ε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ε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confirmation/betrayal sensitivities,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the</w:t>
      </w:r>
      <w:r>
        <w:t xml:space="preserve"> </w:t>
      </w:r>
      <w:r>
        <w:t xml:space="preserve">recognition gate,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the retention leak, and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the baseline;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dimensionless</w:t>
      </w:r>
      <w:r>
        <w:t xml:space="preserve"> </w:t>
      </w:r>
      <w:r>
        <w:t xml:space="preserve">after per-domain normalization (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= (V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m:oMath>
        <m:r>
          <m:t>E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the RMSE of the domain’s expectation distribution,</w:t>
      </w:r>
      <w:r>
        <w:t xml:space="preserve"> </w:t>
      </w:r>
      <w:r>
        <w:t xml:space="preserve">companion theory preprint, Def. 2a). The named layer presets are: the physics layer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</m:oMath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</m:oMath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— the Rescorla–Wagner limit, reducing exactly to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)); the biological</w:t>
      </w:r>
      <w:r>
        <w:t xml:space="preserve"> </w:t>
      </w:r>
      <w:r>
        <w:t xml:space="preserve">layer (gating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, baseline-restoring leak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</m:oMath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the homeostatic prior); and the</w:t>
      </w:r>
      <w:r>
        <w:t xml:space="preserve"> </w:t>
      </w:r>
      <w:r>
        <w:rPr>
          <w:b/>
          <w:bCs/>
        </w:rPr>
        <w:t xml:space="preserve">TFP</w:t>
      </w:r>
      <w:r>
        <w:rPr>
          <w:b/>
          <w:bCs/>
        </w:rPr>
        <w:t xml:space="preserve"> </w:t>
      </w:r>
      <w:r>
        <w:rPr>
          <w:b/>
          <w:bCs/>
        </w:rPr>
        <w:t xml:space="preserve">protocol layer (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— break/build</w:t>
      </w:r>
      <w:r>
        <w:rPr>
          <w:b/>
          <w:bCs/>
        </w:rPr>
        <w:t xml:space="preserve"> </w:t>
      </w:r>
      <w:r>
        <w:rPr>
          <w:b/>
          <w:bCs/>
        </w:rPr>
        <w:t xml:space="preserve">asymmetry: betrayal updates faster than confirmation accrues — as an</w:t>
      </w:r>
      <w:r>
        <w:rPr>
          <w:b/>
          <w:bCs/>
        </w:rPr>
        <w:t xml:space="preserve"> </w:t>
      </w:r>
      <w:r>
        <w:rPr>
          <w:b/>
          <w:bCs/>
        </w:rPr>
        <w:t xml:space="preserve">explicitly labeled extension)</w:t>
      </w:r>
      <w:r>
        <w:t xml:space="preserve">, with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m:oMath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</m:oMath>
      <w:r>
        <w:t xml:space="preserve"> </w:t>
      </w:r>
      <w:r>
        <w:t xml:space="preserve">The protocol therefore treats validation as a primitive: a</w:t>
      </w:r>
      <w:r>
        <w:t xml:space="preserve"> </w:t>
      </w:r>
      <w:r>
        <w:t xml:space="preserve">typed, timestamped, attributable event with an expectation field and</w:t>
      </w:r>
      <w:r>
        <w:t xml:space="preserve"> </w:t>
      </w:r>
      <w:r>
        <w:t xml:space="preserve">an outcome field. Domains differ only in what fills those fields.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five-channel measurement (biology).</w:t>
      </w:r>
      <w:r>
        <w:t xml:space="preserve"> </w:t>
      </w:r>
      <w:r>
        <w:t xml:space="preserve">Interaction streams —</w:t>
      </w:r>
      <w:r>
        <w:t xml:space="preserve"> </w:t>
      </w:r>
      <w:r>
        <w:t xml:space="preserve">behavioral, transactional, physiological — are measurement layers on</w:t>
      </w:r>
      <w:r>
        <w:t xml:space="preserve"> </w:t>
      </w:r>
      <w:r>
        <w:t xml:space="preserve">the same latent trust process, scored against the frozen biological stage</w:t>
      </w:r>
      <w:r>
        <w:t xml:space="preserve"> </w:t>
      </w:r>
      <w:r>
        <w:t xml:space="preserve">mapping (D–O–C–A–S). The protocol records streams; the companion biology</w:t>
      </w:r>
      <w:r>
        <w:t xml:space="preserve"> </w:t>
      </w:r>
      <w:r>
        <w:t xml:space="preserve">experiment interprets them; applications decide which streams they</w:t>
      </w:r>
      <w:r>
        <w:t xml:space="preserve"> </w:t>
      </w:r>
      <w:r>
        <w:t xml:space="preserve">consume and for what. Streams with decision-ethical sensitivity (e.g.,</w:t>
      </w:r>
      <w:r>
        <w:t xml:space="preserve"> </w:t>
      </w:r>
      <w:r>
        <w:t xml:space="preserve">physiological data) are sequestered at the schema level from</w:t>
      </w:r>
      <w:r>
        <w:t xml:space="preserve"> </w:t>
      </w:r>
      <w:r>
        <w:t xml:space="preserve">application decision paths.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Distortion-minimizing observation (measurement theory).</w:t>
      </w:r>
      <w:r>
        <w:t xml:space="preserve"> </w:t>
      </w:r>
      <w:r>
        <w:t xml:space="preserve">Data</w:t>
      </w:r>
      <w:r>
        <w:t xml:space="preserve"> </w:t>
      </w:r>
      <w:r>
        <w:t xml:space="preserve">minimization (selective disclosure), ownership locality</w:t>
      </w:r>
      <w:r>
        <w:t xml:space="preserve"> </w:t>
      </w:r>
      <w:r>
        <w:t xml:space="preserve">(database-per-tenant), local verification (light clients), and</w:t>
      </w:r>
      <w:r>
        <w:t xml:space="preserve"> </w:t>
      </w:r>
      <w:r>
        <w:t xml:space="preserve">accountable observation (user-visible, on-chain access logs) are the</w:t>
      </w:r>
      <w:r>
        <w:t xml:space="preserve"> </w:t>
      </w:r>
      <w:r>
        <w:t xml:space="preserve">engineering responses to the documented chilling and</w:t>
      </w:r>
      <w:r>
        <w:t xml:space="preserve"> </w:t>
      </w:r>
      <w:r>
        <w:t xml:space="preserve">demand-characteristic distortions of §1.1. Stated against the</w:t>
      </w:r>
      <w:r>
        <w:t xml:space="preserve"> </w:t>
      </w:r>
      <w:r>
        <w:t xml:space="preserve">now-defined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(§4): these four responses drive observation</w:t>
      </w:r>
      <w:r>
        <w:t xml:space="preserve"> </w:t>
      </w:r>
      <w:r>
        <w:t xml:space="preserve">salience m toward its floor, and hence</w:t>
      </w:r>
      <w:r>
        <w:t xml:space="preserve"> </w:t>
      </w:r>
      <m:oMath>
        <m:r>
          <m:t>ψ</m:t>
        </m:r>
        <m:r>
          <m:rPr>
            <m:sty m:val="p"/>
          </m:rPr>
          <m:t>→</m:t>
        </m:r>
        <m:r>
          <m:t>ψ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which the theory and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battery (§4) both say is</w:t>
      </w:r>
      <w:r>
        <w:t xml:space="preserve"> </w:t>
      </w:r>
      <w:r>
        <w:rPr>
          <w:b/>
          <w:bCs/>
        </w:rPr>
        <w:t xml:space="preserve">negative and nonzero</w:t>
      </w:r>
      <w:r>
        <w:t xml:space="preserve">: the</w:t>
      </w:r>
      <w:r>
        <w:t xml:space="preserve"> </w:t>
      </w:r>
      <w:r>
        <w:t xml:space="preserve">protocol’s own measurement still distorts, and §4 applies a</w:t>
      </w:r>
      <w:r>
        <w:t xml:space="preserve"> </w:t>
      </w:r>
      <w:r>
        <w:t xml:space="preserve">Campbell’s-law caution to the protocol’s own metrics accordingly.</w:t>
      </w:r>
    </w:p>
    <w:bookmarkEnd w:id="17"/>
    <w:bookmarkStart w:id="85" w:name="architecture"/>
    <w:p>
      <w:pPr>
        <w:pStyle w:val="Heading1"/>
      </w:pPr>
      <w:r>
        <w:t xml:space="preserve">3. Architecture</w:t>
      </w:r>
    </w:p>
    <w:p>
      <w:pPr>
        <w:pStyle w:val="FirstParagraph"/>
      </w:pPr>
      <w:r>
        <w:t xml:space="preserve">The components are existing, production-grade open systems; the</w:t>
      </w:r>
      <w:r>
        <w:t xml:space="preserve"> </w:t>
      </w:r>
      <w:r>
        <w:t xml:space="preserve">contribution is their composition into a trust-measurement loop.</w:t>
      </w:r>
      <w:r>
        <w:t xml:space="preserve"> </w:t>
      </w:r>
      <w:r>
        <w:t xml:space="preserve">Figure 1 summarizes the reference architecture as a</w:t>
      </w:r>
      <w:r>
        <w:t xml:space="preserve"> </w:t>
      </w:r>
      <w:r>
        <w:t xml:space="preserve">five-layer stack of mathematical objects, with the core flow and the</w:t>
      </w:r>
      <w:r>
        <w:t xml:space="preserve"> </w:t>
      </w:r>
      <w:r>
        <w:t xml:space="preserve">cross-cutting population-level objects drawn outside the layers because</w:t>
      </w:r>
      <w:r>
        <w:t xml:space="preserve"> </w:t>
      </w:r>
      <w:r>
        <w:t xml:space="preserve">no single layer owns them.</w:t>
      </w:r>
    </w:p>
    <w:bookmarkStart w:id="21" w:name="fig:stack"/>
    <w:p>
      <w:pPr>
        <w:pStyle w:val="CaptionedFigure"/>
      </w:pPr>
      <w:r>
        <w:drawing>
          <wp:inline>
            <wp:extent cx="4907280" cy="373324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/tfp_protocol_stack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733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The Fresh Protocol as a five-layer stack of mathematical objects (§3 opening). L1 measurement/evidence: typed validation events (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timestamp, attestations) and the provider-signature attestation relation (presence + authenticity). L2 identity &amp; data: W3C DIDs, selective-disclosure credentials (SD-JWT, RFC 9901 — predicates, not records), database-per-tenant ownership locality. L3 validation/compute: the estimator interface, the master law (TFP preset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normalization, the</w:t>
      </w:r>
      <w:r>
        <w:t xml:space="preserve"> </w:t>
      </w:r>
      <m:oMath>
        <m:r>
          <m:t>ι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trust index and the bounded exponential-tilt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. L4 commitment/settlement &amp; audit: hash-chained state-transition anchors, Merkle-batch rollups, light-client verification, per-event micropayment settlement. L5 consumption: applications via an application-supplied loading matrix; no domain logic in the protocol. The core flow AUTH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HASH (left rail) and the cross-cutting/population-level objects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(observation salience),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(phase coherence), and the attestation boundary (right rail) are drawn outside the layers because no single layer owns them.</w:t>
      </w:r>
    </w:p>
    <w:bookmarkEnd w:id="21"/>
    <w:bookmarkStart w:id="26" w:name="the-core-flow"/>
    <w:p>
      <w:pPr>
        <w:pStyle w:val="Heading2"/>
      </w:pPr>
      <w:r>
        <w:t xml:space="preserve">3.0 The core flow</w:t>
      </w:r>
    </w:p>
    <w:p>
      <w:pPr>
        <w:pStyle w:val="FirstParagraph"/>
      </w:pPr>
      <w:r>
        <w:t xml:space="preserve">Every interaction with the protocol traverses a single sovereign</w:t>
      </w:r>
      <w:r>
        <w:t xml:space="preserve"> </w:t>
      </w:r>
      <w:r>
        <w:t xml:space="preserve">pipeline:</w:t>
      </w:r>
    </w:p>
    <w:p>
      <w:pPr>
        <w:pStyle w:val="BodyText"/>
      </w:pPr>
      <w:r>
        <w:rPr>
          <w:b/>
          <w:bCs/>
        </w:rPr>
        <w:t xml:space="preserve">AUTH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DID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DB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HASH</w:t>
      </w:r>
    </w:p>
    <w:p>
      <w:pPr>
        <w:pStyle w:val="BodyText"/>
      </w:pPr>
      <w:r>
        <w:t xml:space="preserve">AUTH — the participant authenticates to their own edge environment</w:t>
      </w:r>
      <w:r>
        <w:t xml:space="preserve"> </w:t>
      </w:r>
      <w:r>
        <w:t xml:space="preserve">(device-held keys); no custodial account exists to be breached. DID —</w:t>
      </w:r>
      <w:r>
        <w:t xml:space="preserve"> </w:t>
      </w:r>
      <w:r>
        <w:t xml:space="preserve">the participant’s decentralized identifier scopes the interaction;</w:t>
      </w:r>
      <w:r>
        <w:t xml:space="preserve"> </w:t>
      </w:r>
      <w:r>
        <w:t xml:space="preserve">credentials are presented by selective disclosure (predicates, not</w:t>
      </w:r>
      <w:r>
        <w:t xml:space="preserve"> </w:t>
      </w:r>
      <w:r>
        <w:t xml:space="preserve">records). DB — the validation event is written to the participant’s</w:t>
      </w:r>
      <w:r>
        <w:t xml:space="preserve"> </w:t>
      </w:r>
      <w:r>
        <w:t xml:space="preserve">own database-per-tenant store; the stability update</w:t>
      </w:r>
      <w: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V</m:t>
        </m:r>
      </m:oMath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E) (TFP preset: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asymmetric form, §2) is computed at the</w:t>
      </w:r>
      <w:r>
        <w:t xml:space="preserve"> </w:t>
      </w:r>
      <w:r>
        <w:t xml:space="preserve">edge, so raw data never leaves the participant’s control. HASH — the</w:t>
      </w:r>
      <w:r>
        <w:t xml:space="preserve"> </w:t>
      </w:r>
      <w:r>
        <w:t xml:space="preserve">resulting state transition is hashed to the audit chain, giving the</w:t>
      </w:r>
      <w:r>
        <w:t xml:space="preserve"> </w:t>
      </w:r>
      <w:r>
        <w:t xml:space="preserve">participant — and only parties they authorize — a</w:t>
      </w:r>
      <w:r>
        <w:t xml:space="preserve"> </w:t>
      </w:r>
      <w:r>
        <w:t xml:space="preserve">light-client-verifiable proof of record integrity. The pipeline is the</w:t>
      </w:r>
      <w:r>
        <w:t xml:space="preserve"> </w:t>
      </w:r>
      <w:r>
        <w:t xml:space="preserve">architectural negation of the custodial flow it replaces: where the</w:t>
      </w:r>
      <w:r>
        <w:t xml:space="preserve"> </w:t>
      </w:r>
      <w:r>
        <w:t xml:space="preserve">incumbent pattern is collect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centralize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expose, the</w:t>
      </w:r>
      <w:r>
        <w:t xml:space="preserve"> </w:t>
      </w:r>
      <w:r>
        <w:t xml:space="preserve">protocol’s is authorize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compute locally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prove.</w:t>
      </w:r>
      <w:r>
        <w:t xml:space="preserve"> </w:t>
      </w:r>
      <w:r>
        <w:t xml:space="preserve">Figure 2 renders the expectation–validation loop the</w:t>
      </w:r>
      <w:r>
        <w:t xml:space="preserve"> </w:t>
      </w:r>
      <w:r>
        <w:t xml:space="preserve">pipeline carries — one signed mismatch per event driving one state</w:t>
      </w:r>
      <w:r>
        <w:t xml:space="preserve"> </w:t>
      </w:r>
      <w:r>
        <w:t xml:space="preserve">update, closed through the trust index — and where the audit and</w:t>
      </w:r>
      <w:r>
        <w:t xml:space="preserve"> </w:t>
      </w:r>
      <w:r>
        <w:t xml:space="preserve">observation terms attach.</w:t>
      </w:r>
    </w:p>
    <w:bookmarkStart w:id="25" w:name="fig:evflow"/>
    <w:p>
      <w:pPr>
        <w:pStyle w:val="CaptionedFigure"/>
      </w:pPr>
      <w:r>
        <w:drawing>
          <wp:inline>
            <wp:extent cx="4907280" cy="320255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/tfp_ev_data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202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The expectation–validation loop (§3.0–3.3). A recorded expectation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a provider-attested outcome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form the normalized mismatch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, which drives the master-law update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max</m:t>
        </m:r>
        <m:r>
          <m:rPr>
            <m:sty m:val="p"/>
          </m:rPr>
          <m:t>(</m:t>
        </m:r>
        <m:r>
          <m:t>ε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t>r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min</m:t>
        </m:r>
        <m:r>
          <m:rPr>
            <m:sty m:val="p"/>
          </m:rPr>
          <m:t>(</m:t>
        </m:r>
        <m:r>
          <m:t>ε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t>r</m:t>
        </m:r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the TFP preset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(break/build asymmetry),</w:t>
      </w:r>
      <w:r>
        <w:t xml:space="preserve"> </w:t>
      </w:r>
      <m:oMath>
        <m:r>
          <m:t>r</m:t>
        </m:r>
        <m:r>
          <m:rPr>
            <m:sty m:val="p"/>
          </m:rPr>
          <m:t>≡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 The state projects through</w:t>
      </w:r>
      <w:r>
        <w:t xml:space="preserve"> </w:t>
      </w:r>
      <m:oMath>
        <m:r>
          <m:t>ι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tanh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T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into trust-weighted expected utility (exponential tilt</w:t>
      </w:r>
      <w:r>
        <w:t xml:space="preserve"> </w:t>
      </w:r>
      <m:oMath>
        <m:acc>
          <m:accPr>
            <m:chr m:val="̃"/>
          </m:accPr>
          <m:e>
            <m:r>
              <m:t>P</m:t>
            </m:r>
          </m:e>
        </m:acc>
        <m:r>
          <m:rPr>
            <m:sty m:val="p"/>
          </m:rPr>
          <m:t>∝</m:t>
        </m:r>
        <m:r>
          <m:t>P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γ</m:t>
        </m:r>
        <m:r>
          <m:t> </m:t>
        </m:r>
        <m:r>
          <m:t>ι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), which selects the next interaction and thereby the next expectation — the feedback path. Every state transition is hashed to the audit anchor. The observation term (</w:t>
      </w:r>
      <m:oMath>
        <m:r>
          <m:t>d</m:t>
        </m:r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+</m:t>
        </m:r>
        <m:r>
          <m:t>ψ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ε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σ</m:t>
        </m:r>
        <m:r>
          <m:t> </m:t>
        </m:r>
        <m:r>
          <m:t>d</m:t>
        </m:r>
        <m:r>
          <m:t>W</m:t>
        </m:r>
      </m:oMath>
      <w:r>
        <w:t xml:space="preserve">) is annotated as the regime the loop runs under; the</w:t>
      </w:r>
      <w:r>
        <w:t xml:space="preserve"> </w:t>
      </w:r>
      <m:oMath>
        <m:r>
          <m:t>E</m:t>
        </m:r>
      </m:oMath>
      <w:r>
        <w:t xml:space="preserve">-side is marked un-attested (§3.8 scope limit).</w:t>
      </w:r>
    </w:p>
    <w:bookmarkEnd w:id="25"/>
    <w:bookmarkEnd w:id="26"/>
    <w:bookmarkStart w:id="27" w:name="measurement-layer"/>
    <w:p>
      <w:pPr>
        <w:pStyle w:val="Heading2"/>
      </w:pPr>
      <w:r>
        <w:t xml:space="preserve">3.1 Measurement layer</w:t>
      </w:r>
    </w:p>
    <w:p>
      <w:pPr>
        <w:pStyle w:val="FirstParagraph"/>
      </w:pPr>
      <w:r>
        <w:t xml:space="preserve">Validation events enter as typed records: expectation (what was</w:t>
      </w:r>
      <w:r>
        <w:t xml:space="preserve"> </w:t>
      </w:r>
      <w:r>
        <w:t xml:space="preserve">predicted, by whom, with what stake), outcome (what occurred),</w:t>
      </w:r>
      <w:r>
        <w:t xml:space="preserve"> </w:t>
      </w:r>
      <w:r>
        <w:t xml:space="preserve">timestamp, and attestations. Sources are arbitrary: signed API</w:t>
      </w:r>
      <w:r>
        <w:t xml:space="preserve"> </w:t>
      </w:r>
      <w:r>
        <w:t xml:space="preserve">responses, credential presentations, device attestations, settlement</w:t>
      </w:r>
      <w:r>
        <w:t xml:space="preserve"> </w:t>
      </w:r>
      <w:r>
        <w:t xml:space="preserve">receipts, consented wearable streams. The layer is schema-open — new</w:t>
      </w:r>
      <w:r>
        <w:t xml:space="preserve"> </w:t>
      </w:r>
      <w:r>
        <w:t xml:space="preserve">domains register event types without protocol changes. Attestation is</w:t>
      </w:r>
      <w:r>
        <w:t xml:space="preserve"> </w:t>
      </w:r>
      <w:r>
        <w:t xml:space="preserve">the load-bearing integrity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completeness mechanism of this</w:t>
      </w:r>
      <w:r>
        <w:t xml:space="preserve"> </w:t>
      </w:r>
      <w:r>
        <w:t xml:space="preserve">layer; §3.8 states precisely what a provider-signed event proves</w:t>
      </w:r>
      <w:r>
        <w:t xml:space="preserve"> </w:t>
      </w:r>
      <w:r>
        <w:t xml:space="preserve">(presence and authenticity) and what it cannot prove (absence of omitted</w:t>
      </w:r>
      <w:r>
        <w:t xml:space="preserve"> </w:t>
      </w:r>
      <w:r>
        <w:t xml:space="preserve">events), and what the protocol does about the gap. The scope boundary of</w:t>
      </w:r>
      <w:r>
        <w:t xml:space="preserve"> </w:t>
      </w:r>
      <w:r>
        <w:t xml:space="preserve">§1.1 binds the layer’s outputs: vulnerability-free verifiable events</w:t>
      </w:r>
      <w:r>
        <w:t xml:space="preserve"> </w:t>
      </w:r>
      <w:r>
        <w:t xml:space="preserve">(credential checks, device attestations) yield a verification/reputation</w:t>
      </w:r>
      <w:r>
        <w:t xml:space="preserve"> </w:t>
      </w:r>
      <w:r>
        <w:t xml:space="preserve">state, not trust dynamics in the theory’s sense (companion theory preprint, §1.2b, Rousseau</w:t>
      </w:r>
      <w:r>
        <w:t xml:space="preserve"> </w:t>
      </w:r>
      <w:r>
        <w:t xml:space="preserve">boundary: no genuine vulnerability, no trust dynamics); the trust</w:t>
      </w:r>
      <w:r>
        <w:t xml:space="preserve"> </w:t>
      </w:r>
      <w:r>
        <w:t xml:space="preserve">reading applies only where risk and interdependence are present.</w:t>
      </w:r>
    </w:p>
    <w:bookmarkEnd w:id="27"/>
    <w:bookmarkStart w:id="32" w:name="identity-and-data-layer"/>
    <w:p>
      <w:pPr>
        <w:pStyle w:val="Heading2"/>
      </w:pPr>
      <w:r>
        <w:t xml:space="preserve">3.2 Identity and data layer</w:t>
      </w:r>
    </w:p>
    <w:p>
      <w:pPr>
        <w:pStyle w:val="FirstParagraph"/>
      </w:pPr>
      <w:r>
        <w:t xml:space="preserve">Each participant holds a W3C decentralized identifier (DID;</w:t>
      </w:r>
      <w:r>
        <w:t xml:space="preserve"> </w:t>
      </w:r>
      <w:r>
        <w:t xml:space="preserve">); attestations are verifiable credentials presented</w:t>
      </w:r>
      <w:r>
        <w:t xml:space="preserve"> </w:t>
      </w:r>
      <w:r>
        <w:t xml:space="preserve">by selective disclosure — verifiers learn predicates (</w:t>
      </w:r>
      <w:r>
        <w:t xml:space="preserve">“over 18”</w:t>
      </w:r>
      <w:r>
        <w:t xml:space="preserve">,</w:t>
      </w:r>
      <w:r>
        <w:t xml:space="preserve"> </w:t>
      </w:r>
      <w:r>
        <w:t xml:space="preserve">“credential unrevoked”</w:t>
      </w:r>
      <w:r>
        <w:t xml:space="preserve">,</w:t>
      </w:r>
      <w:r>
        <w:t xml:space="preserve"> </w:t>
      </w:r>
      <w:r>
        <w:t xml:space="preserve">“no failed obligations in window w”</w:t>
      </w:r>
      <w:r>
        <w:t xml:space="preserve">), not</w:t>
      </w:r>
      <w:r>
        <w:t xml:space="preserve"> </w:t>
      </w:r>
      <w:r>
        <w:t xml:space="preserve">records. Production DID ecosystems demonstrate the pattern: KILT</w:t>
      </w:r>
      <w:r>
        <w:t xml:space="preserve"> </w:t>
      </w:r>
      <w:r>
        <w:t xml:space="preserve">Protocol — a Substrate-based blockchain operating as a Polkadot</w:t>
      </w:r>
      <w:r>
        <w:t xml:space="preserve"> </w:t>
      </w:r>
      <w:r>
        <w:t xml:space="preserve">parachain — provides production issue-hold-verify credential flows</w:t>
      </w:r>
      <w:r>
        <w:t xml:space="preserve"> </w:t>
      </w:r>
      <w:r>
        <w:t xml:space="preserve">(verifiable, revocable, selectively disclosable credentials anchored by</w:t>
      </w:r>
      <w:r>
        <w:t xml:space="preserve"> </w:t>
      </w:r>
      <w:r>
        <w:t xml:space="preserve">on-chain hashes) documented since its 2019 whitepaper</w:t>
      </w:r>
      <w:r>
        <w:t xml:space="preserve"> </w:t>
      </w:r>
      <w:r>
        <w:t xml:space="preserve">.</w:t>
      </w:r>
      <w:r>
        <w:t xml:space="preserve"> </w:t>
      </w:r>
      <w:r>
        <w:t xml:space="preserve">The standards layer has since matured from draft to regulated default:</w:t>
      </w:r>
      <w:r>
        <w:t xml:space="preserve"> </w:t>
      </w:r>
      <w:r>
        <w:t xml:space="preserve">the Verifiable Credentials Data Model 2.0 reached full W3C</w:t>
      </w:r>
      <w:r>
        <w:t xml:space="preserve"> </w:t>
      </w:r>
      <w:r>
        <w:t xml:space="preserve">Recommendation status in May 2025</w:t>
      </w:r>
      <w:r>
        <w:t xml:space="preserve"> </w:t>
      </w:r>
      <w:r>
        <w:t xml:space="preserve">, and the</w:t>
      </w:r>
      <w:r>
        <w:t xml:space="preserve"> </w:t>
      </w:r>
      <w:r>
        <w:t xml:space="preserve">selective-disclosure JWT format is standardized as SD-JWT (IETF RFC</w:t>
      </w:r>
      <w:r>
        <w:t xml:space="preserve"> </w:t>
      </w:r>
      <w:r>
        <w:t xml:space="preserve">9901, a finished Standards-Track specification;</w:t>
      </w:r>
      <w:r>
        <w:t xml:space="preserve"> </w:t>
      </w:r>
      <w:r>
        <w:t xml:space="preserve">); its</w:t>
      </w:r>
      <w:r>
        <w:t xml:space="preserve"> </w:t>
      </w:r>
      <w:r>
        <w:t xml:space="preserve">credential profile SD-JWT VC — still an IETF Internet-Draft, not yet</w:t>
      </w:r>
      <w:r>
        <w:t xml:space="preserve"> </w:t>
      </w:r>
      <w:r>
        <w:t xml:space="preserve">an RFC — is mandated (alongside ISO mdoc) in the EU’s eIDAS 2.0 wallet</w:t>
      </w:r>
      <w:r>
        <w:t xml:space="preserve"> </w:t>
      </w:r>
      <w:r>
        <w:t xml:space="preserve">architecture. (For the unlinkable-presentation case, BBS cryptosuites</w:t>
      </w:r>
      <w:r>
        <w:t xml:space="preserve"> </w:t>
      </w:r>
      <w:r>
        <w:t xml:space="preserve">exist but are W3C Candidate Recommendation Drafts, not yet</w:t>
      </w:r>
      <w:r>
        <w:t xml:space="preserve"> </w:t>
      </w:r>
      <w:r>
        <w:t xml:space="preserve">Recommendations; the stack does not depend on them.) Selective</w:t>
      </w:r>
      <w:r>
        <w:t xml:space="preserve"> </w:t>
      </w:r>
      <w:r>
        <w:t xml:space="preserve">disclosure is no longer a research construct; it is the direction</w:t>
      </w:r>
      <w:r>
        <w:t xml:space="preserve"> </w:t>
      </w:r>
      <w:r>
        <w:t xml:space="preserve">regulation is pulling.</w:t>
      </w:r>
    </w:p>
    <w:p>
      <w:pPr>
        <w:pStyle w:val="BodyText"/>
      </w:pPr>
      <w:r>
        <w:t xml:space="preserve">Data live in a database-per-tenant topology (libSQL;</w:t>
      </w:r>
      <w:r>
        <w:t xml:space="preserve"> </w:t>
      </w:r>
      <w:r>
        <w:t xml:space="preserve">): each participant’s trust record is an independent</w:t>
      </w:r>
      <w:r>
        <w:t xml:space="preserve"> </w:t>
      </w:r>
      <w:r>
        <w:t xml:space="preserve">encrypted edge database whose durability is provided by cloud backups or</w:t>
      </w:r>
      <w:r>
        <w:t xml:space="preserve"> </w:t>
      </w:r>
      <w:r>
        <w:t xml:space="preserve">offline backups under the participant’s control. One engine fact is</w:t>
      </w:r>
      <w:r>
        <w:t xml:space="preserve"> </w:t>
      </w:r>
      <w:r>
        <w:t xml:space="preserve">stated precisely because the ecosystem’s naming invites confusion: the</w:t>
      </w:r>
      <w:r>
        <w:t xml:space="preserve"> </w:t>
      </w:r>
      <w:r>
        <w:t xml:space="preserve">production libSQL engine (the C fork of SQLite that powers Turso Cloud</w:t>
      </w:r>
      <w:r>
        <w:t xml:space="preserve"> </w:t>
      </w:r>
      <w:r>
        <w:t xml:space="preserve">today) inherits SQLite’s</w:t>
      </w:r>
      <w:r>
        <w:t xml:space="preserve"> </w:t>
      </w:r>
      <w:r>
        <w:rPr>
          <w:b/>
          <w:bCs/>
        </w:rPr>
        <w:t xml:space="preserve">single-writer</w:t>
      </w:r>
      <w:r>
        <w:t xml:space="preserve"> </w:t>
      </w:r>
      <w:r>
        <w:t xml:space="preserve">model; MVCC concurrent</w:t>
      </w:r>
      <w:r>
        <w:t xml:space="preserve"> </w:t>
      </w:r>
      <w:r>
        <w:t xml:space="preserve">writes are a feature of Turso’s ground-up Rust rewrite of SQLite,</w:t>
      </w:r>
      <w:r>
        <w:t xml:space="preserve"> </w:t>
      </w:r>
      <w:r>
        <w:t xml:space="preserve">currently in beta, not of the production engine. Nothing in this</w:t>
      </w:r>
      <w:r>
        <w:t xml:space="preserve"> </w:t>
      </w:r>
      <w:r>
        <w:t xml:space="preserve">architecture requires concurrent writers per tenant — each database</w:t>
      </w:r>
      <w:r>
        <w:t xml:space="preserve"> </w:t>
      </w:r>
      <w:r>
        <w:t xml:space="preserve">has exactly one owner-writer — so the production engine suffices; the</w:t>
      </w:r>
      <w:r>
        <w:t xml:space="preserve"> </w:t>
      </w:r>
      <w:r>
        <w:t xml:space="preserve">beta rewrite is noted for trajectory only. The topology yields</w:t>
      </w:r>
      <w:r>
        <w:t xml:space="preserve"> </w:t>
      </w:r>
      <w:r>
        <w:t xml:space="preserve">local-latency I/O (vendor benchmarks report</w:t>
      </w:r>
      <w:r>
        <w:t xml:space="preserve"> </w:t>
      </w:r>
      <m:oMath>
        <m:r>
          <m:rPr>
            <m:sty m:val="p"/>
          </m:rPr>
          <m:t>∼</m:t>
        </m:r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improvement</w:t>
      </w:r>
      <w:r>
        <w:t xml:space="preserve"> </w:t>
      </w:r>
      <w:r>
        <w:t xml:space="preserve">over centralized round-trips) and, more importantly, ownership locality:</w:t>
      </w:r>
      <w:r>
        <w:t xml:space="preserve"> </w:t>
      </w:r>
      <w:r>
        <w:t xml:space="preserve">the record is the participant’s, licensed to queries, rather than a</w:t>
      </w:r>
      <w:r>
        <w:t xml:space="preserve"> </w:t>
      </w:r>
      <w:r>
        <w:t xml:space="preserve">custodian’s asset. Aggregation APIs that permission data at the source</w:t>
      </w:r>
      <w:r>
        <w:t xml:space="preserve"> </w:t>
      </w:r>
      <w:r>
        <w:t xml:space="preserve">(Plaid, Stripe, and equivalents) demonstrate the consent-bearing query</w:t>
      </w:r>
      <w:r>
        <w:t xml:space="preserve"> </w:t>
      </w:r>
      <w:r>
        <w:t xml:space="preserve">pattern at production scale — the protocol generalizes it beyond</w:t>
      </w:r>
      <w:r>
        <w:t xml:space="preserve"> </w:t>
      </w:r>
      <w:r>
        <w:t xml:space="preserve">finance.</w:t>
      </w:r>
    </w:p>
    <w:bookmarkStart w:id="31" w:name="fig:storage"/>
    <w:p>
      <w:pPr>
        <w:pStyle w:val="CaptionedFigure"/>
      </w:pPr>
      <w:r>
        <w:drawing>
          <wp:inline>
            <wp:extent cx="4907280" cy="168566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fig_storage_refi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685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Storage-cost trend, era-split (§3.2): the full sourced Komorowski table</w:t>
      </w:r>
      <w:r>
        <w:t xml:space="preserve"> </w:t>
      </w:r>
      <w:r>
        <w:t xml:space="preserve"> </w:t>
      </w:r>
      <w:r>
        <w:t xml:space="preserve">(273 drive-price points, 1980–2009) re-fit log-linearly at</w:t>
      </w:r>
      <w:r>
        <w:t xml:space="preserve"> </w:t>
      </w:r>
      <m:oMath>
        <m:r>
          <m:rPr>
            <m:sty m:val="p"/>
          </m:rPr>
          <m:t>−</m:t>
        </m:r>
        <m:r>
          <m:t>43.7</m:t>
        </m:r>
      </m:oMath>
      <w:r>
        <w:t xml:space="preserve">%/yr (95%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44.2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43.2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0.984</m:t>
        </m:r>
      </m:oMath>
      <w:r>
        <w:t xml:space="preserve">), matching Komorowski’s own published regression; Backblaze fleet endpoints</w:t>
      </w:r>
      <w:r>
        <w:t xml:space="preserve"> </w:t>
      </w:r>
      <w:r>
        <w:t xml:space="preserve"> </w:t>
      </w:r>
      <w:r>
        <w:t xml:space="preserve">extend the series to $0.0144/GB (November 2022) and give the much flatter modern era of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14</m:t>
        </m:r>
      </m:oMath>
      <w:r>
        <w:t xml:space="preserve">%/yr. A</w:t>
      </w:r>
      <w:r>
        <w:t xml:space="preserve"> </w:t>
      </w:r>
      <m:oMath>
        <m:r>
          <m:rPr>
            <m:sty m:val="p"/>
          </m:rPr>
          <m:t>−</m:t>
        </m:r>
        <m:r>
          <m:t>31.6</m:t>
        </m:r>
      </m:oMath>
      <w:r>
        <w:t xml:space="preserve">%/yr fit (df</w:t>
      </w:r>
      <w:r>
        <w:t xml:space="preserve"> </w:t>
      </w:r>
      <m:oMath>
        <m:r>
          <m:rPr>
            <m:sty m:val="p"/>
          </m:rPr>
          <m:t>=</m:t>
        </m:r>
        <m:r>
          <m:t>7</m:t>
        </m:r>
      </m:oMath>
      <w:r>
        <w:t xml:space="preserve">) on a small subsample is unreconstructable from the cited series and is not used.</w:t>
      </w:r>
    </w:p>
    <w:bookmarkEnd w:id="31"/>
    <w:p>
      <w:pPr>
        <w:pStyle w:val="BodyText"/>
      </w:pPr>
      <w:r>
        <w:t xml:space="preserve">Two properties of this layer are stated with their evidence. First, the</w:t>
      </w:r>
      <w:r>
        <w:t xml:space="preserve"> </w:t>
      </w:r>
      <w:r>
        <w:t xml:space="preserve">cost curve is measured, not asserted, and the trend is era-split (Figure</w:t>
      </w:r>
      <w:r>
        <w:t xml:space="preserve"> </w:t>
      </w:r>
      <w:r>
        <w:t xml:space="preserve">3): a re-fit on the full sourced Komorowski table</w:t>
      </w:r>
      <w:r>
        <w:t xml:space="preserve"> </w:t>
      </w:r>
      <w:r>
        <w:t xml:space="preserve"> </w:t>
      </w:r>
      <w:r>
        <w:t xml:space="preserve">(273 transcribed drive-price points, 1980–2009)</w:t>
      </w:r>
      <w:r>
        <w:t xml:space="preserve"> </w:t>
      </w:r>
      <w:r>
        <w:t xml:space="preserve">gives a log-linear decline of</w:t>
      </w:r>
      <w:r>
        <w:t xml:space="preserve"> </w:t>
      </w:r>
      <m:oMath>
        <m:r>
          <m:rPr>
            <m:sty m:val="p"/>
          </m:rPr>
          <m:t>−</m:t>
        </m:r>
        <m:r>
          <m:t>43.7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t>y</m:t>
        </m:r>
        <m:r>
          <m:t>e</m:t>
        </m:r>
        <m:r>
          <m:t>a</m:t>
        </m:r>
        <m:r>
          <m:t>r</m:t>
        </m:r>
      </m:oMath>
      <w:r>
        <w:t xml:space="preserve"> </w:t>
      </w:r>
      <w:r>
        <w:t xml:space="preserve">(95% CI</w:t>
      </w:r>
      <w:r>
        <w:t xml:space="preserve"> </w:t>
      </w:r>
      <w:r>
        <w:t xml:space="preserve">[</w:t>
      </w:r>
      <m:oMath>
        <m:r>
          <m:rPr>
            <m:sty m:val="p"/>
          </m:rPr>
          <m:t>−</m:t>
        </m:r>
        <m:r>
          <m:t>44.2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43.2</m:t>
        </m:r>
      </m:oMath>
      <w:r>
        <w:t xml:space="preserve">]</w:t>
      </w:r>
      <w:r>
        <w:t xml:space="preserve">;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0.984</m:t>
        </m:r>
      </m:oMath>
      <w:r>
        <w:t xml:space="preserve">; halving every 1.2 years), matching</w:t>
      </w:r>
      <w:r>
        <w:t xml:space="preserve"> </w:t>
      </w:r>
      <w:r>
        <w:t xml:space="preserve">Komorowski’s own published regression of the same series (</w:t>
      </w:r>
      <m:oMath>
        <m:r>
          <m:rPr>
            <m:sty m:val="p"/>
          </m:rPr>
          <m:t>−</m:t>
        </m:r>
        <m:r>
          <m:t>0.250</m:t>
        </m:r>
      </m:oMath>
      <w:r>
        <w:t xml:space="preserve"> </w:t>
      </w:r>
      <m:oMath>
        <m:r>
          <m:t>l</m:t>
        </m:r>
        <m:r>
          <m:t>o</m:t>
        </m:r>
        <m:sSub>
          <m:e>
            <m:r>
              <m:t>g</m:t>
            </m:r>
          </m:e>
          <m:sub>
            <m:r>
              <m:t>10</m:t>
            </m:r>
          </m:sub>
        </m:sSub>
        <m:r>
          <m:rPr>
            <m:sty m:val="p"/>
          </m:rPr>
          <m:t>/</m:t>
        </m:r>
        <m:r>
          <m:t>y</m:t>
        </m:r>
        <m:r>
          <m:t>r</m:t>
        </m:r>
      </m:oMath>
      <w:r>
        <w:t xml:space="preserve">;</w:t>
      </w:r>
      <w:r>
        <w:t xml:space="preserve"> </w:t>
      </w:r>
      <w:r>
        <w:t xml:space="preserve">), while the modern era is much</w:t>
      </w:r>
      <w:r>
        <w:t xml:space="preserve"> </w:t>
      </w:r>
      <w:r>
        <w:t xml:space="preserve">flatter —</w:t>
      </w:r>
      <w:r>
        <w:t xml:space="preserve"> </w:t>
      </w:r>
      <w:r>
        <w:t xml:space="preserve"> </w:t>
      </w:r>
      <w:r>
        <w:t xml:space="preserve">fleet endpoints give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m:oMath>
        <m:r>
          <m:rPr>
            <m:sty m:val="p"/>
          </m:rPr>
          <m:t>−</m:t>
        </m:r>
        <m:r>
          <m:t>14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t>y</m:t>
        </m:r>
        <m:r>
          <m:t>e</m:t>
        </m:r>
        <m:r>
          <m:t>a</m:t>
        </m:r>
        <m:r>
          <m:t>r</m:t>
        </m:r>
      </m:oMath>
      <w:r>
        <w:t xml:space="preserve"> </w:t>
      </w:r>
      <w:r>
        <w:t xml:space="preserve">over 2009–2022 ($0.114/GB in 2009 to $0.0144/GB in</w:t>
      </w:r>
      <w:r>
        <w:t xml:space="preserve"> </w:t>
      </w:r>
      <w:r>
        <w:t xml:space="preserve">November 2022, an 87% drop). A</w:t>
      </w:r>
      <w:r>
        <w:t xml:space="preserve"> </w:t>
      </w:r>
      <m:oMath>
        <m:r>
          <m:rPr>
            <m:sty m:val="p"/>
          </m:rPr>
          <m:t>−</m:t>
        </m:r>
        <m:r>
          <m:t>31.6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t>y</m:t>
        </m:r>
        <m:r>
          <m:t>e</m:t>
        </m:r>
        <m:r>
          <m:t>a</m:t>
        </m:r>
        <m:r>
          <m:t>r</m:t>
        </m:r>
      </m:oMath>
      <w:r>
        <w:t xml:space="preserve"> </w:t>
      </w:r>
      <w:r>
        <w:t xml:space="preserve">fit on a</w:t>
      </w:r>
      <w:r>
        <w:t xml:space="preserve"> </w:t>
      </w:r>
      <w:r>
        <w:t xml:space="preserve">small subsample (df = 7) is unreconstructable from the cited series — its</w:t>
      </w:r>
      <w:r>
        <w:t xml:space="preserve"> </w:t>
      </w:r>
      <w:r>
        <w:t xml:space="preserve">1980 anchor of</w:t>
      </w:r>
      <w:r>
        <w:t xml:space="preserve"> </w:t>
      </w:r>
      <w:r>
        <w:t xml:space="preserve">“roughly $20,000/GB”</w:t>
      </w:r>
      <w:r>
        <w:t xml:space="preserve"> </w:t>
      </w:r>
      <w:r>
        <w:t xml:space="preserve">conflicts with the sourced</w:t>
      </w:r>
      <w:r>
        <w:t xml:space="preserve"> </w:t>
      </w:r>
      <w:r>
        <w:t xml:space="preserve">Komorowski 1980 rows ($152K–$700K/GB) — and is not used; the re-fit</w:t>
      </w:r>
      <w:r>
        <w:t xml:space="preserve"> </w:t>
      </w:r>
      <w:r>
        <w:t xml:space="preserve">above is the claim, with the caveat that the 2025–26 NAND shortage reversed</w:t>
      </w:r>
      <w:r>
        <w:t xml:space="preserve"> </w:t>
      </w:r>
      <w:r>
        <w:t xml:space="preserve">SSD pricing (enterprise +257%) while HDDs continued the trend (+35%)</w:t>
      </w:r>
      <w:r>
        <w:t xml:space="preserve"> </w:t>
      </w:r>
      <w:r>
        <w:t xml:space="preserve">— a 46-year pattern, not a law (storage-cost study, Supporting</w:t>
      </w:r>
      <w:r>
        <w:t xml:space="preserve"> </w:t>
      </w:r>
      <w:r>
        <w:t xml:space="preserve">Document §S.4). Declining storage cost is what makes database-per-tenant</w:t>
      </w:r>
      <w:r>
        <w:t xml:space="preserve"> </w:t>
      </w:r>
      <w:r>
        <w:t xml:space="preserve">durable history economically ordinary rather than exotic. Second,</w:t>
      </w:r>
      <w:r>
        <w:t xml:space="preserve"> </w:t>
      </w:r>
      <w:r>
        <w:t xml:space="preserve">distribution removes the incentive, not just the breach: a centralized</w:t>
      </w:r>
      <w:r>
        <w:t xml:space="preserve"> </w:t>
      </w:r>
      <w:r>
        <w:t xml:space="preserve">custodian is a honeypot whose compromise is worth $4.44M on average</w:t>
      </w:r>
      <w:r>
        <w:t xml:space="preserve"> </w:t>
      </w:r>
      <w:r>
        <w:t xml:space="preserve">globally and $10.22M in the U.S. per incident</w:t>
      </w:r>
      <w:r>
        <w:t xml:space="preserve"> </w:t>
      </w:r>
      <w:r>
        <w:t xml:space="preserve">. Perimeter</w:t>
      </w:r>
      <w:r>
        <w:t xml:space="preserve"> </w:t>
      </w:r>
      <w:r>
        <w:t xml:space="preserve">scaling answers this with more cameras and higher walls around an</w:t>
      </w:r>
      <w:r>
        <w:t xml:space="preserve"> </w:t>
      </w:r>
      <w:r>
        <w:t xml:space="preserve">ever-more-valuable target; database-per-tenant architecture deletes the</w:t>
      </w:r>
      <w:r>
        <w:t xml:space="preserve"> </w:t>
      </w:r>
      <w:r>
        <w:t xml:space="preserve">target — there is no aggregate vault whose breach amortizes an</w:t>
      </w:r>
      <w:r>
        <w:t xml:space="preserve"> </w:t>
      </w:r>
      <w:r>
        <w:t xml:space="preserve">attacker’s cost across millions of records. The expected-loss</w:t>
      </w:r>
      <w:r>
        <w:t xml:space="preserve"> </w:t>
      </w:r>
      <w:r>
        <w:t xml:space="preserve">counterpart of this static argument — what distribution does to the</w:t>
      </w:r>
      <w:r>
        <w:t xml:space="preserve"> </w:t>
      </w:r>
      <w:r>
        <w:rPr>
          <w:i/>
          <w:iCs/>
        </w:rPr>
        <w:t xml:space="preserve">probability</w:t>
      </w:r>
      <w:r>
        <w:t xml:space="preserve"> </w:t>
      </w:r>
      <w:r>
        <w:t xml:space="preserve">side of the risk equation — is quantified, with its</w:t>
      </w:r>
      <w:r>
        <w:t xml:space="preserve"> </w:t>
      </w:r>
      <w:r>
        <w:t xml:space="preserve">failure modes, in §3.9.</w:t>
      </w:r>
    </w:p>
    <w:p>
      <w:pPr>
        <w:pStyle w:val="BodyText"/>
      </w:pPr>
      <w:r>
        <w:t xml:space="preserve">A note on zero-knowledge proofs, stated precisely because the argument</w:t>
      </w:r>
      <w:r>
        <w:t xml:space="preserve"> </w:t>
      </w:r>
      <w:r>
        <w:t xml:space="preserve">is often made badly. A ZK predicate proof over a signed credential is</w:t>
      </w:r>
      <w:r>
        <w:t xml:space="preserve"> </w:t>
      </w:r>
      <w:r>
        <w:t xml:space="preserve">definitive for the predicate it proves (a range proof on an attested</w:t>
      </w:r>
      <w:r>
        <w:t xml:space="preserve"> </w:t>
      </w:r>
      <w:r>
        <w:t xml:space="preserve">date of birth conclusively establishes</w:t>
      </w:r>
      <w:r>
        <w:t xml:space="preserve"> </w:t>
      </w:r>
      <w:r>
        <w:t xml:space="preserve">“not under 21”</w:t>
      </w:r>
      <w:r>
        <w:t xml:space="preserve">); what it does</w:t>
      </w:r>
      <w:r>
        <w:t xml:space="preserve"> </w:t>
      </w:r>
      <w:r>
        <w:t xml:space="preserve">not establish is the truth of the underlying attestation, which lives</w:t>
      </w:r>
      <w:r>
        <w:t xml:space="preserve"> </w:t>
      </w:r>
      <w:r>
        <w:t xml:space="preserve">outside the proof — nor the</w:t>
      </w:r>
      <w:r>
        <w:t xml:space="preserve"> </w:t>
      </w:r>
      <w:r>
        <w:rPr>
          <w:i/>
          <w:iCs/>
        </w:rPr>
        <w:t xml:space="preserve">completeness</w:t>
      </w:r>
      <w:r>
        <w:t xml:space="preserve"> </w:t>
      </w:r>
      <w:r>
        <w:t xml:space="preserve">of the attested set</w:t>
      </w:r>
      <w:r>
        <w:t xml:space="preserve"> </w:t>
      </w:r>
      <w:r>
        <w:t xml:space="preserve">(§3.8). The practical limitation is expressivity, not soundness:</w:t>
      </w:r>
      <w:r>
        <w:t xml:space="preserve"> </w:t>
      </w:r>
      <w:r>
        <w:t xml:space="preserve">predicate proofs disclose binary answers, and heterogeneous credential</w:t>
      </w:r>
      <w:r>
        <w:t xml:space="preserve"> </w:t>
      </w:r>
      <w:r>
        <w:t xml:space="preserve">logic — professional licensure, composite standing, conditional</w:t>
      </w:r>
      <w:r>
        <w:t xml:space="preserve"> </w:t>
      </w:r>
      <w:r>
        <w:t xml:space="preserve">eligibility — is general computation, not a fixed predicate. On-chain</w:t>
      </w:r>
      <w:r>
        <w:t xml:space="preserve"> </w:t>
      </w:r>
      <w:r>
        <w:t xml:space="preserve">general-purpose runtimes (§3.4) evaluate such verification programs</w:t>
      </w:r>
      <w:r>
        <w:t xml:space="preserve"> </w:t>
      </w:r>
      <w:r>
        <w:t xml:space="preserve">directly, with ZK reserved for the disclosure-minimizing cases where it</w:t>
      </w:r>
      <w:r>
        <w:t xml:space="preserve"> </w:t>
      </w:r>
      <w:r>
        <w:t xml:space="preserve">is strictly the right tool. Selective disclosure (SD-JWT) and predicate</w:t>
      </w:r>
      <w:r>
        <w:t xml:space="preserve"> </w:t>
      </w:r>
      <w:r>
        <w:t xml:space="preserve">proofs are complementary instruments in the stack, not rivals.</w:t>
      </w:r>
    </w:p>
    <w:bookmarkEnd w:id="32"/>
    <w:bookmarkStart w:id="33" w:name="validation-compute-layer"/>
    <w:p>
      <w:pPr>
        <w:pStyle w:val="Heading2"/>
      </w:pPr>
      <w:r>
        <w:t xml:space="preserve">3.3 Validation / compute</w:t>
      </w:r>
      <w:r>
        <w:t xml:space="preserve"> </w:t>
      </w:r>
      <w:r>
        <w:t xml:space="preserve">layer</w:t>
      </w:r>
    </w:p>
    <w:p>
      <w:pPr>
        <w:pStyle w:val="FirstParagraph"/>
      </w:pPr>
      <w:r>
        <w:t xml:space="preserve">An edge-compiled evaluation engine applies the theory’s two operations</w:t>
      </w:r>
      <w:r>
        <w:t xml:space="preserve"> </w:t>
      </w:r>
      <w:r>
        <w:t xml:space="preserve">to each event: the trust-weighted expected utility for prospective</w:t>
      </w:r>
      <w:r>
        <w:t xml:space="preserve"> </w:t>
      </w:r>
      <w:r>
        <w:t xml:space="preserve">decisions, and the stability update for completed ones. Both are stated</w:t>
      </w:r>
      <w:r>
        <w:t xml:space="preserve"> </w:t>
      </w:r>
      <w:r>
        <w:t xml:space="preserve">as derived in the companion theory preprint (§2.3, Eq. (2); §M3 of the</w:t>
      </w:r>
      <w:r>
        <w:t xml:space="preserve"> </w:t>
      </w:r>
      <w:r>
        <w:t xml:space="preserve">stack’s Technical Appendix — the simulation batteries and mathematical</w:t>
      </w:r>
      <w:r>
        <w:t xml:space="preserve"> </w:t>
      </w:r>
      <w:r>
        <w:t xml:space="preserve">development cited throughout this paper, bundled in the pending</w:t>
      </w:r>
      <w:r>
        <w:t xml:space="preserve"> </w:t>
      </w:r>
      <w:r>
        <w:t xml:space="preserve">Supporting Document deposit; cited below as</w:t>
      </w:r>
      <w:r>
        <w:t xml:space="preserve"> </w:t>
      </w:r>
      <w:r>
        <w:t xml:space="preserve">“Technical Appendix, §M”</w:t>
      </w:r>
      <w:r>
        <w:t xml:space="preserve"> </w:t>
      </w:r>
      <w:r>
        <w:t xml:space="preserve">and</w:t>
      </w:r>
      <w:r>
        <w:t xml:space="preserve"> </w:t>
      </w:r>
      <w:r>
        <w:t xml:space="preserve">“Technical Appendix, Sim-Battery A/B,</w:t>
      </w:r>
      <w:r>
        <w:t xml:space="preserve"> </w:t>
      </w:r>
      <w:r>
        <w:t xml:space="preserve">Study N”</w:t>
      </w:r>
      <w:r>
        <w:t xml:space="preserve">):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Stability update (completed events):</w:t>
      </w:r>
      <w:r>
        <w:t xml:space="preserve"> </w:t>
      </w:r>
      <w:r>
        <w:t xml:space="preserve">the master-law TFP</w:t>
      </w:r>
      <w:r>
        <w:t xml:space="preserve"> </w:t>
      </w:r>
      <w:r>
        <w:t xml:space="preserve">preset,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  <m:sSubSup>
          <m:e>
            <m:r>
              <m:t>ε</m:t>
            </m:r>
          </m:e>
          <m:sub>
            <m:r>
              <m:t>t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sSubSup>
          <m:e>
            <m:r>
              <m:t>ε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dimensionless after per-domain</w:t>
      </w:r>
      <w:r>
        <w:t xml:space="preserve"> </w:t>
      </w:r>
      <w:r>
        <w:t xml:space="preserve">normalization and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(break/build</w:t>
      </w:r>
      <w:r>
        <w:t xml:space="preserve"> </w:t>
      </w:r>
      <w:r>
        <w:t xml:space="preserve">asymmetry, explicitly labeled extension). Participant-level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are estimated separately from</w:t>
      </w:r>
      <w:r>
        <w:t xml:space="preserve"> </w:t>
      </w:r>
      <w:r>
        <w:t xml:space="preserve">positive- and negative-</w:t>
      </w:r>
      <m:oMath>
        <m:r>
          <m:t>ε</m:t>
        </m:r>
      </m:oMath>
      <w:r>
        <w:t xml:space="preserve"> </w:t>
      </w:r>
      <w:r>
        <w:t xml:space="preserve">subsamples of the event history</w:t>
      </w:r>
      <w:r>
        <w:t xml:space="preserve"> </w:t>
      </w:r>
      <w:r>
        <w:t xml:space="preserve">under the state-space estimators specified in the companion theory preprint, §6 (Kalman/EM;</w:t>
      </w:r>
      <w:r>
        <w:t xml:space="preserve"> </w:t>
      </w:r>
      <w:r>
        <w:t xml:space="preserve">Bayesian hierarchical). The population-mean target for the symmetric</w:t>
      </w:r>
      <w:r>
        <w:t xml:space="preserve"> </w:t>
      </w:r>
      <w:r>
        <w:t xml:space="preserve">sensitivity is pre-registered in the companion theory preprint as</w:t>
      </w:r>
      <w:r>
        <w:t xml:space="preserve"> </w:t>
      </w:r>
      <m:oMath>
        <m:sSub>
          <m:e>
            <m:r>
              <m:t>μ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t>0.61</m:t>
        </m:r>
      </m:oMath>
      <w:r>
        <w:t xml:space="preserve"> </w:t>
      </w:r>
      <w:r>
        <w:t xml:space="preserve">with corridor</w:t>
      </w:r>
      <w:r>
        <w:t xml:space="preserve"> </w:t>
      </w:r>
      <w:r>
        <w:t xml:space="preserve">[</w:t>
      </w:r>
      <w:r>
        <w:t xml:space="preserve">0.46, 0.76</w:t>
      </w:r>
      <w:r>
        <w:t xml:space="preserve">]</w:t>
      </w:r>
      <w:r>
        <w:t xml:space="preserve"> </w:t>
      </w:r>
      <w:r>
        <w:t xml:space="preserve">— a target hypothesis whose corridor half-width is</w:t>
      </w:r>
      <w:r>
        <w:t xml:space="preserve"> </w:t>
      </w:r>
      <w:r>
        <w:t xml:space="preserve">a pre-registered smallest effect size of interest (SESOI), not a</w:t>
      </w:r>
      <w:r>
        <w:t xml:space="preserve"> </w:t>
      </w:r>
      <w:r>
        <w:t xml:space="preserve">derived constant and not a claim of this paper.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Trust-weighted expected utility (prospective decisions):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subSup"/>
              <m:subHide m:val="off"/>
              <m:supHide m:val="on"/>
            </m:naryPr>
            <m:sub>
              <m:r>
                <m:t>o</m:t>
              </m:r>
            </m:sub>
            <m:sup>
              <m:r>
                <m:t>​</m:t>
              </m:r>
            </m: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</m:nary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U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where the trust index</w:t>
      </w:r>
      <w:r>
        <w:t xml:space="preserve"> </w:t>
      </w:r>
      <m:oMath>
        <m:r>
          <m:t>ι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tanh</m:t>
        </m:r>
        <m:r>
          <m:rPr>
            <m:sty m:val="p"/>
          </m:rPr>
          <m:t>(</m:t>
        </m:r>
        <m:r>
          <m:t>w</m:t>
        </m:r>
        <m:r>
          <m:t> </m:t>
        </m:r>
        <m:acc>
          <m:accPr>
            <m:chr m:val="̃"/>
          </m:accPr>
          <m:e>
            <m:r>
              <m:t>T</m:t>
            </m:r>
          </m:e>
        </m:acc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distorts outcome</w:t>
      </w:r>
      <w:r>
        <w:t xml:space="preserve"> </w:t>
      </w:r>
      <w:r>
        <w:t xml:space="preserve">probabilities by a bounded exponential tilt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P</m:t>
              </m:r>
            </m:e>
          </m:acc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t>P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t>γ</m:t>
              </m:r>
              <m:r>
                <m:t> </m:t>
              </m:r>
              <m:r>
                <m:t>ι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(companion theory preprint, §2.3; the</w:t>
      </w:r>
      <w:r>
        <w:t xml:space="preserve"> </w:t>
      </w:r>
      <w:r>
        <w:t xml:space="preserve">symbol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is used 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reserved stack-wide for</w:t>
      </w:r>
      <w:r>
        <w:t xml:space="preserve"> </w:t>
      </w:r>
      <w:r>
        <w:t xml:space="preserve">negative expected free energy). At neutral trust (</w:t>
      </w:r>
      <m:oMath>
        <m:r>
          <m:t>ι</m:t>
        </m:r>
        <m:r>
          <m:rPr>
            <m:sty m:val="p"/>
          </m:rPr>
          <m:t>=</m:t>
        </m:r>
        <m:r>
          <m:t>0</m:t>
        </m:r>
      </m:oMath>
      <w:r>
        <w:t xml:space="preserve">) this</w:t>
      </w:r>
      <w:r>
        <w:t xml:space="preserve"> </w:t>
      </w:r>
      <w:r>
        <w:t xml:space="preserve">is exactly standard expected utility; the distortion is bounded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r>
          <m:rPr>
            <m:sty m:val="p"/>
          </m:rPr>
          <m:t>log</m:t>
        </m:r>
        <m:acc>
          <m:accPr>
            <m:chr m:val="̃"/>
          </m:accPr>
          <m:e>
            <m:r>
              <m:t>P</m:t>
            </m:r>
          </m:e>
        </m:acc>
        <m:r>
          <m:rPr>
            <m:sty m:val="p"/>
          </m:rPr>
          <m:t>/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2</m:t>
        </m:r>
        <m:r>
          <m:t>γ</m:t>
        </m:r>
        <m:r>
          <m:rPr>
            <m:sty m:val="p"/>
          </m:rPr>
          <m:t>max</m:t>
        </m:r>
        <m:r>
          <m:rPr>
            <m:sty m:val="p"/>
          </m:rPr>
          <m:t>|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|</m:t>
        </m:r>
      </m:oMath>
      <w:r>
        <w:t xml:space="preserve">, sharp form</w:t>
      </w:r>
      <w:r>
        <w:t xml:space="preserve"> </w:t>
      </w:r>
      <m:oMath>
        <m:r>
          <m:t>γ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max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−</m:t>
        </m:r>
        <m:r>
          <m:rPr>
            <m:sty m:val="p"/>
          </m:rPr>
          <m:t>min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2</m:t>
        </m:r>
        <m:r>
          <m:t>γ</m:t>
        </m:r>
        <m:r>
          <m:rPr>
            <m:sty m:val="p"/>
          </m:rPr>
          <m:t>max</m:t>
        </m:r>
        <m:r>
          <m:rPr>
            <m:sty m:val="p"/>
          </m:rPr>
          <m:t>|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|</m:t>
        </m:r>
      </m:oMath>
      <w:r>
        <w:t xml:space="preserve"> </w:t>
      </w:r>
      <w:r>
        <w:t xml:space="preserve">is the looser safe bound; the qualitative conclusions are unaffected), so trust reweights</w:t>
      </w:r>
      <w:r>
        <w:t xml:space="preserve"> </w:t>
      </w:r>
      <w:r>
        <w:t xml:space="preserve">evidence but never manufactures outcomes. The index</w:t>
      </w:r>
      <w:r>
        <w:t xml:space="preserve"> </w:t>
      </w:r>
      <m:oMath>
        <m:r>
          <m:t>ι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t xml:space="preserve">projection of the state, not the state; no single scalar is a</w:t>
      </w:r>
      <w:r>
        <w:t xml:space="preserve"> </w:t>
      </w:r>
      <w:r>
        <w:t xml:space="preserve">sufficient statistic of the dynamics (companion theory preprint, §2.3a).</w:t>
      </w:r>
    </w:p>
    <w:p>
      <w:pPr>
        <w:pStyle w:val="FirstParagraph"/>
      </w:pPr>
      <w:r>
        <w:t xml:space="preserve">This layer is the protocol’s entire contract with measurement: any</w:t>
      </w:r>
      <w:r>
        <w:t xml:space="preserve"> </w:t>
      </w:r>
      <w:r>
        <w:t xml:space="preserve">timestamped, verifiable event stream enters here, and an</w:t>
      </w:r>
      <w:r>
        <w:t xml:space="preserve"> </w:t>
      </w:r>
      <w:r>
        <w:t xml:space="preserve">application-supplied loading matrix maps the stream onto the trust</w:t>
      </w:r>
      <w:r>
        <w:t xml:space="preserve"> </w:t>
      </w:r>
      <w:r>
        <w:t xml:space="preserve">vector. Which streams an application aligns — physiological,</w:t>
      </w:r>
      <w:r>
        <w:t xml:space="preserve"> </w:t>
      </w:r>
      <w:r>
        <w:t xml:space="preserve">financial, credential, device — and which reference geometry it aligns</w:t>
      </w:r>
      <w:r>
        <w:t xml:space="preserve"> </w:t>
      </w:r>
      <w:r>
        <w:t xml:space="preserve">them against are the application’s specification, not the protocol’s;</w:t>
      </w:r>
      <w:r>
        <w:t xml:space="preserve"> </w:t>
      </w:r>
      <w:r>
        <w:t xml:space="preserve">the protocol supplies the estimator interface and the audit trail,</w:t>
      </w:r>
      <w:r>
        <w:t xml:space="preserve"> </w:t>
      </w:r>
      <w:r>
        <w:t xml:space="preserve">nothing more. The layer ships no domain model; models are</w:t>
      </w:r>
      <w:r>
        <w:t xml:space="preserve"> </w:t>
      </w:r>
      <w:r>
        <w:t xml:space="preserve">application-supplied and version-pinned, with all model versions</w:t>
      </w:r>
      <w:r>
        <w:t xml:space="preserve"> </w:t>
      </w:r>
      <w:r>
        <w:t xml:space="preserve">hash-logged for audit. (The financial application preprint, specified separately, is the worked example: it specifies the health-and-financial stream alignment that this layer</w:t>
      </w:r>
      <w:r>
        <w:t xml:space="preserve"> </w:t>
      </w:r>
      <w:r>
        <w:t xml:space="preserve">deliberately refuses to specify.) The one direct cross-domain test in</w:t>
      </w:r>
      <w:r>
        <w:t xml:space="preserve"> </w:t>
      </w:r>
      <w:r>
        <w:t xml:space="preserve">the stack (the companion biology preprint’s Sim D8 multilingual arms) failed its pre-registered</w:t>
      </w:r>
      <w:r>
        <w:t xml:space="preserve"> </w:t>
      </w:r>
      <w:r>
        <w:t xml:space="preserve">criteria; domain-generality of the estimator interface is therefore an</w:t>
      </w:r>
      <w:r>
        <w:t xml:space="preserve"> </w:t>
      </w:r>
      <w:r>
        <w:t xml:space="preserve">architectural claim, not a demonstrated one.</w:t>
      </w:r>
    </w:p>
    <w:bookmarkEnd w:id="33"/>
    <w:bookmarkStart w:id="34" w:name="settlement-and-audit-layer"/>
    <w:p>
      <w:pPr>
        <w:pStyle w:val="Heading2"/>
      </w:pPr>
      <w:r>
        <w:t xml:space="preserve">3.4 Settlement and audit</w:t>
      </w:r>
      <w:r>
        <w:t xml:space="preserve"> </w:t>
      </w:r>
      <w:r>
        <w:t xml:space="preserve">layer</w:t>
      </w:r>
    </w:p>
    <w:p>
      <w:pPr>
        <w:pStyle w:val="FirstParagraph"/>
      </w:pPr>
      <w:r>
        <w:t xml:space="preserve">State transitions of trust records are hashed to a Substrate-based</w:t>
      </w:r>
      <w:r>
        <w:t xml:space="preserve"> </w:t>
      </w:r>
      <w:r>
        <w:t xml:space="preserve">chain. The throughput evidence, stated with its transaction mix: in the</w:t>
      </w:r>
      <w:r>
        <w:t xml:space="preserve"> </w:t>
      </w:r>
      <w:r>
        <w:t xml:space="preserve">December 4, 2024</w:t>
      </w:r>
      <w:r>
        <w:t xml:space="preserve"> </w:t>
      </w:r>
      <w:r>
        <w:t xml:space="preserve">“Spammening”</w:t>
      </w:r>
      <w:r>
        <w:t xml:space="preserve"> </w:t>
      </w:r>
      <w:r>
        <w:t xml:space="preserve">live stress test on Kusama (1,933</w:t>
      </w:r>
      <w:r>
        <w:t xml:space="preserve"> </w:t>
      </w:r>
      <w:r>
        <w:t xml:space="preserve">community participants,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30 minutes, real economic value),</w:t>
      </w:r>
      <w:r>
        <w:t xml:space="preserve"> </w:t>
      </w:r>
      <w:r>
        <w:t xml:space="preserve">the network processed</w:t>
      </w:r>
      <w:r>
        <w:t xml:space="preserve"> </w:t>
      </w:r>
      <w:r>
        <w:rPr>
          <w:b/>
          <w:bCs/>
        </w:rPr>
        <w:t xml:space="preserve">143,343 transactions per second using 23</w:t>
      </w:r>
      <w:r>
        <w:rPr>
          <w:b/>
          <w:bCs/>
        </w:rPr>
        <w:t xml:space="preserve"> </w:t>
      </w:r>
      <w:r>
        <w:rPr>
          <w:b/>
          <w:bCs/>
        </w:rPr>
        <w:t xml:space="preserve">of 100 validator cores</w:t>
      </w:r>
      <w:r>
        <w:t xml:space="preserve"> </w:t>
      </w:r>
      <w:r>
        <w:t xml:space="preserve">— a measured figure, but for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(one-to-many, airdrop-style) transactions; ordinary peer-to-peer</w:t>
      </w:r>
      <w:r>
        <w:t xml:space="preserve"> </w:t>
      </w:r>
      <w:r>
        <w:t xml:space="preserve">transfers peaked at</w:t>
      </w:r>
      <w:r>
        <w:t xml:space="preserve"> </w:t>
      </w:r>
      <w:r>
        <w:rPr>
          <w:b/>
          <w:bCs/>
        </w:rPr>
        <w:t xml:space="preserve">10,920 TPS on 15 cores</w:t>
      </w:r>
      <w:r>
        <w:t xml:space="preserve"> </w:t>
      </w:r>
      <w:r>
        <w:t xml:space="preserve">in the controlled</w:t>
      </w:r>
      <w:r>
        <w:t xml:space="preserve"> </w:t>
      </w:r>
      <w:r>
        <w:t xml:space="preserve">November 26, 2024 Parity test, and the often-quoted 623,230 TPS figure</w:t>
      </w:r>
      <w:r>
        <w:t xml:space="preserve"> </w:t>
      </w:r>
      <w:r>
        <w:t xml:space="preserve">is Parity’s linear extrapolation to 100 cores, not a measurement</w:t>
      </w:r>
      <w:r>
        <w:t xml:space="preserve"> </w:t>
      </w:r>
      <w:r>
        <w:t xml:space="preserve">. Block rollups (K events per anchor; §3.7, Sim</w:t>
      </w:r>
      <w:r>
        <w:t xml:space="preserve"> </w:t>
      </w:r>
      <w:r>
        <w:t xml:space="preserve">P8) place per-validation anchoring comfortably inside the measured</w:t>
      </w:r>
      <w:r>
        <w:t xml:space="preserve"> </w:t>
      </w:r>
      <w:r>
        <w:t xml:space="preserve">envelope. End-user verification uses Smoldot light clients</w:t>
      </w:r>
      <w:r>
        <w:t xml:space="preserve"> </w:t>
      </w:r>
      <w:r>
        <w:t xml:space="preserve">, which sync and verify block headers and finality</w:t>
      </w:r>
      <w:r>
        <w:t xml:space="preserve"> </w:t>
      </w:r>
      <w:r>
        <w:t xml:space="preserve">proofs locally in the browser or on device</w:t>
      </w:r>
      <w:r>
        <w:t xml:space="preserve"> </w:t>
      </w:r>
      <w:r>
        <w:rPr>
          <w:i/>
          <w:iCs/>
        </w:rPr>
        <w:t xml:space="preserve">without trusting any</w:t>
      </w:r>
      <w:r>
        <w:rPr>
          <w:i/>
          <w:iCs/>
        </w:rPr>
        <w:t xml:space="preserve"> </w:t>
      </w:r>
      <w:r>
        <w:rPr>
          <w:i/>
          <w:iCs/>
        </w:rPr>
        <w:t xml:space="preserve">full node or RPC server</w:t>
      </w:r>
      <w:r>
        <w:t xml:space="preserve"> </w:t>
      </w:r>
      <w:r>
        <w:t xml:space="preserve">— so any participant can audit their own</w:t>
      </w:r>
      <w:r>
        <w:t xml:space="preserve"> </w:t>
      </w:r>
      <w:r>
        <w:t xml:space="preserve">record’s integrity without trusting an intermediary, the architectural</w:t>
      </w:r>
      <w:r>
        <w:t xml:space="preserve"> </w:t>
      </w:r>
      <w:r>
        <w:t xml:space="preserve">form of verifiable feedback. (No per-verification latency benchmark for Smoldot is published; no such figure is claimed here.)</w:t>
      </w:r>
    </w:p>
    <w:p>
      <w:pPr>
        <w:pStyle w:val="BodyText"/>
      </w:pPr>
      <w:r>
        <w:rPr>
          <w:b/>
          <w:bCs/>
        </w:rPr>
        <w:t xml:space="preserve">Component evidence, by evidence class.</w:t>
      </w:r>
      <w:r>
        <w:t xml:space="preserve"> </w:t>
      </w:r>
      <w:r>
        <w:t xml:space="preserve">The settlement layer’s throughput figures are measured on a live network (above). The remaining layer components are cited from official documentation and vendor benchmarks, and are labeled as such: storage-layer local queries run at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200 ns with prepared statements (Turso libSQL micro-benchmark [VENDOR BENCHMARK]); the reference state-trie implementation (NOMT) commits and proves an update of 50</w:t>
      </w:r>
      <w:r>
        <w:t xml:space="preserve">,</w:t>
      </w:r>
      <w:r>
        <w:t xml:space="preserve">000 accounts in 1.151 s —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43</w:t>
      </w:r>
      <w:r>
        <w:t xml:space="preserve">,</w:t>
      </w:r>
      <w:r>
        <w:t xml:space="preserve">000 updates/s on commodity NVMe (rob.tech benchmark [VENDOR BENCHMARK]); identity and credential components (W3C DIDs, SD-JWT, KILT-class production flows) are specified from official documentation [DOCS]. No component figure beyond these classes is claimed.</w:t>
      </w:r>
    </w:p>
    <w:p>
      <w:pPr>
        <w:pStyle w:val="BodyText"/>
      </w:pPr>
      <w:r>
        <w:rPr>
          <w:b/>
          <w:bCs/>
        </w:rPr>
        <w:t xml:space="preserve">The edge-capacity bet, stated as an estimate.</w:t>
      </w:r>
      <w:r>
        <w:t xml:space="preserve"> </w:t>
      </w:r>
      <w:r>
        <w:t xml:space="preserve">The industry’s compute trajectory is concentrated —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1</w:t>
      </w:r>
      <w:r>
        <w:t xml:space="preserve">,</w:t>
      </w:r>
      <w:r>
        <w:t xml:space="preserve">360 operational hyperscale data centers at end-2025 (Synergy Research) within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12</w:t>
      </w:r>
      <w:r>
        <w:t xml:space="preserve">,</w:t>
      </w:r>
      <w:r>
        <w:t xml:space="preserve">000 facilities worldwide (Cloudscene), with capex projected beyond $3T by 2030 (Dell’Oro) — while the already-deployed edge is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7 billion smartphones (GSMA, 2025) and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19.8 billion IoT devices (IoT Analytics, 2025) [ESTIMATE]. Aggregate device FLOPS figures are theoretical-peak and are not claimed as usable capacity; the load-bearing fact is narrower and architectural: the per-user verification workload this protocol requires — hash checks, header and finality verification, local queries at the 200 ns–millisecond scale — fits inside hardware the user already owns, so the measurement layer does not ride the datacenter capex curve.</w:t>
      </w:r>
    </w:p>
    <w:p>
      <w:pPr>
        <w:pStyle w:val="BodyText"/>
      </w:pPr>
      <w:r>
        <w:t xml:space="preserve">The choice of a Substrate/Polkadot-family chain is architectural, not</w:t>
      </w:r>
      <w:r>
        <w:t xml:space="preserve"> </w:t>
      </w:r>
      <w:r>
        <w:t xml:space="preserve">incidental. Monolithic chains (Ethereum-class) execute one homogeneous</w:t>
      </w:r>
      <w:r>
        <w:t xml:space="preserve"> </w:t>
      </w:r>
      <w:r>
        <w:t xml:space="preserve">state machine: every validator re-executes every transaction, so the</w:t>
      </w:r>
      <w:r>
        <w:t xml:space="preserve"> </w:t>
      </w:r>
      <w:r>
        <w:t xml:space="preserve">network’s throughput is bounded by a single node’s capacity, and</w:t>
      </w:r>
      <w:r>
        <w:t xml:space="preserve"> </w:t>
      </w:r>
      <w:r>
        <w:t xml:space="preserve">application diversity must be squeezed into one virtual machine’s</w:t>
      </w:r>
      <w:r>
        <w:t xml:space="preserve"> </w:t>
      </w:r>
      <w:r>
        <w:t xml:space="preserve">semantics. Polkadot-family networks are heterogeneous by construction: a</w:t>
      </w:r>
      <w:r>
        <w:t xml:space="preserve"> </w:t>
      </w:r>
      <w:r>
        <w:t xml:space="preserve">relay chain provides shared security and finality while parachains</w:t>
      </w:r>
      <w:r>
        <w:t xml:space="preserve"> </w:t>
      </w:r>
      <w:r>
        <w:t xml:space="preserve">execute independent, application-specific state-transition functions in</w:t>
      </w:r>
      <w:r>
        <w:t xml:space="preserve"> </w:t>
      </w:r>
      <w:r>
        <w:t xml:space="preserve">parallel, communicating through a native cross-consensus messaging</w:t>
      </w:r>
      <w:r>
        <w:t xml:space="preserve"> </w:t>
      </w:r>
      <w:r>
        <w:t xml:space="preserve">format (XCM)</w:t>
      </w:r>
      <w:r>
        <w:t xml:space="preserve"> </w:t>
      </w:r>
      <w:r>
        <w:t xml:space="preserve">. Two analogies make the</w:t>
      </w:r>
      <w:r>
        <w:t xml:space="preserve"> </w:t>
      </w:r>
      <w:r>
        <w:t xml:space="preserve">distinction precise. A monolithic chain is a single tree: all growth</w:t>
      </w:r>
      <w:r>
        <w:t xml:space="preserve"> </w:t>
      </w:r>
      <w:r>
        <w:t xml:space="preserve">loads onto one trunk, and a failure at the trunk is total. A</w:t>
      </w:r>
      <w:r>
        <w:t xml:space="preserve"> </w:t>
      </w:r>
      <w:r>
        <w:t xml:space="preserve">relay-plus-parachain network is a forest sharing one root system: trunks</w:t>
      </w:r>
      <w:r>
        <w:t xml:space="preserve"> </w:t>
      </w:r>
      <w:r>
        <w:t xml:space="preserve">specialize, grow in parallel, and the failure of one does not fell the</w:t>
      </w:r>
      <w:r>
        <w:t xml:space="preserve"> </w:t>
      </w:r>
      <w:r>
        <w:t xml:space="preserve">others. Equivalently: a monolithic chain is a calculator — one fixed</w:t>
      </w:r>
      <w:r>
        <w:t xml:space="preserve"> </w:t>
      </w:r>
      <w:r>
        <w:t xml:space="preserve">function set, executed serially — where a heterogeneous multichain is</w:t>
      </w:r>
      <w:r>
        <w:t xml:space="preserve"> </w:t>
      </w:r>
      <w:r>
        <w:t xml:space="preserve">a computer — a general platform on which arbitrary specialized</w:t>
      </w:r>
      <w:r>
        <w:t xml:space="preserve"> </w:t>
      </w:r>
      <w:r>
        <w:t xml:space="preserve">machines (parachains) are constructed and run concurrently under shared</w:t>
      </w:r>
      <w:r>
        <w:t xml:space="preserve"> </w:t>
      </w:r>
      <w:r>
        <w:t xml:space="preserve">security. A trust-measurement protocol that must host many domain</w:t>
      </w:r>
      <w:r>
        <w:t xml:space="preserve"> </w:t>
      </w:r>
      <w:r>
        <w:t xml:space="preserve">applications with incompatible semantics requires the second</w:t>
      </w:r>
      <w:r>
        <w:t xml:space="preserve"> </w:t>
      </w:r>
      <w:r>
        <w:t xml:space="preserve">architecture: each application can occupy purpose-built execution logic</w:t>
      </w:r>
      <w:r>
        <w:t xml:space="preserve"> </w:t>
      </w:r>
      <w:r>
        <w:t xml:space="preserve">without contending with unrelated workloads for a single global state</w:t>
      </w:r>
      <w:r>
        <w:t xml:space="preserve"> </w:t>
      </w:r>
      <w:r>
        <w:t xml:space="preserve">machine. (The account-recovery standards referenced in §6 — ERC-4337,</w:t>
      </w:r>
      <w:r>
        <w:t xml:space="preserve"> </w:t>
      </w:r>
      <w:r>
        <w:t xml:space="preserve">EIP-7702 — are account-layer design patterns adopted by reference;</w:t>
      </w:r>
      <w:r>
        <w:t xml:space="preserve"> </w:t>
      </w:r>
      <w:r>
        <w:t xml:space="preserve">their origin in the Ethereum ecosystem does not imply dependence on a</w:t>
      </w:r>
      <w:r>
        <w:t xml:space="preserve"> </w:t>
      </w:r>
      <w:r>
        <w:t xml:space="preserve">monolithic settlement layer, and they are portable to Substrate account</w:t>
      </w:r>
      <w:r>
        <w:t xml:space="preserve"> </w:t>
      </w:r>
      <w:r>
        <w:t xml:space="preserve">pallets.) Settlement of per-validation micro-fees runs on x402 rails:</w:t>
      </w:r>
      <w:r>
        <w:t xml:space="preserve"> </w:t>
      </w:r>
      <w:r>
        <w:t xml:space="preserve">x402, incubated and launched by Coinbase in May 2025, processed over 100</w:t>
      </w:r>
      <w:r>
        <w:t xml:space="preserve"> </w:t>
      </w:r>
      <w:r>
        <w:t xml:space="preserve">million payments by December 2025 and 169 million payments in its first</w:t>
      </w:r>
      <w:r>
        <w:t xml:space="preserve"> </w:t>
      </w:r>
      <w:r>
        <w:t xml:space="preserve">year (590,000 buyers, 100,000 sellers;</w:t>
      </w:r>
      <w:r>
        <w:t xml:space="preserve"> </w:t>
      </w:r>
      <w:r>
        <w:t xml:space="preserve">;</w:t>
      </w:r>
      <w:r>
        <w:t xml:space="preserve"> </w:t>
      </w:r>
      <w:r>
        <w:t xml:space="preserve">independently corroborated by</w:t>
      </w:r>
      <w:r>
        <w:t xml:space="preserve"> </w:t>
      </w:r>
      <w:r>
        <w:t xml:space="preserve"> </w:t>
      </w:r>
      <w:r>
        <w:t xml:space="preserve">on Base), with</w:t>
      </w:r>
      <w:r>
        <w:t xml:space="preserve"> </w:t>
      </w:r>
      <w:r>
        <w:t xml:space="preserve">zero protocol fees and sub-cent Layer-2 gas, making per-event settlement</w:t>
      </w:r>
      <w:r>
        <w:t xml:space="preserve"> </w:t>
      </w:r>
      <w:r>
        <w:t xml:space="preserve">economically feasible. Governance of the standard moved to the Linux</w:t>
      </w:r>
      <w:r>
        <w:t xml:space="preserve"> </w:t>
      </w:r>
      <w:r>
        <w:t xml:space="preserve">Foundation’s x402 Foundation in April 2026</w:t>
      </w:r>
      <w:r>
        <w:t xml:space="preserve"> </w:t>
      </w:r>
      <w:r>
        <w:t xml:space="preserve">,</w:t>
      </w:r>
      <w:r>
        <w:t xml:space="preserve"> </w:t>
      </w:r>
      <w:r>
        <w:t xml:space="preserve">and identity is explicitly out of the rail’s scope by design — TFP</w:t>
      </w:r>
      <w:r>
        <w:t xml:space="preserve"> </w:t>
      </w:r>
      <w:r>
        <w:t xml:space="preserve">supplies its own identity layer (§3.2) rather than inheriting one from a</w:t>
      </w:r>
      <w:r>
        <w:t xml:space="preserve"> </w:t>
      </w:r>
      <w:r>
        <w:t xml:space="preserve">payment protocol. Two notes: headline x402 volume figures are</w:t>
      </w:r>
      <w:r>
        <w:t xml:space="preserve"> </w:t>
      </w:r>
      <w:r>
        <w:t xml:space="preserve">inflated by late-2025 memecoin activity — the PING mint spike and</w:t>
      </w:r>
      <w:r>
        <w:t xml:space="preserve"> </w:t>
      </w:r>
      <w:r>
        <w:t xml:space="preserve">retry/test traffic</w:t>
      </w:r>
      <w:r>
        <w:t xml:space="preserve"> </w:t>
      </w:r>
      <w:r>
        <w:t xml:space="preserve"> </w:t>
      </w:r>
      <w:r>
        <w:t xml:space="preserve">— but the claim here rests</w:t>
      </w:r>
      <w:r>
        <w:t xml:space="preserve"> </w:t>
      </w:r>
      <w:r>
        <w:t xml:space="preserve">on demonstrated sub-cent settlement cost, a property of the rail, not of</w:t>
      </w:r>
      <w:r>
        <w:t xml:space="preserve"> </w:t>
      </w:r>
      <w:r>
        <w:t xml:space="preserve">volume composition; and the rail is a dependency, not a moat — any</w:t>
      </w:r>
      <w:r>
        <w:t xml:space="preserve"> </w:t>
      </w:r>
      <w:r>
        <w:t xml:space="preserve">micropayment layer meeting the cost envelope can substitute for it.</w:t>
      </w:r>
    </w:p>
    <w:p>
      <w:pPr>
        <w:pStyle w:val="BodyText"/>
      </w:pPr>
      <w:r>
        <w:t xml:space="preserve">Three updates keep this placement current. (i)</w:t>
      </w:r>
      <w:r>
        <w:t xml:space="preserve"> </w:t>
      </w:r>
      <w:r>
        <w:rPr>
          <w:b/>
          <w:bCs/>
        </w:rPr>
        <w:t xml:space="preserve">Execution environment.</w:t>
      </w:r>
      <w:r>
        <w:t xml:space="preserve"> </w:t>
      </w:r>
      <w:r>
        <w:t xml:space="preserve">Polkadot Hub’s Revive layer now runs a</w:t>
      </w:r>
      <w:r>
        <w:t xml:space="preserve"> </w:t>
      </w:r>
      <w:r>
        <w:t xml:space="preserve">unified dual-VM environment — a Rust implementation of the EVM for</w:t>
      </w:r>
      <w:r>
        <w:t xml:space="preserve"> </w:t>
      </w:r>
      <w:r>
        <w:t xml:space="preserve">full Solidity compatibility alongside the RISC-V-based PolkaVM for</w:t>
      </w:r>
      <w:r>
        <w:t xml:space="preserve"> </w:t>
      </w:r>
      <w:r>
        <w:t xml:space="preserve">compute-heavy workloads, accepting contracts in Solidity and Rust</w:t>
      </w:r>
      <w:r>
        <w:t xml:space="preserve"> </w:t>
      </w:r>
      <w:r>
        <w:t xml:space="preserve"> </w:t>
      </w:r>
      <w:r>
        <w:t xml:space="preserve">— so the heterogeneous-execution argument no</w:t>
      </w:r>
      <w:r>
        <w:t xml:space="preserve"> </w:t>
      </w:r>
      <w:r>
        <w:t xml:space="preserve">longer depends on a single contract language. In the interest of the</w:t>
      </w:r>
      <w:r>
        <w:t xml:space="preserve"> </w:t>
      </w:r>
      <w:r>
        <w:t xml:space="preserve">same accuracy demanded of every citation in this paper: the dedicated</w:t>
      </w:r>
      <w:r>
        <w:t xml:space="preserve"> </w:t>
      </w:r>
      <w:r>
        <w:t xml:space="preserve">Rust contract language ink! was formally discontinued —</w:t>
      </w:r>
      <w:r>
        <w:t xml:space="preserve"> </w:t>
      </w:r>
      <w:r>
        <w:t xml:space="preserve">“not being</w:t>
      </w:r>
      <w:r>
        <w:t xml:space="preserve"> </w:t>
      </w:r>
      <w:r>
        <w:t xml:space="preserve">actively developed, nor maintained”</w:t>
      </w:r>
      <w:r>
        <w:t xml:space="preserve"> </w:t>
      </w:r>
      <w:r>
        <w:t xml:space="preserve">— by the ink! Alliance on January</w:t>
      </w:r>
      <w:r>
        <w:t xml:space="preserve"> </w:t>
      </w:r>
      <w:r>
        <w:t xml:space="preserve">27, 2026, after three rejected OpenGov funding proposals</w:t>
      </w:r>
      <w:r>
        <w:t xml:space="preserve"> </w:t>
      </w:r>
      <w:r>
        <w:t xml:space="preserve">; the ecosystem’s direction is pallet-revive/PolkaVM with</w:t>
      </w:r>
      <w:r>
        <w:t xml:space="preserve"> </w:t>
      </w:r>
      <w:r>
        <w:t xml:space="preserve">Solidity compatibility. Rust-to-PolkaVM contracts continue, but the</w:t>
      </w:r>
      <w:r>
        <w:t xml:space="preserve"> </w:t>
      </w:r>
      <w:r>
        <w:t xml:space="preserve">earlier ink!-centric pathway is no longer the ecosystem’s direction, and</w:t>
      </w:r>
      <w:r>
        <w:t xml:space="preserve"> </w:t>
      </w:r>
      <w:r>
        <w:t xml:space="preserve">this paper’s argument never depended on it. Independent</w:t>
      </w:r>
      <w:r>
        <w:t xml:space="preserve"> </w:t>
      </w:r>
      <w:r>
        <w:t xml:space="preserve">developer-ecosystem tracking</w:t>
      </w:r>
      <w:r>
        <w:t xml:space="preserve"> </w:t>
      </w:r>
      <w:r>
        <w:t xml:space="preserve"> </w:t>
      </w:r>
      <w:r>
        <w:t xml:space="preserve">documents</w:t>
      </w:r>
      <w:r>
        <w:t xml:space="preserve"> </w:t>
      </w:r>
      <w:r>
        <w:t xml:space="preserve">Rust-family ecosystems rivaling EVM in active-developer share and</w:t>
      </w:r>
      <w:r>
        <w:t xml:space="preserve"> </w:t>
      </w:r>
      <w:r>
        <w:t xml:space="preserve">leading new-developer acquisition in 2024 — the talent pool is</w:t>
      </w:r>
      <w:r>
        <w:t xml:space="preserve"> </w:t>
      </w:r>
      <w:r>
        <w:t xml:space="preserve">multi-industry, not Web3-native, which is the adoption-pathway point.</w:t>
      </w:r>
      <w:r>
        <w:t xml:space="preserve"> </w:t>
      </w:r>
      <w:r>
        <w:t xml:space="preserve">(ii)</w:t>
      </w:r>
      <w:r>
        <w:t xml:space="preserve"> </w:t>
      </w:r>
      <w:r>
        <w:rPr>
          <w:b/>
          <w:bCs/>
        </w:rPr>
        <w:t xml:space="preserve">Personhood.</w:t>
      </w:r>
      <w:r>
        <w:t xml:space="preserve"> </w:t>
      </w:r>
      <w:r>
        <w:t xml:space="preserve">The Sybil question left open by the Sim P8</w:t>
      </w:r>
      <w:r>
        <w:t xml:space="preserve"> </w:t>
      </w:r>
      <w:r>
        <w:t xml:space="preserve">battery (§3.7) is being addressed at the protocol layer the stack</w:t>
      </w:r>
      <w:r>
        <w:t xml:space="preserve"> </w:t>
      </w:r>
      <w:r>
        <w:t xml:space="preserve">already sits on: Polkadot’s Proof-of-Personhood (</w:t>
      </w:r>
      <w:r>
        <w:t xml:space="preserve">“Humanity”</w:t>
      </w:r>
      <w:r>
        <w:t xml:space="preserve">)</w:t>
      </w:r>
      <w:r>
        <w:t xml:space="preserve"> </w:t>
      </w:r>
      <w:r>
        <w:t xml:space="preserve">recognizes unique humans through a weekly synchronous recognition game</w:t>
      </w:r>
      <w:r>
        <w:t xml:space="preserve"> </w:t>
      </w:r>
      <w:r>
        <w:t xml:space="preserve">with stake-weighted attestations, then proves membership through</w:t>
      </w:r>
      <w:r>
        <w:t xml:space="preserve"> </w:t>
      </w:r>
      <w:r>
        <w:t xml:space="preserve">ring-VRF context aliases — one stable pseudonymous alias per context,</w:t>
      </w:r>
      <w:r>
        <w:t xml:space="preserve"> </w:t>
      </w:r>
      <w:r>
        <w:t xml:space="preserve">unlinkable across contexts, without KYC or biometric hardware</w:t>
      </w:r>
      <w:r>
        <w:t xml:space="preserve"> </w:t>
      </w:r>
      <w:r>
        <w:t xml:space="preserve">. Personhood as a</w:t>
      </w:r>
      <w:r>
        <w:t xml:space="preserve"> </w:t>
      </w:r>
      <w:r>
        <w:t xml:space="preserve">Sybil-cost instrument and TFP’s attestation-plus-time-floor defense</w:t>
      </w:r>
      <w:r>
        <w:t xml:space="preserve"> </w:t>
      </w:r>
      <w:r>
        <w:t xml:space="preserve">(§3.7, Sim P8) are complementary: one raises the cost of being many, the</w:t>
      </w:r>
      <w:r>
        <w:t xml:space="preserve"> </w:t>
      </w:r>
      <w:r>
        <w:t xml:space="preserve">other the cost of acting as many. (iii)</w:t>
      </w:r>
      <w:r>
        <w:t xml:space="preserve"> </w:t>
      </w:r>
      <w:r>
        <w:rPr>
          <w:b/>
          <w:bCs/>
        </w:rPr>
        <w:t xml:space="preserve">Workload realism.</w:t>
      </w:r>
      <w:r>
        <w:t xml:space="preserve"> </w:t>
      </w:r>
      <w:r>
        <w:t xml:space="preserve">The</w:t>
      </w:r>
      <w:r>
        <w:t xml:space="preserve"> </w:t>
      </w:r>
      <w:r>
        <w:t xml:space="preserve">demand side is operational, not merely financial: most economically</w:t>
      </w:r>
      <w:r>
        <w:t xml:space="preserve"> </w:t>
      </w:r>
      <w:r>
        <w:t xml:space="preserve">meaningful activity is the metadata around settlement — offers,</w:t>
      </w:r>
      <w:r>
        <w:t xml:space="preserve"> </w:t>
      </w:r>
      <w:r>
        <w:t xml:space="preserve">validations, fulfillments, disputes; a shopping trip, not just the cart</w:t>
      </w:r>
      <w:r>
        <w:t xml:space="preserve"> </w:t>
      </w:r>
      <w:r>
        <w:t xml:space="preserve">checkout. Logging operational interaction at consumer scale is a</w:t>
      </w:r>
      <w:r>
        <w:t xml:space="preserve"> </w:t>
      </w:r>
      <w:r>
        <w:t xml:space="preserve">workload no single-consensus homogeneous chain can absorb; it is exactly</w:t>
      </w:r>
      <w:r>
        <w:t xml:space="preserve"> </w:t>
      </w:r>
      <w:r>
        <w:t xml:space="preserve">the heterogeneous-parallel case this section makes.</w:t>
      </w:r>
    </w:p>
    <w:p>
      <w:pPr>
        <w:pStyle w:val="BodyText"/>
      </w:pPr>
      <w:r>
        <w:t xml:space="preserve">The rails also supply the precedent for the identity layer’s cost curve.</w:t>
      </w:r>
      <w:r>
        <w:t xml:space="preserve"> </w:t>
      </w:r>
      <w:r>
        <w:t xml:space="preserve">Blockchain-plus-edge infrastructure collapsed per-payment settlement</w:t>
      </w:r>
      <w:r>
        <w:t xml:space="preserve"> </w:t>
      </w:r>
      <w:r>
        <w:t xml:space="preserve">from legacy interchange economics to sub-cent; identity and verification</w:t>
      </w:r>
      <w:r>
        <w:t xml:space="preserve"> </w:t>
      </w:r>
      <w:r>
        <w:t xml:space="preserve">ride the same infrastructure and inherit the same curve. The incumbent</w:t>
      </w:r>
      <w:r>
        <w:t xml:space="preserve"> </w:t>
      </w:r>
      <w:r>
        <w:t xml:space="preserve">pattern re-purchases identity on every query — each verification is a</w:t>
      </w:r>
      <w:r>
        <w:t xml:space="preserve"> </w:t>
      </w:r>
      <w:r>
        <w:t xml:space="preserve">fresh pull from a custodian, priced per pull. The protocol pattern</w:t>
      </w:r>
      <w:r>
        <w:t xml:space="preserve"> </w:t>
      </w:r>
      <w:r>
        <w:t xml:space="preserve">builds identity once and lets it accumulate: a DID anchored at issuance</w:t>
      </w:r>
      <w:r>
        <w:t xml:space="preserve"> </w:t>
      </w:r>
      <w:r>
        <w:t xml:space="preserve">(KILT on Substrate; enterprise verified-ID deployments such as Microsoft</w:t>
      </w:r>
      <w:r>
        <w:t xml:space="preserve"> </w:t>
      </w:r>
      <w:r>
        <w:t xml:space="preserve">Entra), credentials disclosed selectively, and every validation event</w:t>
      </w:r>
      <w:r>
        <w:t xml:space="preserve"> </w:t>
      </w:r>
      <w:r>
        <w:t xml:space="preserve">appended to the participant’s own record — so each subsequent</w:t>
      </w:r>
      <w:r>
        <w:t xml:space="preserve"> </w:t>
      </w:r>
      <w:r>
        <w:t xml:space="preserve">verification is a local read against an existing historical identity, at</w:t>
      </w:r>
      <w:r>
        <w:t xml:space="preserve"> </w:t>
      </w:r>
      <w:r>
        <w:t xml:space="preserve">marginal cost approaching the storage-read floor, rather than a new</w:t>
      </w:r>
      <w:r>
        <w:t xml:space="preserve"> </w:t>
      </w:r>
      <w:r>
        <w:t xml:space="preserve">purchase. Payment settlement already demonstrated that this cost</w:t>
      </w:r>
      <w:r>
        <w:t xml:space="preserve"> </w:t>
      </w:r>
      <w:r>
        <w:t xml:space="preserve">collapse is real and not rhetorical; verification is the next quantity</w:t>
      </w:r>
      <w:r>
        <w:t xml:space="preserve"> </w:t>
      </w:r>
      <w:r>
        <w:t xml:space="preserve">on the same curve, and the comparison is maintained as frozen print</w:t>
      </w:r>
      <w:r>
        <w:t xml:space="preserve"> </w:t>
      </w:r>
      <w:r>
        <w:t xml:space="preserve">figures (§5.2) plus the supplementary versioned calculator.</w:t>
      </w:r>
    </w:p>
    <w:bookmarkEnd w:id="34"/>
    <w:bookmarkStart w:id="35" w:name="X4078f57424f4d6e1ccadb179564d0e8612e7963"/>
    <w:p>
      <w:pPr>
        <w:pStyle w:val="Heading2"/>
      </w:pPr>
      <w:r>
        <w:t xml:space="preserve">3.5 Governance and interoperability — what is and is not</w:t>
      </w:r>
      <w:r>
        <w:t xml:space="preserve"> </w:t>
      </w:r>
      <w:r>
        <w:t xml:space="preserve">delivered</w:t>
      </w:r>
    </w:p>
    <w:p>
      <w:pPr>
        <w:pStyle w:val="FirstParagraph"/>
      </w:pPr>
      <w:r>
        <w:rPr>
          <w:b/>
          <w:bCs/>
        </w:rPr>
        <w:t xml:space="preserve">What the protocol delivers</w:t>
      </w:r>
      <w:r>
        <w:t xml:space="preserve"> </w:t>
      </w:r>
      <w:r>
        <w:t xml:space="preserve">is</w:t>
      </w:r>
      <w:r>
        <w:t xml:space="preserve"> </w:t>
      </w:r>
      <w:r>
        <w:t xml:space="preserve">governance-</w:t>
      </w:r>
      <w:r>
        <w:rPr>
          <w:i/>
          <w:iCs/>
        </w:rPr>
        <w:t xml:space="preserve">by-design</w:t>
      </w:r>
      <w:r>
        <w:t xml:space="preserve"> </w:t>
      </w:r>
      <w:r>
        <w:t xml:space="preserve">at the participant level: open standards</w:t>
      </w:r>
      <w:r>
        <w:t xml:space="preserve"> </w:t>
      </w:r>
      <w:r>
        <w:t xml:space="preserve">only (W3C DID/VC, SQL, Substrate/XCM); user-owned custody with</w:t>
      </w:r>
      <w:r>
        <w:t xml:space="preserve"> </w:t>
      </w:r>
      <w:r>
        <w:t xml:space="preserve">device-held keys; user-visible access logs hashed on-chain, converting</w:t>
      </w:r>
      <w:r>
        <w:t xml:space="preserve"> </w:t>
      </w:r>
      <w:r>
        <w:t xml:space="preserve">covert observation into accountable observation; and data-residency</w:t>
      </w:r>
      <w:r>
        <w:t xml:space="preserve"> </w:t>
      </w:r>
      <w:r>
        <w:t xml:space="preserve">compatible with the EO 14117 / DOJ Data Security Program</w:t>
      </w:r>
      <w:r>
        <w:t xml:space="preserve"> </w:t>
      </w:r>
      <w:r>
        <w:t xml:space="preserve"> </w:t>
      </w:r>
      <w:r>
        <w:t xml:space="preserve">by construction through</w:t>
      </w:r>
      <w:r>
        <w:t xml:space="preserve"> </w:t>
      </w:r>
      <w:r>
        <w:t xml:space="preserve">region-pinned replicas. Domain-specific compliance (financial, health,</w:t>
      </w:r>
      <w:r>
        <w:t xml:space="preserve"> </w:t>
      </w:r>
      <w:r>
        <w:t xml:space="preserve">employment) is an application-layer concern and is specified per</w:t>
      </w:r>
      <w:r>
        <w:t xml:space="preserve"> </w:t>
      </w:r>
      <w:r>
        <w:t xml:space="preserve">application — for finance, in the financial application preprint (specified separately).</w:t>
      </w:r>
    </w:p>
    <w:p>
      <w:pPr>
        <w:pStyle w:val="BodyText"/>
      </w:pPr>
      <w:r>
        <w:rPr>
          <w:b/>
          <w:bCs/>
        </w:rPr>
        <w:t xml:space="preserve">What the protocol does not deliver, stated plainly:</w:t>
      </w:r>
      <w:r>
        <w:t xml:space="preserve"> </w:t>
      </w:r>
      <w:r>
        <w:t xml:space="preserve">protocol-level governance — amendment procedures, parameter-setting</w:t>
      </w:r>
      <w:r>
        <w:t xml:space="preserve"> </w:t>
      </w:r>
      <w:r>
        <w:t xml:space="preserve">(e.g., who sets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/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defaults, fee schedules,</w:t>
      </w:r>
      <w:r>
        <w:t xml:space="preserve"> </w:t>
      </w:r>
      <w:r>
        <w:t xml:space="preserve">event-schema registration policy), upgrade authority, and dispute</w:t>
      </w:r>
      <w:r>
        <w:t xml:space="preserve"> </w:t>
      </w:r>
      <w:r>
        <w:t xml:space="preserve">resolution over the protocol itself — is out of scope for this paper</w:t>
      </w:r>
      <w:r>
        <w:t xml:space="preserve"> </w:t>
      </w:r>
      <w:r>
        <w:t xml:space="preserve">and is future work. The stack also carries</w:t>
      </w:r>
      <w:r>
        <w:t xml:space="preserve"> </w:t>
      </w:r>
      <w:r>
        <w:rPr>
          <w:b/>
          <w:bCs/>
        </w:rPr>
        <w:t xml:space="preserve">inherited trust</w:t>
      </w:r>
      <w:r>
        <w:rPr>
          <w:b/>
          <w:bCs/>
        </w:rPr>
        <w:t xml:space="preserve"> </w:t>
      </w:r>
      <w:r>
        <w:rPr>
          <w:b/>
          <w:bCs/>
        </w:rPr>
        <w:t xml:space="preserve">assumptions</w:t>
      </w:r>
      <w:r>
        <w:t xml:space="preserve"> </w:t>
      </w:r>
      <w:r>
        <w:t xml:space="preserve">that distribution does not remove: the relay-chain and SDK</w:t>
      </w:r>
      <w:r>
        <w:t xml:space="preserve"> </w:t>
      </w:r>
      <w:r>
        <w:t xml:space="preserve">infrastructure maintained by Parity Technologies; the x402 Foundation</w:t>
      </w:r>
      <w:r>
        <w:t xml:space="preserve"> </w:t>
      </w:r>
      <w:r>
        <w:t xml:space="preserve">and its facilitators (a single facilitator currently processes over half</w:t>
      </w:r>
      <w:r>
        <w:t xml:space="preserve"> </w:t>
      </w:r>
      <w:r>
        <w:t xml:space="preserve">of x402 volume — a concentration caveat, not a protocol fee); and the</w:t>
      </w:r>
      <w:r>
        <w:t xml:space="preserve"> </w:t>
      </w:r>
      <w:r>
        <w:t xml:space="preserve">data aggregators and providers who sign attestation events (§3.8). These</w:t>
      </w:r>
      <w:r>
        <w:t xml:space="preserve"> </w:t>
      </w:r>
      <w:r>
        <w:t xml:space="preserve">are named here as dependencies in the threat model of §3.9, not waved</w:t>
      </w:r>
      <w:r>
        <w:t xml:space="preserve"> </w:t>
      </w:r>
      <w:r>
        <w:t xml:space="preserve">away by the word</w:t>
      </w:r>
      <w:r>
        <w:t xml:space="preserve"> </w:t>
      </w:r>
      <w:r>
        <w:t xml:space="preserve">“decentralized.”</w:t>
      </w:r>
    </w:p>
    <w:bookmarkEnd w:id="35"/>
    <w:bookmarkStart w:id="56" w:name="X145a67bb1db1c6ea154ff4274c28fce2d12033d"/>
    <w:p>
      <w:pPr>
        <w:pStyle w:val="Heading2"/>
      </w:pPr>
      <w:r>
        <w:t xml:space="preserve">3.6 Simulation environment and population-level results</w:t>
      </w:r>
      <w:r>
        <w:t xml:space="preserve"> </w:t>
      </w:r>
      <w:r>
        <w:t xml:space="preserve">[</w:t>
      </w:r>
      <w:r>
        <w:t xml:space="preserve">SIMULATION</w:t>
      </w:r>
      <w:r>
        <w:t xml:space="preserve">]</w:t>
      </w:r>
    </w:p>
    <w:p>
      <w:pPr>
        <w:pStyle w:val="FirstParagraph"/>
      </w:pPr>
      <w:r>
        <w:t xml:space="preserve">Protocol dynamics are studied in an agent-based model before deployment:</w:t>
      </w:r>
      <w:r>
        <w:t xml:space="preserve"> </w:t>
      </w:r>
      <w:r>
        <w:t xml:space="preserve">agents whose trust vectors evolve per the master-law stability update</w:t>
      </w:r>
      <w:r>
        <w:t xml:space="preserve"> </w:t>
      </w:r>
      <w:r>
        <w:t xml:space="preserve">(§2) and whose alignment phases follow the Kuramoto rule (companion theory preprint, §3.4, full-circle stereographic phase assignment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arctan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) interact under</w:t>
      </w:r>
      <w:r>
        <w:t xml:space="preserve"> </w:t>
      </w:r>
      <w:r>
        <w:t xml:space="preserve">configurable fraud, latency, and observation-salience distributions.</w:t>
      </w:r>
      <w:r>
        <w:t xml:space="preserve"> </w:t>
      </w:r>
      <w:r>
        <w:t xml:space="preserve">Simulation outputs are labeled projections that generate hypotheses for</w:t>
      </w:r>
      <w:r>
        <w:t xml:space="preserve"> </w:t>
      </w:r>
      <w:r>
        <w:t xml:space="preserve">pilot studies; no simulation result is reported as a system result. Test</w:t>
      </w:r>
      <w:r>
        <w:t xml:space="preserve"> </w:t>
      </w:r>
      <w:r>
        <w:t xml:space="preserve">batteries are numbered Sim P1–P8 (stack-wide registry: P = the protocol</w:t>
      </w:r>
      <w:r>
        <w:t xml:space="preserve"> </w:t>
      </w:r>
      <w:r>
        <w:t xml:space="preserve">layer). In the current ABM the phase layer is decoupled from the</w:t>
      </w:r>
      <w:r>
        <w:t xml:space="preserve"> </w:t>
      </w:r>
      <w:r>
        <w:t xml:space="preserve">master-law layer: every R reported below is a Kuramoto result on</w:t>
      </w:r>
      <w:r>
        <w:t xml:space="preserve"> </w:t>
      </w:r>
      <w:r>
        <w:t xml:space="preserve">stereographically initialized phases with natural frequencies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have no trust-theoretic counterpart (companion theory preprint, §3.4);</w:t>
      </w:r>
      <w:r>
        <w:t xml:space="preserve"> </w:t>
      </w:r>
      <w:r>
        <w:t xml:space="preserve">coupling the two layers is registered future work. p-values in this</w:t>
      </w:r>
      <w:r>
        <w:t xml:space="preserve"> </w:t>
      </w:r>
      <w:r>
        <w:t xml:space="preserve">section are uncorrected for multiplicity (the companion biology preprint, §4.6’s family, does not</w:t>
      </w:r>
      <w:r>
        <w:t xml:space="preserve"> </w:t>
      </w:r>
      <w:r>
        <w:t xml:space="preserve">include them).</w:t>
      </w:r>
    </w:p>
    <w:p>
      <w:pPr>
        <w:pStyle w:val="BodyText"/>
      </w:pPr>
      <w:r>
        <w:rPr>
          <w:b/>
          <w:bCs/>
        </w:rPr>
        <w:t xml:space="preserve">The coherence claim, stated with its controls.</w:t>
      </w:r>
      <w:r>
        <w:t xml:space="preserve"> </w:t>
      </w:r>
      <w:r>
        <w:t xml:space="preserve">H1 (§1.4)</w:t>
      </w:r>
      <w:r>
        <w:t xml:space="preserve"> </w:t>
      </w:r>
      <w:r>
        <w:t xml:space="preserve">claims that coupling produces coherence and that observation leakage degrades</w:t>
      </w:r>
      <w:r>
        <w:t xml:space="preserve"> </w:t>
      </w:r>
      <w:r>
        <w:t xml:space="preserve">it. Kuramoto coupling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information sharing, so the coherence claim</w:t>
      </w:r>
      <w:r>
        <w:t xml:space="preserve"> </w:t>
      </w:r>
      <w:r>
        <w:t xml:space="preserve">and the privacy claim are tested by different arms — coherence by the coupled</w:t>
      </w:r>
      <w:r>
        <w:t xml:space="preserve"> </w:t>
      </w:r>
      <w:r>
        <w:t xml:space="preserve">arm (Sim P1), privacy by the</w:t>
      </w:r>
      <w:r>
        <w:t xml:space="preserve"> </w:t>
      </w:r>
      <w:r>
        <w:rPr>
          <w:i/>
          <w:iCs/>
        </w:rPr>
        <w:t xml:space="preserve">leakage-graded</w:t>
      </w:r>
      <w:r>
        <w:t xml:space="preserve"> </w:t>
      </w:r>
      <w:r>
        <w:t xml:space="preserve">arm (Sim P1b, below). The</w:t>
      </w:r>
      <w:r>
        <w:t xml:space="preserve"> </w:t>
      </w:r>
      <w:r>
        <w:t xml:space="preserve">control baseline matters. A half-circle phase-initialization map</w:t>
      </w:r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∝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</m:oMath>
      <w:r>
        <w:t xml:space="preserve">) inflates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“incoherent control”</w:t>
      </w:r>
      <w:r>
        <w:t xml:space="preserve"> </w:t>
      </w:r>
      <w:r>
        <w:t xml:space="preserve">to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0.635</m:t>
        </m:r>
      </m:oMath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0.014</w:t>
      </w:r>
      <w:r>
        <w:t xml:space="preserve"> </w:t>
      </w:r>
      <w:r>
        <w:t xml:space="preserve">(200-seed ensemble) — an artifact that would report strong coherence in a</w:t>
      </w:r>
      <w:r>
        <w:t xml:space="preserve"> </w:t>
      </w:r>
      <w:r>
        <w:t xml:space="preserve">fully uncoupled population. The full-circle stereographic map gives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0.040</m:t>
        </m:r>
      </m:oMath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0.021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</m:oMath>
      <w:r>
        <w:t xml:space="preserve"> </w:t>
      </w:r>
      <w:r>
        <w:t xml:space="preserve">at the finite-size floor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500</m:t>
            </m:r>
          </m:e>
        </m:rad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0.045; raw uniform phases give</w:t>
      </w:r>
      <w:r>
        <w:t xml:space="preserve"> </w:t>
      </w:r>
      <m:oMath>
        <m:r>
          <m:t>0.039</m:t>
        </m:r>
        <m:r>
          <m:rPr>
            <m:sty m:val="p"/>
          </m:rPr>
          <m:t>±</m:t>
        </m:r>
        <m:r>
          <m:t>0.020</m:t>
        </m:r>
        <m:r>
          <m:rPr>
            <m:sty m:val="p"/>
          </m:rPr>
          <m:t>,</m:t>
        </m:r>
      </m:oMath>
      <w:r>
        <w:t xml:space="preserve"> </w:t>
      </w:r>
      <w:r>
        <w:t xml:space="preserve">matching Sim P1’s isolated control (</w:t>
      </w:r>
      <m:oMath>
        <m:r>
          <m:t>R</m:t>
        </m:r>
        <m:r>
          <m:rPr>
            <m:sty m:val="p"/>
          </m:rPr>
          <m:t>=</m:t>
        </m:r>
        <m:r>
          <m:t>0.032</m:t>
        </m:r>
        <m:r>
          <m:rPr>
            <m:sty m:val="p"/>
          </m:rPr>
          <m:t>,</m:t>
        </m:r>
      </m:oMath>
      <w:r>
        <w:t xml:space="preserve"> </w:t>
      </w:r>
      <w:r>
        <w:t xml:space="preserve">raw</w:t>
      </w:r>
      <w:r>
        <w:t xml:space="preserve"> </w:t>
      </w:r>
      <w:r>
        <w:t xml:space="preserve">uniform phases). The control baseline for all coherence claims here is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0.03–0.05, not 0.63.</w:t>
      </w:r>
    </w:p>
    <w:p>
      <w:pPr>
        <w:pStyle w:val="BodyText"/>
      </w:pPr>
      <w:r>
        <w:t xml:space="preserve">A population run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agents; per-event validation settlement on</w:t>
      </w:r>
      <w:r>
        <w:t xml:space="preserve"> </w:t>
      </w:r>
      <w:r>
        <w:t xml:space="preserve">x402-class rails; per-tenant trust records; 20% adversarial event rate;</w:t>
      </w:r>
      <w:r>
        <w:t xml:space="preserve"> </w:t>
      </w:r>
      <w:r>
        <w:t xml:space="preserve">criteria pre-registered in code before the reported runs — full</w:t>
      </w:r>
      <w:r>
        <w:t xml:space="preserve"> </w:t>
      </w:r>
      <w:r>
        <w:t xml:space="preserve">protocol and audit trail in the Supporting Document, §L) tested the</w:t>
      </w:r>
      <w:r>
        <w:t xml:space="preserve"> </w:t>
      </w:r>
      <w:r>
        <w:t xml:space="preserve">protocol’s first three headline targets:</w:t>
      </w:r>
    </w:p>
    <w:bookmarkStart w:id="39" w:name="fig:p1"/>
    <w:p>
      <w:pPr>
        <w:pStyle w:val="CaptionedFigure"/>
      </w:pPr>
      <w:r>
        <w:drawing>
          <wp:inline>
            <wp:extent cx="4907280" cy="153966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ures/figP1_coherenc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53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4.</w:t>
      </w:r>
      <w:r>
        <w:t xml:space="preserve"> </w:t>
      </w:r>
      <w:r>
        <w:t xml:space="preserve">Sim P1 (§3.6): the Kuramoto order parameter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under protocol coupling (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) versus the isolated control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across 8 replicas, with steady-state distributions (coupled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0.739</m:t>
        </m:r>
        <m:r>
          <m:rPr>
            <m:sty m:val="p"/>
          </m:rPr>
          <m:t>±</m:t>
        </m:r>
        <m:r>
          <m:t>0.029</m:t>
        </m:r>
      </m:oMath>
      <w:r>
        <w:t xml:space="preserve">; isolated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0.040</m:t>
        </m:r>
        <m:r>
          <m:rPr>
            <m:sty m:val="p"/>
          </m:rPr>
          <m:t>±</m:t>
        </m:r>
        <m:r>
          <m:t>0.001</m:t>
        </m:r>
      </m:oMath>
      <w:r>
        <w:t xml:space="preserve">, at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  <m:r>
          <m:t>0.045</m:t>
        </m:r>
      </m:oMath>
      <w:r>
        <w:t xml:space="preserve"> </w:t>
      </w:r>
      <w:r>
        <w:t xml:space="preserve">finite-size floor) and the phase-map-control side panel: the half-circle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n</m:t>
        </m:r>
      </m:oMath>
      <w:r>
        <w:t xml:space="preserve"> </w:t>
      </w:r>
      <w:r>
        <w:t xml:space="preserve">initialization reports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0.638</m:t>
        </m:r>
        <m:r>
          <m:rPr>
            <m:sty m:val="p"/>
          </m:rPr>
          <m:t>±</m:t>
        </m:r>
        <m:r>
          <m:t>0.014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(200 seeds), while the corrected stereographic map (</w:t>
      </w:r>
      <m:oMath>
        <m:r>
          <m:t>0.040</m:t>
        </m:r>
        <m:r>
          <m:rPr>
            <m:sty m:val="p"/>
          </m:rPr>
          <m:t>±</m:t>
        </m:r>
        <m:r>
          <m:t>0.020</m:t>
        </m:r>
      </m:oMath>
      <w:r>
        <w:t xml:space="preserve">) and raw uniform phases (</w:t>
      </w:r>
      <m:oMath>
        <m:r>
          <m:t>0.039</m:t>
        </m:r>
        <m:r>
          <m:rPr>
            <m:sty m:val="p"/>
          </m:rPr>
          <m:t>±</m:t>
        </m:r>
        <m:r>
          <m:t>0.020</m:t>
        </m:r>
      </m:oMath>
      <w:r>
        <w:t xml:space="preserve">) sit at the floor. Verification re-run, seed 42.</w:t>
      </w:r>
    </w:p>
    <w:bookmarkEnd w:id="39"/>
    <w:bookmarkStart w:id="43" w:name="fig:pas"/>
    <w:p>
      <w:pPr>
        <w:pStyle w:val="CaptionedFigure"/>
      </w:pPr>
      <w:r>
        <w:drawing>
          <wp:inline>
            <wp:extent cx="4907280" cy="318538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/tfp_pas_coherenc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85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5.</w:t>
      </w:r>
      <w:r>
        <w:t xml:space="preserve"> </w:t>
      </w:r>
      <w:r>
        <w:t xml:space="preserve">Partial attestations compose into coherence (§3.6, Sim P1; schematic). Each provider-signed event fixes one agent-local phase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arctan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 bilateral validation edges are the Kuramoto coupling</w:t>
      </w:r>
      <w:r>
        <w:t xml:space="preserve"> </w:t>
      </w:r>
      <m:oMath>
        <m:r>
          <m:t>K</m:t>
        </m:r>
      </m:oMath>
      <w:r>
        <w:t xml:space="preserve">; the order parameter</w:t>
      </w:r>
      <w:r>
        <w:t xml:space="preserve"> </w:t>
      </w:r>
      <m:oMath>
        <m:r>
          <m:t>R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i</m:t>
            </m:r>
            <m:r>
              <m:rPr>
                <m:sty m:val="p"/>
              </m:rP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t>i</m:t>
                </m:r>
                <m:sSub>
                  <m:e>
                    <m:r>
                      <m:t>θ</m:t>
                    </m:r>
                  </m:e>
                  <m:sub>
                    <m:r>
                      <m:t>k</m:t>
                    </m:r>
                  </m:sub>
                </m:sSub>
              </m:sup>
            </m:sSup>
          </m:e>
        </m:nary>
      </m:oMath>
      <w:r>
        <w:t xml:space="preserve"> </w:t>
      </w:r>
      <w:r>
        <w:t xml:space="preserve">measures population alignment. Schematic phase renderings: isolated agents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sit at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incoherent floor (</w:t>
      </w:r>
      <m:oMath>
        <m:r>
          <m:t>R</m:t>
        </m:r>
        <m:r>
          <m:rPr>
            <m:sty m:val="p"/>
          </m:rPr>
          <m:t>≈</m:t>
        </m:r>
        <m:r>
          <m:t>0.04</m:t>
        </m:r>
      </m:oMath>
      <w:r>
        <w:t xml:space="preserve">); the coupled population (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) phase-locks (</w:t>
      </w:r>
      <m:oMath>
        <m:r>
          <m:t>R</m:t>
        </m:r>
        <m:r>
          <m:rPr>
            <m:sty m:val="p"/>
          </m:rPr>
          <m:t>=</m:t>
        </m:r>
        <m:r>
          <m:t>0.739</m:t>
        </m:r>
        <m:r>
          <m:rPr>
            <m:sty m:val="p"/>
          </m:rPr>
          <m:t>±</m:t>
        </m:r>
        <m:r>
          <m:t>0.029</m:t>
        </m:r>
      </m:oMath>
      <w:r>
        <w:t xml:space="preserve">, Sim P1 verification re-run). Coherence is a property of the coupling, not of the agents, and is fragile to leakage (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ℓ</m:t>
        </m:r>
        <m:r>
          <m:rPr>
            <m:sty m:val="p"/>
          </m:rPr>
          <m:t>)</m:t>
        </m:r>
      </m:oMath>
      <w:r>
        <w:t xml:space="preserve">; the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band at the operating point, Sim P1b); phases accrue from attested events in wall-clock time (the Sim P8 time floor), so accumulation cannot be compressed except by parallel-provider collusion (§3.7 caveat). Phase arrows are seeded schematic draws; only the printed re-run values are measured.</w:t>
      </w:r>
    </w:p>
    <w:bookmarkEnd w:id="43"/>
    <w:bookmarkStart w:id="47" w:name="fig:leak"/>
    <w:p>
      <w:pPr>
        <w:pStyle w:val="CaptionedFigure"/>
      </w:pPr>
      <w:r>
        <w:drawing>
          <wp:inline>
            <wp:extent cx="4907280" cy="3679316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tfp_leakage_mode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67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6.</w:t>
      </w:r>
      <w:r>
        <w:t xml:space="preserve"> </w:t>
      </w:r>
      <w:r>
        <w:t xml:space="preserve">The observation-leakage model (§3.6, Sim P1b; supports §3.8–3.9). Top: leakage</w:t>
      </w:r>
      <w:r>
        <w:t xml:space="preserve"> </w:t>
      </w:r>
      <m:oMath>
        <m:r>
          <m:t>ℓ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degrades the feedback channel two compounding ways — coupling attenuation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and observation noise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π</m:t>
        </m:r>
        <m:r>
          <m:t>ℓ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— so the adversary’s view decorrelates from the true state as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rises (at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η</m:t>
            </m:r>
          </m:sub>
        </m:sSub>
        <m:r>
          <m:rPr>
            <m:sty m:val="p"/>
          </m:rPr>
          <m:t>≈</m:t>
        </m:r>
        <m:r>
          <m:t>1.41</m:t>
        </m:r>
      </m:oMath>
      <w:r>
        <w:t xml:space="preserve"> </w:t>
      </w:r>
      <w:r>
        <w:t xml:space="preserve">rad). Middle: what each stored artifact reveals — a provider-signed event reveals that event’s existence and authenticity only; a hash anchor reveals that a transition occurred, never content; an opt-in aggregate-liability predicate reveals one predicate bit (minimal-disclosure path) — versus the custodial path, where one compromise of the full-record vault exposes 100% of records (Equifax 2017 anchor; per-tenant conditional exposure 0.2%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, Sim P2). Bottom: the leakage budget, model-internal: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no field operationalization, and the mapping from the four responses (§4) (or from</w:t>
      </w:r>
      <w:r>
        <w:t xml:space="preserve"> </w:t>
      </w:r>
      <m:oMath>
        <m:r>
          <m:t>m</m:t>
        </m:r>
      </m:oMath>
      <w:r>
        <w:t xml:space="preserve">/</w:t>
      </w:r>
      <m:oMath>
        <m:r>
          <m:t>ψ</m:t>
        </m:r>
      </m:oMath>
      <w:r>
        <w:t xml:space="preserve">) to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an unmeasured assumption; in the model,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0.7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t xml:space="preserve">requires</w:t>
      </w:r>
      <w:r>
        <w:t xml:space="preserve"> </w:t>
      </w:r>
      <m:oMath>
        <m:r>
          <m:t>ℓ</m:t>
        </m:r>
        <m:r>
          <m:rPr>
            <m:sty m:val="p"/>
          </m:rPr>
          <m:t>≲</m:t>
        </m:r>
        <m:r>
          <m:t>0.02</m:t>
        </m:r>
      </m:oMath>
      <w:r>
        <w:t xml:space="preserve">–</w:t>
      </w:r>
      <m:oMath>
        <m:r>
          <m:t>0.10</m:t>
        </m:r>
      </m:oMath>
      <w:r>
        <w:t xml:space="preserve">.</w:t>
      </w:r>
    </w:p>
    <w:bookmarkEnd w:id="47"/>
    <w:bookmarkStart w:id="51" w:name="fig:p1b"/>
    <w:p>
      <w:pPr>
        <w:pStyle w:val="CaptionedFigure"/>
      </w:pPr>
      <w:r>
        <w:drawing>
          <wp:inline>
            <wp:extent cx="4907280" cy="199988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ures/figP1b_surfac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999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7.</w:t>
      </w:r>
      <w:r>
        <w:t xml:space="preserve"> </w:t>
      </w:r>
      <w:r>
        <w:t xml:space="preserve">Sim P1b (§3.6): the coherence surface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t>ℓ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/</m:t>
        </m:r>
        <m:r>
          <m:t>0.7</m:t>
        </m:r>
      </m:oMath>
      <w:r>
        <w:t xml:space="preserve"> </w:t>
      </w:r>
      <w:r>
        <w:t xml:space="preserve">contours and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t xml:space="preserve">operating point marked, and the leakage-fragility slice with the crossing band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r>
          <m:t>0.02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]</m:t>
        </m:r>
      </m:oMath>
      <w:r>
        <w:t xml:space="preserve"> </w:t>
      </w:r>
      <w:r>
        <w:t xml:space="preserve">(9-seed fine scan). Leakage model: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plus observation noise</w:t>
      </w:r>
      <w:r>
        <w:t xml:space="preserve"> </w:t>
      </w:r>
      <m:oMath>
        <m:sSub>
          <m:e>
            <m:r>
              <m:t>σ</m:t>
            </m:r>
          </m:e>
          <m:sub>
            <m:r>
              <m:t>η</m:t>
            </m:r>
          </m:sub>
        </m:sSub>
        <m:r>
          <m:rPr>
            <m:sty m:val="p"/>
          </m:rPr>
          <m:t>=</m:t>
        </m:r>
        <m:r>
          <m:t>π</m:t>
        </m:r>
        <m:r>
          <m:t>ℓ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redrawn every timestep;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,</w:t>
      </w:r>
      <w:r>
        <w:t xml:space="preserve"> </w:t>
      </w:r>
      <m:oMath>
        <m:r>
          <m:t>ω</m:t>
        </m:r>
        <m:r>
          <m:rPr>
            <m:sty m:val="p"/>
          </m:rPr>
          <m:t>∼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stereographic initialization,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0.05</m:t>
        </m:r>
      </m:oMath>
      <w:r>
        <w:t xml:space="preserve">. Robust regions (two independent seeded re-renders; point precision not resolvable at these N):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0.7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ℓ</m:t>
        </m:r>
        <m:r>
          <m:rPr>
            <m:sty m:val="p"/>
          </m:rPr>
          <m:t>≈</m:t>
        </m:r>
        <m:r>
          <m:t>0.22</m:t>
        </m:r>
        <m:r>
          <m:rPr>
            <m:nor/>
            <m:sty m:val="p"/>
          </m:rPr>
          <m:t>–</m:t>
        </m:r>
        <m:r>
          <m:t>0.28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ℓ</m:t>
        </m:r>
        <m:r>
          <m:rPr>
            <m:sty m:val="p"/>
          </m:rPr>
          <m:t>≈</m:t>
        </m:r>
        <m:r>
          <m:t>0.30</m:t>
        </m:r>
        <m:r>
          <m:rPr>
            <m:nor/>
            <m:sty m:val="p"/>
          </m:rPr>
          <m:t>–</m:t>
        </m:r>
        <m:r>
          <m:t>0.40</m:t>
        </m:r>
      </m:oMath>
      <w:r>
        <w:t xml:space="preserve">; the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contour sits at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5.0</m:t>
        </m:r>
        <m:r>
          <m:rPr>
            <m:nor/>
            <m:sty m:val="p"/>
          </m:rPr>
          <m:t>–</m:t>
        </m:r>
        <m:r>
          <m:t>5.5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=</m:t>
        </m:r>
        <m:r>
          <m:t>0.1</m:t>
        </m:r>
      </m:oMath>
      <w:r>
        <w:t xml:space="preserve">) and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5.9</m:t>
        </m:r>
        <m:r>
          <m:rPr>
            <m:nor/>
            <m:sty m:val="p"/>
          </m:rPr>
          <m:t>–</m:t>
        </m:r>
        <m:r>
          <m:t>7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=</m:t>
        </m:r>
        <m:r>
          <m:t>0.2</m:t>
        </m:r>
      </m:oMath>
      <w:r>
        <w:t xml:space="preserve">), retreating off-grid (</w:t>
      </w:r>
      <m:oMath>
        <m:r>
          <m:t>K</m:t>
        </m:r>
        <m:r>
          <m:rPr>
            <m:sty m:val="p"/>
          </m:rPr>
          <m:t>&gt;</m:t>
        </m:r>
        <m:r>
          <m:t>8</m:t>
        </m:r>
      </m:oMath>
      <w:r>
        <w:t xml:space="preserve">) only for</w:t>
      </w:r>
      <w:r>
        <w:t xml:space="preserve"> </w:t>
      </w:r>
      <m:oMath>
        <m:r>
          <m:t>ℓ</m:t>
        </m:r>
        <m:r>
          <m:rPr>
            <m:sty m:val="p"/>
          </m:rPr>
          <m:t>≳</m:t>
        </m:r>
        <m:r>
          <m:t>0.25</m:t>
        </m:r>
        <m:r>
          <m:rPr>
            <m:nor/>
            <m:sty m:val="p"/>
          </m:rPr>
          <m:t>–</m:t>
        </m:r>
        <m:r>
          <m:t>0.4</m:t>
        </m:r>
      </m:oMath>
      <w:r>
        <w:t xml:space="preserve"> </w:t>
      </w:r>
      <w:r>
        <w:t xml:space="preserve">across re-renders;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model-internal parameter with no field operationalization yet.</w:t>
      </w:r>
    </w:p>
    <w:bookmarkEnd w:id="51"/>
    <w:p>
      <w:pPr>
        <w:numPr>
          <w:ilvl w:val="0"/>
          <w:numId w:val="1005"/>
        </w:numPr>
      </w:pPr>
      <w:r>
        <w:rPr>
          <w:b/>
          <w:bCs/>
        </w:rPr>
        <w:t xml:space="preserve">Sim P1 — Coupling produces PAS coherence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SUPPORTED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Under protocol coupling (</w:t>
      </w:r>
      <m:oMath>
        <m:r>
          <m:t>K</m:t>
        </m:r>
        <m:r>
          <m:rPr>
            <m:sty m:val="p"/>
          </m:rPr>
          <m:t>=</m:t>
        </m:r>
        <m:r>
          <m:t>4.5</m:t>
        </m:r>
        <m:r>
          <m:rPr>
            <m:sty m:val="p"/>
          </m:rPr>
          <m:t>,</m:t>
        </m:r>
      </m:oMath>
      <w:r>
        <w:t xml:space="preserve"> </w:t>
      </w:r>
      <w:r>
        <w:t xml:space="preserve">the companion theory preprint’s Sim G1 PAS operating</w:t>
      </w:r>
      <w:r>
        <w:t xml:space="preserve"> </w:t>
      </w:r>
      <w:r>
        <w:t xml:space="preserve">point), the population synchronizes: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0.739</m:t>
        </m:r>
      </m:oMath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0.029</w:t>
      </w:r>
      <w:r>
        <w:t xml:space="preserve"> </w:t>
      </w:r>
      <w:r>
        <w:t xml:space="preserve">across 8 replicas (verification re-run, consistent with the first run’s 0.751</w:t>
      </w:r>
      <w:r>
        <w:t xml:space="preserve"> </w:t>
      </w:r>
      <w:r>
        <w:t xml:space="preserve">(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0.041) within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  <m:r>
          <m:t>σ</m:t>
        </m:r>
      </m:oMath>
      <w:r>
        <w:t xml:space="preserve">), against the</w:t>
      </w:r>
      <w:r>
        <w:t xml:space="preserve"> </w:t>
      </w:r>
      <w:r>
        <w:t xml:space="preserve">pre-registered target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0.7</m:t>
        </m:r>
        <m:r>
          <m:rPr>
            <m:sty m:val="p"/>
          </m:rPr>
          <m:t>.</m:t>
        </m:r>
      </m:oMath>
      <w:r>
        <w:t xml:space="preserve"> </w:t>
      </w:r>
      <w:r>
        <w:t xml:space="preserve">The isolated control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remains incoherent: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0.040</m:t>
        </m:r>
      </m:oMath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0.001 in the re-run (0.032</w:t>
      </w:r>
      <w:r>
        <w:t xml:space="preserve"> </w:t>
      </w:r>
      <w:r>
        <w:t xml:space="preserve">in the first run; both sit at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0.045 finite-size</w:t>
      </w:r>
      <w:r>
        <w:t xml:space="preserve"> </w:t>
      </w:r>
      <w:r>
        <w:t xml:space="preserve">floor, whose draws barely vary across replicas; target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0.3</m:t>
        </m:r>
      </m:oMath>
      <w:r>
        <w:t xml:space="preserve">;</w:t>
      </w:r>
      <w:r>
        <w:t xml:space="preserve"> </w:t>
      </w:r>
      <w:r>
        <w:t xml:space="preserve">raw uniform phases). Coherence is a property of the coupling — the</w:t>
      </w:r>
      <w:r>
        <w:t xml:space="preserve"> </w:t>
      </w:r>
      <w:r>
        <w:t xml:space="preserve">composition — not of the agents, and specifically not of isolation.</w:t>
      </w:r>
      <w:r>
        <w:t xml:space="preserve"> </w:t>
      </w:r>
      <w:r>
        <w:t xml:space="preserve">Figure 4 renders the battery: the order-parameter</w:t>
      </w:r>
      <w:r>
        <w:t xml:space="preserve"> </w:t>
      </w:r>
      <w:r>
        <w:t xml:space="preserve">trajectories R(t) of the coupled and isolated arms across the 8</w:t>
      </w:r>
      <w:r>
        <w:t xml:space="preserve"> </w:t>
      </w:r>
      <w:r>
        <w:t xml:space="preserve">replicas, their steady-state distributions, and the phase-map-control side panel introduced above (200-seed ensemble).</w:t>
      </w:r>
      <w:r>
        <w:t xml:space="preserve"> </w:t>
      </w:r>
      <w:r>
        <w:t xml:space="preserve">Figure 5 schematizes the mechanism: partial attestations</w:t>
      </w:r>
      <w:r>
        <w:t xml:space="preserve"> </w:t>
      </w:r>
      <w:r>
        <w:t xml:space="preserve">fix agent-local phases, validation edges are the coupling, and the</w:t>
      </w:r>
      <w:r>
        <w:t xml:space="preserve"> </w:t>
      </w:r>
      <w:r>
        <w:t xml:space="preserve">measured coherence is a property of that composition.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Sim P1b — Observation leakage degrades coherence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SUPPORTED qualitatively; HONEST NULL on the quantitative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The leakage-graded arm — obligation (2) of §1.4 — maps R over K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[</w:t>
      </w:r>
      <w:r>
        <w:t xml:space="preserve">0, 8</w:t>
      </w:r>
      <w:r>
        <w:t xml:space="preserve">]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ℓ</m:t>
        </m:r>
      </m:oMath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[</w:t>
      </w:r>
      <w:r>
        <w:t xml:space="preserve">0, 0.9</w:t>
      </w:r>
      <w:r>
        <w:t xml:space="preserve">]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;</w:t>
      </w:r>
      <w:r>
        <w:t xml:space="preserve"> </w:t>
      </w:r>
      <m:oMath>
        <m:r>
          <m:t>ω</m:t>
        </m:r>
        <m:r>
          <m:rPr>
            <m:sty m:val="p"/>
          </m:rPr>
          <m:t>∼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 stereographic initialization; 2</w:t>
      </w:r>
      <w:r>
        <w:t xml:space="preserve"> </w:t>
      </w:r>
      <w:r>
        <w:t xml:space="preserve">seeds averaged per grid point; 9-seed fine scan at the operating</w:t>
      </w:r>
      <w:r>
        <w:t xml:space="preserve"> </w:t>
      </w:r>
      <w:r>
        <w:t xml:space="preserve">point; 3-seed mid scans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</m:oMath>
      <w:r>
        <w:t xml:space="preserve"> </w:t>
      </w:r>
      <w:r>
        <w:t xml:space="preserve">8).</w:t>
      </w:r>
      <w:r>
        <w:t xml:space="preserve"> </w:t>
      </w:r>
      <w:r>
        <w:rPr>
          <w:b/>
          <w:bCs/>
        </w:rPr>
        <w:t xml:space="preserve">Leakage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operationalization (exact):</w:t>
      </w:r>
      <w:r>
        <w:t xml:space="preserve"> </w:t>
      </w:r>
      <w:r>
        <w:t xml:space="preserve">the observation-leakage parameter</w:t>
      </w:r>
      <w:r>
        <w:t xml:space="preserve"> </w:t>
      </w:r>
      <m:oMath>
        <m:r>
          <m:t>ℓ</m:t>
        </m:r>
      </m:oMath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[</w:t>
      </w:r>
      <w:r>
        <w:t xml:space="preserve">0,1</w:t>
      </w:r>
      <w:r>
        <w:t xml:space="preserve">]</w:t>
      </w:r>
      <w:r>
        <w:t xml:space="preserve"> </w:t>
      </w:r>
      <w:r>
        <w:t xml:space="preserve">degrades the feedback channel in two</w:t>
      </w:r>
      <w:r>
        <w:t xml:space="preserve"> </w:t>
      </w:r>
      <w:r>
        <w:t xml:space="preserve">compounding ways — (i)</w:t>
      </w:r>
      <w:r>
        <w:t xml:space="preserve"> </w:t>
      </w:r>
      <w:r>
        <w:rPr>
          <w:i/>
          <w:iCs/>
        </w:rPr>
        <w:t xml:space="preserve">coupling attenuation</w:t>
      </w:r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ℓ</m:t>
        </m:r>
        <m:r>
          <m:rPr>
            <m:sty m:val="p"/>
          </m:rPr>
          <m:t>)</m:t>
        </m:r>
      </m:oMath>
      <w:r>
        <w:t xml:space="preserve">: a fraction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feedback signal never reaches the population; and (ii)</w:t>
      </w:r>
      <w:r>
        <w:t xml:space="preserve"> </w:t>
      </w:r>
      <w:r>
        <w:rPr>
          <w:i/>
          <w:iCs/>
        </w:rPr>
        <w:t xml:space="preserve">observation noise</w:t>
      </w:r>
      <w:r>
        <w:t xml:space="preserve">, each agent’s phase as observed by the others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η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η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π</m:t>
        </m:r>
        <m:r>
          <m:t>ℓ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redrawn independently every</w:t>
      </w:r>
      <w:r>
        <w:t xml:space="preserve"> </w:t>
      </w:r>
      <w:r>
        <w:t xml:space="preserve">timestep (at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η</m:t>
            </m:r>
          </m:sub>
        </m:sSub>
        <m:r>
          <m:rPr>
            <m:sty m:val="p"/>
          </m:rPr>
          <m:t>≈</m:t>
        </m:r>
        <m:r>
          <m:t>1.41</m:t>
        </m:r>
      </m:oMath>
      <w:r>
        <w:t xml:space="preserve"> </w:t>
      </w:r>
      <w:r>
        <w:t xml:space="preserve">rad — the</w:t>
      </w:r>
      <w:r>
        <w:t xml:space="preserve"> </w:t>
      </w:r>
      <w:r>
        <w:t xml:space="preserve">observed phase is nearly uncorrelated with the true phase). This is</w:t>
      </w:r>
      <w:r>
        <w:t xml:space="preserve"> </w:t>
      </w:r>
      <w:r>
        <w:t xml:space="preserve">the strongest reasonable leakage model, so the reported thresholds are</w:t>
      </w:r>
      <w:r>
        <w:t xml:space="preserve"> </w:t>
      </w:r>
      <w:r>
        <w:t xml:space="preserve">conservative.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model-internal parameter with no field</w:t>
      </w:r>
      <w:r>
        <w:t xml:space="preserve"> </w:t>
      </w:r>
      <w:r>
        <w:t xml:space="preserve">operationalization yet. Figure 6 schematizes the model and the</w:t>
      </w:r>
      <w:r>
        <w:t xml:space="preserve"> </w:t>
      </w:r>
      <w:r>
        <w:t xml:space="preserve">per-artifact leakage budget it implies.</w:t>
      </w:r>
      <w:r>
        <w:t xml:space="preserve"> </w:t>
      </w:r>
      <w:r>
        <w:rPr>
          <w:b/>
          <w:bCs/>
        </w:rPr>
        <w:t xml:space="preserve">Results (Figure</w:t>
      </w:r>
      <w:r>
        <w:rPr>
          <w:b/>
          <w:bCs/>
        </w:rPr>
        <w:t xml:space="preserve"> </w:t>
      </w:r>
      <w:r>
        <w:rPr>
          <w:b/>
          <w:bCs/>
        </w:rPr>
        <w:t xml:space="preserve">7).</w:t>
      </w:r>
      <w:r>
        <w:t xml:space="preserve"> </w:t>
      </w:r>
      <w:r>
        <w:t xml:space="preserve">(a) The R(K,</w:t>
      </w:r>
      <w:r>
        <w:t xml:space="preserve"> </w:t>
      </w:r>
      <m:oMath>
        <m:r>
          <m:t>ℓ</m:t>
        </m:r>
      </m:oMath>
      <w:r>
        <w:t xml:space="preserve">) surface rises smoothly from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floor at K</w:t>
      </w:r>
      <w:r>
        <w:t xml:space="preserve"> </w:t>
      </w:r>
      <m:oMath>
        <m:r>
          <m:rPr>
            <m:sty m:val="p"/>
          </m:rPr>
          <m:t>≲</m:t>
        </m:r>
        <m:r>
          <m:t>2</m:t>
        </m:r>
      </m:oMath>
      <w:r>
        <w:t xml:space="preserve"> </w:t>
      </w:r>
      <w:r>
        <w:t xml:space="preserve">(consistent with the mean-field reference value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 Cauchy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stated with its</w:t>
      </w:r>
      <w:r>
        <w:t xml:space="preserve"> </w:t>
      </w:r>
      <w:r>
        <w:t xml:space="preserve">all-to-all,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assumptions — a reference, not a</w:t>
      </w:r>
      <w:r>
        <w:t xml:space="preserve"> </w:t>
      </w:r>
      <w:r>
        <w:t xml:space="preserve">prediction) to R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0.85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</m:oMath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; leakage</w:t>
      </w:r>
      <w:r>
        <w:t xml:space="preserve"> </w:t>
      </w:r>
      <w:r>
        <w:t xml:space="preserve">compresses the entire surface, and the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contour retreats</w:t>
      </w:r>
      <w:r>
        <w:t xml:space="preserve"> </w:t>
      </w:r>
      <w:r>
        <w:t xml:space="preserve">from K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4.4 (</w:t>
      </w:r>
      <m:oMath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) to K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5.0–5.5 (</w:t>
      </w:r>
      <m:oMath>
        <m:r>
          <m:t>ℓ</m:t>
        </m:r>
        <m:r>
          <m:rPr>
            <m:sty m:val="p"/>
          </m:rPr>
          <m:t>=</m:t>
        </m:r>
        <m:r>
          <m:t>0.1</m:t>
        </m:r>
      </m:oMath>
      <w:r>
        <w:t xml:space="preserve">) and K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5.9–7</w:t>
      </w:r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=</m:t>
        </m:r>
        <m:r>
          <m:t>0.2</m:t>
        </m:r>
      </m:oMath>
      <w:r>
        <w:t xml:space="preserve">), moving off-grid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&gt;</m:t>
        </m:r>
        <m:r>
          <m:t>8</m:t>
        </m:r>
      </m:oMath>
      <w:r>
        <w:t xml:space="preserve">) only for</w:t>
      </w:r>
      <w:r>
        <w:t xml:space="preserve"> </w:t>
      </w:r>
      <m:oMath>
        <m:r>
          <m:t>ℓ</m:t>
        </m:r>
      </m:oMath>
      <w:r>
        <w:t xml:space="preserve"> </w:t>
      </w:r>
      <m:oMath>
        <m:r>
          <m:rPr>
            <m:sty m:val="p"/>
          </m:rPr>
          <m:t>≳</m:t>
        </m:r>
        <m:r>
          <m:t>0.25</m:t>
        </m:r>
      </m:oMath>
      <w:r>
        <w:t xml:space="preserve">–0.4 across re-renders (ranges span two</w:t>
      </w:r>
      <w:r>
        <w:t xml:space="preserve"> </w:t>
      </w:r>
      <w:r>
        <w:t xml:space="preserve">independent seeded re-renders; point precision is not resolvable at</w:t>
      </w:r>
      <w:r>
        <w:t xml:space="preserve"> </w:t>
      </w:r>
      <w:r>
        <w:t xml:space="preserve">these N). (b)</w:t>
      </w:r>
      <w:r>
        <w:t xml:space="preserve"> </w:t>
      </w:r>
      <w:r>
        <w:rPr>
          <w:b/>
          <w:bCs/>
        </w:rPr>
        <w:t xml:space="preserve">Mechanism demonstrated in silico under a stated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operationalization whose attenuation component is definitional:</w:t>
      </w:r>
      <w:r>
        <w:t xml:space="preserve"> </w:t>
      </w:r>
      <w:r>
        <w:t xml:space="preserve">R decays monotonically with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every fixed K —</w:t>
      </w:r>
      <w:r>
        <w:t xml:space="preserve"> </w:t>
      </w:r>
      <w:r>
        <w:t xml:space="preserve">at the operating point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  <m:r>
          <m:rPr>
            <m:sty m:val="p"/>
          </m:rPr>
          <m:t>,</m:t>
        </m:r>
      </m:oMath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0.709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0.663 (</w:t>
      </w:r>
      <m:oMath>
        <m:r>
          <m:t>ℓ</m:t>
        </m:r>
        <m:r>
          <m:rPr>
            <m:sty m:val="p"/>
          </m:rPr>
          <m:t>=</m:t>
        </m:r>
        <m:r>
          <m:t>0.1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0.474 (</w:t>
      </w:r>
      <m:oMath>
        <m:r>
          <m:t>ℓ</m:t>
        </m:r>
        <m:r>
          <m:rPr>
            <m:sty m:val="p"/>
          </m:rPr>
          <m:t>=</m:t>
        </m:r>
        <m:r>
          <m:t>0.3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0.071 (</w:t>
      </w:r>
      <m:oMath>
        <m:r>
          <m:t>ℓ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0.041 (</w:t>
      </w:r>
      <m:oMath>
        <m:r>
          <m:t>ℓ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,</m:t>
        </m:r>
      </m:oMath>
      <w:r>
        <w:t xml:space="preserve"> </w:t>
      </w:r>
      <w:r>
        <w:t xml:space="preserve">at the</w:t>
      </w:r>
      <w:r>
        <w:t xml:space="preserve"> </w:t>
      </w:r>
      <w:r>
        <w:t xml:space="preserve">incoherent floor). (c)</w:t>
      </w:r>
      <w:r>
        <w:t xml:space="preserve"> </w:t>
      </w:r>
      <w:r>
        <w:rPr>
          <w:b/>
          <w:bCs/>
        </w:rPr>
        <w:t xml:space="preserve">Honest null: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zero-leakage coherence is only R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0.71,</w:t>
      </w:r>
      <w:r>
        <w:t xml:space="preserve"> </w:t>
      </w:r>
      <w:r>
        <w:rPr>
          <w:i/>
          <w:iCs/>
        </w:rPr>
        <w:t xml:space="preserve">marginally</w:t>
      </w:r>
      <w:r>
        <w:t xml:space="preserve"> </w:t>
      </w:r>
      <w:r>
        <w:t xml:space="preserve">above target, and R falls below 0.7 within the leakage band</w:t>
      </w:r>
      <w:r>
        <w:t xml:space="preserve"> </w:t>
      </w:r>
      <m:oMath>
        <m:r>
          <m:t>ℓ</m:t>
        </m:r>
      </m:oMath>
      <w:r>
        <w:rPr>
          <w:b/>
          <w:bCs/>
        </w:rPr>
        <w:t xml:space="preserve">*</w:t>
      </w:r>
      <w:r>
        <w:rPr>
          <w:b/>
          <w:bCs/>
        </w:rPr>
        <w:t xml:space="preserve"> </w:t>
      </w:r>
      <m:oMath>
        <m:r>
          <m:rPr>
            <m:sty m:val="p"/>
          </m:rPr>
          <m:t>∈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0.02, 0.10</w:t>
      </w:r>
      <w:r>
        <w:rPr>
          <w:b/>
          <w:bCs/>
        </w:rPr>
        <w:t xml:space="preserve">]</w:t>
      </w:r>
      <w:r>
        <w:t xml:space="preserve"> </w:t>
      </w:r>
      <w:r>
        <w:t xml:space="preserve">— in the 9-seed fine</w:t>
      </w:r>
      <w:r>
        <w:t xml:space="preserve"> </w:t>
      </w:r>
      <w:r>
        <w:t xml:space="preserve">scan R hovers at 0.69–0.74 across</w:t>
      </w:r>
      <w:r>
        <w:t xml:space="preserve"> </w:t>
      </w:r>
      <m:oMath>
        <m:r>
          <m:t>ℓ</m:t>
        </m:r>
      </m:oMath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[</w:t>
      </w:r>
      <w:r>
        <w:t xml:space="preserve">0, 0.10</w:t>
      </w:r>
      <w:r>
        <w:t xml:space="preserve">]</w:t>
      </w:r>
      <w:r>
        <w:t xml:space="preserve">,</w:t>
      </w:r>
      <w:r>
        <w:t xml:space="preserve"> </w:t>
      </w:r>
      <w:r>
        <w:t xml:space="preserve">with the first below-0.7 reading at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0.08</m:t>
        </m:r>
        <m:r>
          <m:rPr>
            <m:sty m:val="p"/>
          </m:rPr>
          <m:t>,</m:t>
        </m:r>
      </m:oMath>
      <w:r>
        <w:t xml:space="preserve"> </w:t>
      </w:r>
      <w:r>
        <w:t xml:space="preserve">so the crossing</w:t>
      </w:r>
      <w:r>
        <w:t xml:space="preserve"> </w:t>
      </w:r>
      <w:r>
        <w:t xml:space="preserve">is resolvable only as a band at seed noise</w:t>
      </w:r>
      <w:r>
        <w:t xml:space="preserve"> </w:t>
      </w:r>
      <m:oMath>
        <m:r>
          <m:rPr>
            <m:sty m:val="p"/>
          </m:rPr>
          <m:t>±</m:t>
        </m:r>
        <m:r>
          <m:t>0.02</m:t>
        </m:r>
        <m:r>
          <m:rPr>
            <m:sty m:val="p"/>
          </m:rPr>
          <m:t>–</m:t>
        </m:r>
        <m:r>
          <m:t>0.03</m:t>
        </m:r>
      </m:oMath>
      <w:r>
        <w:t xml:space="preserve">; the</w:t>
      </w:r>
      <w:r>
        <w:t xml:space="preserve"> </w:t>
      </w:r>
      <w:r>
        <w:t xml:space="preserve">a point estimate of</w:t>
      </w:r>
      <w:r>
        <w:t xml:space="preserve"> </w:t>
      </w:r>
      <m:oMath>
        <m:r>
          <m:t>ℓ</m:t>
        </m:r>
      </m:oMath>
      <w:r>
        <w:t xml:space="preserve">*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0.02 (with its</w:t>
      </w:r>
      <w:r>
        <w:t xml:space="preserve"> </w:t>
      </w:r>
      <w:r>
        <w:t xml:space="preserve">suspiciously smooth 0.705/0.701/0.698 sequence) is not resolvable. R</w:t>
      </w:r>
      <w:r>
        <w:t xml:space="preserve"> </w:t>
      </w:r>
      <w:r>
        <w:t xml:space="preserve">falls below 0.5 near</w:t>
      </w:r>
      <w:r>
        <w:t xml:space="preserve"> </w:t>
      </w:r>
      <m:oMath>
        <m:r>
          <m:t>ℓ</m:t>
        </m:r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0.3 and below 0.1 near</w:t>
      </w:r>
      <w:r>
        <w:t xml:space="preserve"> </w:t>
      </w:r>
      <m:oMath>
        <m:r>
          <m:t>ℓ</m:t>
        </m:r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0.5. The defensible architectural claim is</w:t>
      </w:r>
      <w:r>
        <w:t xml:space="preserve"> </w:t>
      </w:r>
      <w:r>
        <w:t xml:space="preserve">therefore:</w:t>
      </w:r>
      <w:r>
        <w:t xml:space="preserve"> </w:t>
      </w:r>
      <w:r>
        <w:rPr>
          <w:b/>
          <w:bCs/>
        </w:rPr>
        <w:t xml:space="preserve">non-expropriative measurement (§4’s four responses)</w:t>
      </w:r>
      <w:r>
        <w:rPr>
          <w:b/>
          <w:bCs/>
        </w:rPr>
        <w:t xml:space="preserve"> </w:t>
      </w:r>
      <w:r>
        <w:rPr>
          <w:b/>
          <w:bCs/>
        </w:rPr>
        <w:t xml:space="preserve">is what keeps</w:t>
      </w:r>
      <w:r>
        <w:rPr>
          <w:b/>
          <w:bCs/>
        </w:rPr>
        <w:t xml:space="preserve"> </w:t>
      </w:r>
      <m:oMath>
        <m:r>
          <m:t>ℓ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below the fragility threshold</w:t>
      </w:r>
      <w:r>
        <w:t xml:space="preserve"> </w:t>
      </w:r>
      <w:r>
        <w:t xml:space="preserve">— and at the</w:t>
      </w:r>
      <w:r>
        <w:t xml:space="preserve"> </w:t>
      </w:r>
      <w:r>
        <w:t xml:space="preserve">current operating point that threshold is the band</w:t>
      </w:r>
      <w:r>
        <w:t xml:space="preserve"> </w:t>
      </w:r>
      <m:oMath>
        <m:r>
          <m:t>ℓ</m:t>
        </m:r>
      </m:oMath>
      <w:r>
        <w:t xml:space="preserve">*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[</w:t>
      </w:r>
      <w:r>
        <w:t xml:space="preserve">0.02, 0.10</w:t>
      </w:r>
      <w:r>
        <w:t xml:space="preserve">]</w:t>
      </w:r>
      <w:r>
        <w:t xml:space="preserve">, a demanding requirement, not a soft one. Robust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0.7</m:t>
        </m:r>
      </m:oMath>
      <w:r>
        <w:t xml:space="preserve"> </w:t>
      </w:r>
      <w:r>
        <w:t xml:space="preserve">requires K</w:t>
      </w:r>
      <w:r>
        <w:t xml:space="preserve"> </w:t>
      </w:r>
      <m:oMath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(coherence survives to</w:t>
      </w:r>
      <w:r>
        <w:t xml:space="preserve"> </w:t>
      </w:r>
      <m:oMath>
        <m:r>
          <m:t>ℓ</m:t>
        </m:r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0.22–0.28) or K</w:t>
      </w:r>
      <w:r>
        <w:t xml:space="preserve"> </w:t>
      </w:r>
      <m:oMath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(to</w:t>
      </w:r>
      <w:r>
        <w:t xml:space="preserve"> </w:t>
      </w:r>
      <m:oMath>
        <m:r>
          <m:t>ℓ</m:t>
        </m:r>
      </m:oMath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0.30–0.40), or a lower</w:t>
      </w:r>
      <w:r>
        <w:t xml:space="preserve"> </w:t>
      </w:r>
      <w:r>
        <w:t xml:space="preserve">coherence target. The qualitative mechanism — leakage erodes</w:t>
      </w:r>
      <w:r>
        <w:t xml:space="preserve"> </w:t>
      </w:r>
      <w:r>
        <w:t xml:space="preserve">coherence — is robust; the quantitative threshold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fragile, and this paper says so.</w:t>
      </w:r>
      <w:r>
        <w:t xml:space="preserve"> </w:t>
      </w:r>
      <w:r>
        <w:rPr>
          <w:b/>
          <w:bCs/>
        </w:rPr>
        <w:t xml:space="preserve">Definitional component:</w:t>
      </w:r>
      <w:r>
        <w:t xml:space="preserve"> </w:t>
      </w:r>
      <w:r>
        <w:t xml:space="preserve">component (i) of the leakage operationalization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ℓ</m:t>
        </m:r>
        <m:r>
          <m:rPr>
            <m:sty m:val="p"/>
          </m:rPr>
          <m:t>)</m:t>
        </m:r>
      </m:oMath>
      <w:r>
        <w:t xml:space="preserve">) makes part of the R-decay</w:t>
      </w:r>
      <w:r>
        <w:t xml:space="preserve"> </w:t>
      </w:r>
      <w:r>
        <w:t xml:space="preserve">definitional — Kuramoto coherence decreases monotonically in</w:t>
      </w:r>
      <w:r>
        <w:t xml:space="preserve"> </w:t>
      </w:r>
      <w:r>
        <w:t xml:space="preserve">coupling by construction; the non-definitional content is component</w:t>
      </w:r>
      <w:r>
        <w:t xml:space="preserve"> </w:t>
      </w:r>
      <w:r>
        <w:t xml:space="preserve">(ii) (observation noise) and the joint surface’s quantitative</w:t>
      </w:r>
      <w:r>
        <w:t xml:space="preserve"> </w:t>
      </w:r>
      <w:r>
        <w:t xml:space="preserve">thresholds. The identification of expropriative observation with</w:t>
      </w:r>
      <w:r>
        <w:t xml:space="preserve"> </w:t>
      </w:r>
      <w:r>
        <w:t xml:space="preserve">channel attenuation is a modeling assumption, not a derivation; the</w:t>
      </w:r>
      <w:r>
        <w:t xml:space="preserve"> </w:t>
      </w:r>
      <m:oMath>
        <m:r>
          <m:t>ψ</m:t>
        </m:r>
      </m:oMath>
      <w:r>
        <w:t xml:space="preserve">-model (companion theory preprint, §3.3) is the stack’s mechanistic account of</w:t>
      </w:r>
      <w:r>
        <w:t xml:space="preserve"> </w:t>
      </w:r>
      <w:r>
        <w:t xml:space="preserve">chilling.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Sim P1c — Sparse/weighted-network sensitivity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functional form SURVIVES; the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operating point FAILS</w:t>
      </w:r>
      <w:r>
        <w:rPr>
          <w:b/>
          <w:bCs/>
        </w:rPr>
        <w:t xml:space="preserve"> </w:t>
      </w:r>
      <w:r>
        <w:rPr>
          <w:b/>
          <w:bCs/>
        </w:rPr>
        <w:t xml:space="preserve">under sparsity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A further battery (SIM-R2 battery 4, seed 42;</w:t>
      </w:r>
      <w:r>
        <w:t xml:space="preserve"> </w:t>
      </w:r>
      <w:r>
        <w:t xml:space="preserve">code and curves bundled with the Supporting Document (deposit pending)) re-runs the</w:t>
      </w:r>
      <w:r>
        <w:t xml:space="preserve"> </w:t>
      </w:r>
      <w:r>
        <w:t xml:space="preserve">Sim P1 protocol exactly 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,</w:t>
      </w:r>
      <w:r>
        <w:t xml:space="preserve"> </w:t>
      </w:r>
      <m:oMath>
        <m:r>
          <m:t>ω</m:t>
        </m:r>
        <m:r>
          <m:rPr>
            <m:sty m:val="p"/>
          </m:rPr>
          <m:t>∼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stereographic initialization, Euler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0.05</m:t>
        </m:r>
      </m:oMath>
      <w:r>
        <w:t xml:space="preserve">, burn-in 100 t.u. + measurement 200 t.u., 2 graph</w:t>
      </w:r>
      <w:r>
        <w:t xml:space="preserve"> </w:t>
      </w:r>
      <w:r>
        <w:t xml:space="preserve">realizations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 seeds per topology — with the coupling</w:t>
      </w:r>
      <w:r>
        <w:t xml:space="preserve"> </w:t>
      </w:r>
      <w:r>
        <w:t xml:space="preserve">degree-normalized (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, a disclosed choice that keeps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comparable across topologies and isolates the uncoupled) on</w:t>
      </w:r>
      <w:r>
        <w:t xml:space="preserve"> </w:t>
      </w:r>
      <w:r>
        <w:t xml:space="preserve">Erdős–Rényi (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0.05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25</m:t>
        </m:r>
        <m:r>
          <m:rPr>
            <m:sty m:val="p"/>
          </m:rPr>
          <m:t>/</m:t>
        </m:r>
        <m:r>
          <m:t>49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/</m:t>
        </m:r>
        <m:r>
          <m:t>249</m:t>
        </m:r>
      </m:oMath>
      <w:r>
        <w:t xml:space="preserve">), Barabási–Albert</w:t>
      </w:r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24</m:t>
        </m:r>
      </m:oMath>
      <w:r>
        <w:t xml:space="preserve"> </w:t>
      </w:r>
      <w:r>
        <w:t xml:space="preserve">and 4), and all-to-all with symmetric log-normal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weights</w:t>
      </w:r>
      <w:r>
        <w:t xml:space="preserve"> </w:t>
      </w:r>
      <w:r>
        <w:t xml:space="preserve">rescaled to mean 1. Validation: the all-to-all arm reproduces the</w:t>
      </w:r>
      <w:r>
        <w:t xml:space="preserve"> </w:t>
      </w:r>
      <w:r>
        <w:t xml:space="preserve">published operating point (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r>
          <m:t>4.5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0.710</m:t>
        </m:r>
        <m:r>
          <m:rPr>
            <m:sty m:val="p"/>
          </m:rPr>
          <m:t>±</m:t>
        </m:r>
        <m:r>
          <m:t>0.029</m:t>
        </m:r>
      </m:oMath>
      <w:r>
        <w:t xml:space="preserve"> </w:t>
      </w:r>
      <w:r>
        <w:t xml:space="preserve">vs. 0.709); the Sim P1 verification re-run’s</w:t>
      </w:r>
      <w:r>
        <w:t xml:space="preserve"> </w:t>
      </w:r>
      <m:oMath>
        <m:r>
          <m:t>0.739</m:t>
        </m:r>
        <m:r>
          <m:rPr>
            <m:sty m:val="p"/>
          </m:rPr>
          <m:t>±</m:t>
        </m:r>
        <m:r>
          <m:t>0.029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the same nominal operating point differs because P1’s</w:t>
      </w:r>
      <w:r>
        <w:t xml:space="preserve"> </w:t>
      </w:r>
      <w:r>
        <w:t xml:space="preserve">ABM-with-adversaries protocol and P1c’s pure-Kuramoto protocol</w:t>
      </w:r>
      <w:r>
        <w:t xml:space="preserve"> </w:t>
      </w:r>
      <w:r>
        <w:t xml:space="preserve">differ — the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0.03 gap is within seed noise. Results: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0.7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does not</w:t>
      </w:r>
      <w:r>
        <w:rPr>
          <w:b/>
          <w:bCs/>
        </w:rPr>
        <w:t xml:space="preserve"> </w:t>
      </w:r>
      <w:r>
        <w:rPr>
          <w:b/>
          <w:bCs/>
        </w:rPr>
        <w:t xml:space="preserve">survive sparsity</w:t>
      </w:r>
      <w:r>
        <w:t xml:space="preserve"> </w:t>
      </w:r>
      <w:r>
        <w:t xml:space="preserve">— ER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→</m:t>
        </m:r>
        <m:r>
          <m:t>0.684</m:t>
        </m:r>
        <m:r>
          <m:rPr>
            <m:sty m:val="p"/>
          </m:rPr>
          <m:t>±</m:t>
        </m:r>
        <m:r>
          <m:t>0.036</m:t>
        </m:r>
      </m:oMath>
      <w:r>
        <w:t xml:space="preserve">; BA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→</m:t>
        </m:r>
        <m:r>
          <m:t>0.687</m:t>
        </m:r>
        <m:r>
          <m:rPr>
            <m:sty m:val="p"/>
          </m:rPr>
          <m:t>±</m:t>
        </m:r>
        <m:r>
          <m:t>0.024</m:t>
        </m:r>
      </m:oMath>
      <w:r>
        <w:t xml:space="preserve"> </w:t>
      </w:r>
      <w:r>
        <w:t xml:space="preserve">(both below target, within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 sd); BA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0.416</m:t>
        </m:r>
        <m:r>
          <m:rPr>
            <m:sty m:val="p"/>
          </m:rPr>
          <m:t>±</m:t>
        </m:r>
        <m:r>
          <m:t>0.061</m:t>
        </m:r>
      </m:oMath>
      <w:r>
        <w:t xml:space="preserve">, collapsing and</w:t>
      </w:r>
      <w:r>
        <w:t xml:space="preserve"> </w:t>
      </w:r>
      <w:r>
        <w:t xml:space="preserve">never recovering above 0.7 even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(0.660) — while 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0.2</m:t>
        </m:r>
      </m:oMath>
      <w:r>
        <w:t xml:space="preserve"> </w:t>
      </w:r>
      <w:r>
        <w:t xml:space="preserve">(0.705–0.709) and the log-normal-weighted</w:t>
      </w:r>
      <w:r>
        <w:t xml:space="preserve"> </w:t>
      </w:r>
      <w:r>
        <w:t xml:space="preserve">all-to-all (0.710) pass.</w:t>
      </w:r>
      <w:r>
        <w:t xml:space="preserve"> </w:t>
      </w:r>
      <w:r>
        <w:rPr>
          <w:b/>
          <w:bCs/>
        </w:rPr>
        <w:t xml:space="preserve">The threat is missing edges (mean</w:t>
      </w:r>
      <w:r>
        <w:rPr>
          <w:b/>
          <w:bCs/>
        </w:rPr>
        <w:t xml:space="preserve"> </w:t>
      </w:r>
      <w:r>
        <w:rPr>
          <w:b/>
          <w:bCs/>
        </w:rPr>
        <w:t xml:space="preserve">degree</w:t>
      </w:r>
      <w:r>
        <w:rPr>
          <w:b/>
          <w:bCs/>
        </w:rP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  <m:r>
          <m:rPr>
            <m:sty m:val="p"/>
          </m:rPr>
          <m:t>≲</m:t>
        </m:r>
        <m:r>
          <m:t>25</m:t>
        </m:r>
      </m:oMath>
      <w:r>
        <w:rPr>
          <w:b/>
          <w:bCs/>
        </w:rPr>
        <w:t xml:space="preserve">), not heterogeneous</w:t>
      </w:r>
      <w:r>
        <w:rPr>
          <w:b/>
          <w:bCs/>
        </w:rPr>
        <w:t xml:space="preserve"> </w:t>
      </w:r>
      <w:r>
        <w:rPr>
          <w:b/>
          <w:bCs/>
        </w:rPr>
        <w:t xml:space="preserve">weights.</w:t>
      </w:r>
      <w:r>
        <w:t xml:space="preserve"> </w:t>
      </w:r>
      <w:r>
        <w:t xml:space="preserve">The functional form is robust where the level is not:</w:t>
      </w:r>
      <w:r>
        <w:t xml:space="preserve"> </w:t>
      </w:r>
      <w:r>
        <w:t xml:space="preserve">every topology shows the same continuous onset at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t xml:space="preserve">(the mean-field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 Cauchy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survives under</w:t>
      </w:r>
      <w:r>
        <w:t xml:space="preserve"> </w:t>
      </w:r>
      <w:r>
        <w:t xml:space="preserve">degree normalization); what shifts is the asymptote level and the</w:t>
      </w:r>
      <w:r>
        <w:t xml:space="preserve"> </w:t>
      </w:r>
      <w:r>
        <w:t xml:space="preserve">margin above threshold. Product reading, stated against Sim P1b’s</w:t>
      </w:r>
      <w:r>
        <w:t xml:space="preserve"> </w:t>
      </w:r>
      <w:r>
        <w:t xml:space="preserve">own fragility band: the already-thin</w:t>
      </w:r>
      <w:r>
        <w:t xml:space="preserve"> </w:t>
      </w:r>
      <m:oMath>
        <m:r>
          <m:t>ℓ</m:t>
        </m:r>
      </m:oMath>
      <w:r>
        <w:t xml:space="preserve">-band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t xml:space="preserve">(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≲</m:t>
        </m:r>
        <m:r>
          <m:t>0.02</m:t>
        </m:r>
      </m:oMath>
      <w:r>
        <w:t xml:space="preserve">–0.10) is further compressed on</w:t>
      </w:r>
      <w:r>
        <w:t xml:space="preserve"> </w:t>
      </w:r>
      <w:r>
        <w:t xml:space="preserve">sparse networks — a real trust network with effective degree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25 sits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line even at zero</w:t>
      </w:r>
      <w:r>
        <w:t xml:space="preserve"> </w:t>
      </w:r>
      <w:r>
        <w:t xml:space="preserve">leakage — so the defensible claim needs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–8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  <m:r>
          <m:rPr>
            <m:sty m:val="p"/>
          </m:rPr>
          <m:t>≳</m:t>
        </m:r>
        <m:r>
          <m:t>25</m:t>
        </m:r>
      </m:oMath>
      <w:r>
        <w:t xml:space="preserve"> </w:t>
      </w:r>
      <w:r>
        <w:t xml:space="preserve">(Figure 8).</w:t>
      </w:r>
    </w:p>
    <w:bookmarkStart w:id="55" w:name="fig:p1c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793066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ures/figR2_B4_kuramoto_topologie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b/>
          <w:bCs/>
        </w:rPr>
        <w:t xml:space="preserve">Figure 8.</w:t>
      </w:r>
      <w:r>
        <w:t xml:space="preserve"> </w:t>
      </w:r>
      <w:r>
        <w:t xml:space="preserve">Sim P1c (§3.6): sparse/weighted-network sensitivity of the Kuramoto coherence claim (SIM-R2 battery 4, seed 42).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per topology (mean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over 2 graph realizations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 seeds) against the all-to-all reference, with the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target,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floor, and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t xml:space="preserve">operating point marked. The continuous onset at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t xml:space="preserve">is topology-invariant;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t xml:space="preserve">coherence level fails for</w:t>
      </w:r>
      <w:r>
        <w:t xml:space="preserve"> </w:t>
      </w:r>
      <m:oMath>
        <m:r>
          <m:rPr>
            <m:sty m:val="p"/>
          </m:rPr>
          <m:t>⟨</m:t>
        </m:r>
        <m:r>
          <m:t>k</m:t>
        </m:r>
        <m:r>
          <m:rPr>
            <m:sty m:val="p"/>
          </m:rPr>
          <m:t>⟩</m:t>
        </m:r>
        <m:r>
          <m:rPr>
            <m:sty m:val="p"/>
          </m:rPr>
          <m:t>≲</m:t>
        </m:r>
        <m:r>
          <m:t>25</m:t>
        </m:r>
      </m:oMath>
      <w:r>
        <w:t xml:space="preserve"> </w:t>
      </w:r>
      <w:r>
        <w:t xml:space="preserve">(ER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: 0.684; BA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12</m:t>
        </m:r>
      </m:oMath>
      <w:r>
        <w:t xml:space="preserve">: 0.687; BA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: 0.416) and survives weight heterogeneity (log-normal weighted all-to-all: 0.710).</w:t>
      </w:r>
    </w:p>
    <w:bookmarkEnd w:id="55"/>
    <w:p>
      <w:pPr>
        <w:numPr>
          <w:ilvl w:val="0"/>
          <w:numId w:val="1005"/>
        </w:numPr>
      </w:pPr>
      <w:r>
        <w:rPr>
          <w:b/>
          <w:bCs/>
        </w:rPr>
        <w:t xml:space="preserve">Sim P2 — Attack-surface reduction, conditional on breach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SUPPORTED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Monte-Carlo breach comparison (1,000</w:t>
      </w:r>
      <w:r>
        <w:t xml:space="preserve"> </w:t>
      </w:r>
      <w:r>
        <w:t xml:space="preserve">epochs):</w:t>
      </w:r>
      <w:r>
        <w:t xml:space="preserve"> </w:t>
      </w:r>
      <w:r>
        <w:rPr>
          <w:i/>
          <w:iCs/>
        </w:rPr>
        <w:t xml:space="preserve">given that a breach occurs</w:t>
      </w:r>
      <w:r>
        <w:t xml:space="preserve">, a breach of the</w:t>
      </w:r>
      <w:r>
        <w:t xml:space="preserve"> </w:t>
      </w:r>
      <w:r>
        <w:t xml:space="preserve">centralized shared record compromises 100% of records; a breach under</w:t>
      </w:r>
      <w:r>
        <w:t xml:space="preserve"> </w:t>
      </w:r>
      <w:r>
        <w:t xml:space="preserve">database-per-tenant isolation compromises exactly the breached tenants</w:t>
      </w:r>
      <w:r>
        <w:t xml:space="preserve"> </w:t>
      </w:r>
      <w:r>
        <w:t xml:space="preserve">(0.2%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) — a 99.8% relative reduction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conditional exposure</w:t>
      </w:r>
      <w:r>
        <w:t xml:space="preserve">, against the pre-registered</w:t>
      </w:r>
      <w:r>
        <w:t xml:space="preserve"> </w:t>
      </w:r>
      <m:oMath>
        <m:r>
          <m:rPr>
            <m:sty m:val="p"/>
          </m:rPr>
          <m:t>≥</m:t>
        </m:r>
        <m:r>
          <m:t>98</m:t>
        </m:r>
      </m:oMath>
      <w:r>
        <w:t xml:space="preserve"> </w:t>
      </w:r>
      <w:r>
        <w:t xml:space="preserve">target.</w:t>
      </w:r>
      <w:r>
        <w:t xml:space="preserve"> </w:t>
      </w:r>
      <w:r>
        <w:rPr>
          <w:b/>
          <w:bCs/>
        </w:rPr>
        <w:t xml:space="preserve">This is a statement about blast radius given a</w:t>
      </w:r>
      <w:r>
        <w:rPr>
          <w:b/>
          <w:bCs/>
        </w:rPr>
        <w:t xml:space="preserve"> </w:t>
      </w:r>
      <w:r>
        <w:rPr>
          <w:b/>
          <w:bCs/>
        </w:rPr>
        <w:t xml:space="preserve">breach, not about risk.</w:t>
      </w:r>
      <w:r>
        <w:t xml:space="preserve"> </w:t>
      </w:r>
      <w:r>
        <w:t xml:space="preserve">The probability side of the risk equation —</w:t>
      </w:r>
      <w:r>
        <w:t xml:space="preserve"> </w:t>
      </w:r>
      <w:r>
        <w:t xml:space="preserve">distribution multiplies attackable endpoints from a handful of</w:t>
      </w:r>
      <w:r>
        <w:t xml:space="preserve"> </w:t>
      </w:r>
      <w:r>
        <w:t xml:space="preserve">custodians to millions of user devices — is modeled in §3.9, where</w:t>
      </w:r>
      <w:r>
        <w:t xml:space="preserve"> </w:t>
      </w:r>
      <w:r>
        <w:t xml:space="preserve">the headline is variance reduction, not loss elimination.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Sim P3 — Marginal-cost scaling form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SUPPORTED for the</w:t>
      </w:r>
      <w:r>
        <w:rPr>
          <w:b/>
          <w:bCs/>
        </w:rPr>
        <w:t xml:space="preserve"> </w:t>
      </w:r>
      <w:r>
        <w:rPr>
          <w:b/>
          <w:bCs/>
        </w:rPr>
        <w:t xml:space="preserve">scaling form; the static reduction claim is restated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Per-event</w:t>
      </w:r>
      <w:r>
        <w:t xml:space="preserve"> </w:t>
      </w:r>
      <w:r>
        <w:t xml:space="preserve">settlement at x402-class sub-cent cost is per-tenant with no shared</w:t>
      </w:r>
      <w:r>
        <w:t xml:space="preserve"> </w:t>
      </w:r>
      <w:r>
        <w:t xml:space="preserve">queue: marginal cost per additional user is constant ($0.001/event)</w:t>
      </w:r>
      <w:r>
        <w:t xml:space="preserve"> </w:t>
      </w:r>
      <w:r>
        <w:t xml:space="preserve">from N =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 Two disciplines govern the</w:t>
      </w:r>
      <w:r>
        <w:t xml:space="preserve"> </w:t>
      </w:r>
      <w:r>
        <w:t xml:space="preserve">comparison.</w:t>
      </w:r>
      <w:r>
        <w:t xml:space="preserve"> </w:t>
      </w:r>
      <w:r>
        <w:rPr>
          <w:b/>
          <w:bCs/>
        </w:rPr>
        <w:t xml:space="preserve">(i) Like-for-like only.</w:t>
      </w:r>
      <w:r>
        <w:t xml:space="preserve"> </w:t>
      </w:r>
      <w:r>
        <w:t xml:space="preserve">A</w:t>
      </w:r>
      <w:r>
        <w:t xml:space="preserve"> </w:t>
      </w:r>
      <w:r>
        <w:t xml:space="preserve">“$50 per record pull”</w:t>
      </w:r>
      <w:r>
        <w:t xml:space="preserve"> </w:t>
      </w:r>
      <w:r>
        <w:t xml:space="preserve">anchor — a full-service product price (lender-paid, inclusive of labor,</w:t>
      </w:r>
      <w:r>
        <w:t xml:space="preserve"> </w:t>
      </w:r>
      <w:r>
        <w:t xml:space="preserve">liability, and compliance) from the financial deployment, documented in the</w:t>
      </w:r>
      <w:r>
        <w:t xml:space="preserve"> </w:t>
      </w:r>
      <w:r>
        <w:t xml:space="preserve">financial application preprint (specified separately) — is not commensurate with the</w:t>
      </w:r>
      <w:r>
        <w:t xml:space="preserve"> </w:t>
      </w:r>
      <w:r>
        <w:t xml:space="preserve">protocol’s</w:t>
      </w:r>
      <w:r>
        <w:t xml:space="preserve"> </w:t>
      </w:r>
      <w:r>
        <w:rPr>
          <w:i/>
          <w:iCs/>
        </w:rPr>
        <w:t xml:space="preserve">marginal</w:t>
      </w:r>
      <w:r>
        <w:t xml:space="preserve"> </w:t>
      </w:r>
      <w:r>
        <w:t xml:space="preserve">settlement fee, and no headline reduction derived</w:t>
      </w:r>
      <w:r>
        <w:t xml:space="preserve"> </w:t>
      </w:r>
      <w:r>
        <w:t xml:space="preserve">from it (e.g.,</w:t>
      </w:r>
      <w:r>
        <w:t xml:space="preserve"> </w:t>
      </w:r>
      <w:r>
        <w:t xml:space="preserve">“99.998% below baseline”</w:t>
      </w:r>
      <w:r>
        <w:t xml:space="preserve">) is claimed. The defensible</w:t>
      </w:r>
      <w:r>
        <w:t xml:space="preserve"> </w:t>
      </w:r>
      <w:r>
        <w:t xml:space="preserve">comparison is marginal-vs-marginal: x402-class settlement at</w:t>
      </w:r>
      <w:r>
        <w:t xml:space="preserve"> </w:t>
      </w:r>
      <w:r>
        <w:t xml:space="preserve">$0.001/event against the incumbent’s marginal per-query cost (metered</w:t>
      </w:r>
      <w:r>
        <w:t xml:space="preserve"> </w:t>
      </w:r>
      <w:r>
        <w:t xml:space="preserve">per-request API pricing; incumbent per-query prices are</w:t>
      </w:r>
      <w:r>
        <w:t xml:space="preserve"> </w:t>
      </w:r>
      <w:r>
        <w:t xml:space="preserve">vendor-specific and unpublished, so the reduction factor is maintained</w:t>
      </w:r>
      <w:r>
        <w:t xml:space="preserve"> </w:t>
      </w:r>
      <w:r>
        <w:t xml:space="preserve">against the versioned calculator rather than printed). On equal</w:t>
      </w:r>
      <w:r>
        <w:t xml:space="preserve"> </w:t>
      </w:r>
      <w:r>
        <w:t xml:space="preserve">event/query counts n, the protocol exceeds a 98% marginal-cost</w:t>
      </w:r>
      <w:r>
        <w:t xml:space="preserve"> </w:t>
      </w:r>
      <w:r>
        <w:t xml:space="preserve">reduction exactly when the incumbent’s marginal per-query cost exceeds</w:t>
      </w:r>
      <w:r>
        <w:t xml:space="preserve"> </w:t>
      </w:r>
      <w:r>
        <w:t xml:space="preserve">$0.05/query — a conditional statement, not a headline.</w:t>
      </w:r>
      <w:r>
        <w:t xml:space="preserve"> </w:t>
      </w:r>
      <w:r>
        <w:rPr>
          <w:b/>
          <w:bCs/>
        </w:rPr>
        <w:t xml:space="preserve">(ii)</w:t>
      </w:r>
      <w:r>
        <w:rPr>
          <w:b/>
          <w:bCs/>
        </w:rPr>
        <w:t xml:space="preserve"> </w:t>
      </w:r>
      <w:r>
        <w:rPr>
          <w:b/>
          <w:bCs/>
        </w:rPr>
        <w:t xml:space="preserve">Events-per-decision accounting.</w:t>
      </w:r>
      <w:r>
        <w:t xml:space="preserve"> </w:t>
      </w:r>
      <w:r>
        <w:t xml:space="preserve">A per-event cost becomes a</w:t>
      </w:r>
      <w:r>
        <w:t xml:space="preserve"> </w:t>
      </w:r>
      <w:r>
        <w:t xml:space="preserve">per-decision cost only through an event count. Stated assumption: an</w:t>
      </w:r>
      <w:r>
        <w:t xml:space="preserve"> </w:t>
      </w:r>
      <w:r>
        <w:t xml:space="preserve">application-level decision consumes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–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validation</w:t>
      </w:r>
      <w:r>
        <w:t xml:space="preserve"> </w:t>
      </w:r>
      <w:r>
        <w:t xml:space="preserve">events (frozen assumption for the print figures; per-application</w:t>
      </w:r>
      <w:r>
        <w:t xml:space="preserve"> </w:t>
      </w:r>
      <w:r>
        <w:t xml:space="preserve">values are the financial application preprint’s responsibility). At $0.001/event, that is</w:t>
      </w:r>
      <w:r>
        <w:t xml:space="preserve"> </w:t>
      </w:r>
      <w:r>
        <w:rPr>
          <w:b/>
          <w:bCs/>
        </w:rPr>
        <w:t xml:space="preserve">$1–$100 of settlement per decision</w:t>
      </w:r>
      <w:r>
        <w:t xml:space="preserve">; adding edge compute</w:t>
      </w:r>
      <w:r>
        <w:t xml:space="preserve"> </w:t>
      </w:r>
      <w:r>
        <w:t xml:space="preserve">(participant’s own device: marginal electricity) and backup storage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1 GB/tenant-year at $0.014–0.019/GB, i.e. cents per</w:t>
      </w:r>
      <w:r>
        <w:t xml:space="preserve"> </w:t>
      </w:r>
      <w:r>
        <w:t xml:space="preserve">year) does not move the range. Whether the protocol’s per-decision</w:t>
      </w:r>
      <w:r>
        <w:t xml:space="preserve"> </w:t>
      </w:r>
      <w:r>
        <w:t xml:space="preserve">cost beats an incumbent’s per-decision cost therefore depends on the</w:t>
      </w:r>
      <w:r>
        <w:t xml:space="preserve"> </w:t>
      </w:r>
      <w:r>
        <w:t xml:space="preserve">event-count assumption and the incumbent’s marginal (not full-product)</w:t>
      </w:r>
      <w:r>
        <w:t xml:space="preserve"> </w:t>
      </w:r>
      <w:r>
        <w:t xml:space="preserve">price; the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98% target of H1 leg 3 survives only at the</w:t>
      </w:r>
      <w:r>
        <w:t xml:space="preserve"> </w:t>
      </w:r>
      <w:r>
        <w:t xml:space="preserve">low end of the events-per-decision range and is restated accordingly.</w:t>
      </w:r>
      <w:r>
        <w:t xml:space="preserve"> </w:t>
      </w:r>
      <w:r>
        <w:t xml:space="preserve">Sim P3 thus demonstrates the</w:t>
      </w:r>
      <w:r>
        <w:t xml:space="preserve"> </w:t>
      </w:r>
      <w:r>
        <w:rPr>
          <w:i/>
          <w:iCs/>
        </w:rPr>
        <w:t xml:space="preserve">scaling form</w:t>
      </w:r>
      <w:r>
        <w:t xml:space="preserve"> </w:t>
      </w:r>
      <w:r>
        <w:t xml:space="preserve">of the cost claim —</w:t>
      </w:r>
      <w:r>
        <w:t xml:space="preserve"> </w:t>
      </w:r>
      <w:r>
        <w:t xml:space="preserve">constant marginal cost, no shared queue, no queueing collapse at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users — and nothing more; §5.2 prints the frozen figures.</w:t>
      </w:r>
    </w:p>
    <w:p>
      <w:pPr>
        <w:pStyle w:val="FirstParagraph"/>
      </w:pPr>
      <w:r>
        <w:t xml:space="preserve">A follow-on run couples the population model to the measurement layer</w:t>
      </w:r>
      <w:r>
        <w:t xml:space="preserve"> </w:t>
      </w:r>
      <w:r>
        <w:t xml:space="preserve">(full protocol and statistics in the Supporting Document, §N): each</w:t>
      </w:r>
      <w:r>
        <w:t xml:space="preserve"> </w:t>
      </w:r>
      <w:r>
        <w:t xml:space="preserve">agent class’s trust sensitivity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seeded from the</w:t>
      </w:r>
      <w:r>
        <w:t xml:space="preserve"> </w:t>
      </w:r>
      <w:r>
        <w:t xml:space="preserve">category-resolved cortical effect sizes model-predicted by the TRIBE v2</w:t>
      </w:r>
      <w:r>
        <w:t xml:space="preserve"> </w:t>
      </w:r>
      <w:r>
        <w:t xml:space="preserve">forward-encoding runs on the biological layer (companion biology preprint, §5.2;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g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frozen</w:t>
      </w:r>
      <w:r>
        <w:t xml:space="preserve"> </w:t>
      </w:r>
      <w:r>
        <w:t xml:space="preserve">before the run), so the population’s heterogeneity is no longer assumed</w:t>
      </w:r>
      <w:r>
        <w:t xml:space="preserve"> </w:t>
      </w:r>
      <w:r>
        <w:t xml:space="preserve">but inherited from the layer below as simulation seeding parameters —</w:t>
      </w:r>
      <w:r>
        <w:t xml:space="preserve"> </w:t>
      </w:r>
      <w:r>
        <w:t xml:space="preserve">model-predicted quantities, not measurements (the companion biology preprint, §5.2, labels them</w:t>
      </w:r>
      <w:r>
        <w:t xml:space="preserve"> </w:t>
      </w:r>
      <w:r>
        <w:t xml:space="preserve">“not a measured quantity”</w:t>
      </w:r>
      <w:r>
        <w:t xml:space="preserve">). Two seedings were run — one from the</w:t>
      </w:r>
      <w:r>
        <w:t xml:space="preserve"> </w:t>
      </w:r>
      <w:r>
        <w:t xml:space="preserve">six-offer measurement, one from the 27-stimulus battery — and</w:t>
      </w:r>
      <w:r>
        <w:t xml:space="preserve"> </w:t>
      </w:r>
      <w:r>
        <w:t xml:space="preserve">they are reported together because they differ.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Sim P4a — Heterogeneous-coupling PAS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SUPPORTED, with a</w:t>
      </w:r>
      <w:r>
        <w:rPr>
          <w:b/>
          <w:bCs/>
        </w:rPr>
        <w:t xml:space="preserve"> </w:t>
      </w:r>
      <w:r>
        <w:rPr>
          <w:b/>
          <w:bCs/>
        </w:rPr>
        <w:t xml:space="preserve">caveat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The population synchronizes under model-predicted (battery-derived) heterogeneity: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0.759</m:t>
        </m:r>
      </m:oMath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0.024 against the pre-registered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0.7</m:t>
        </m:r>
        <m:r>
          <m:rPr>
            <m:sty m:val="p"/>
          </m:rPr>
          <m:t>.</m:t>
        </m:r>
      </m:oMath>
      <w:r>
        <w:t xml:space="preserve"> </w:t>
      </w:r>
      <w:r>
        <w:t xml:space="preserve">Caveat: in the current agent model the phase</w:t>
      </w:r>
      <w:r>
        <w:t xml:space="preserve"> </w:t>
      </w:r>
      <w:r>
        <w:t xml:space="preserve">dynamics are decoupled from the trust-vector update, so R is identical</w:t>
      </w:r>
      <w:r>
        <w:t xml:space="preserve"> </w:t>
      </w:r>
      <w:r>
        <w:t xml:space="preserve">under any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seeding — P4a confirms the population coheres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t xml:space="preserve">but does not by itself exercise the heterogeneity. The</w:t>
      </w:r>
      <w:r>
        <w:t xml:space="preserve"> </w:t>
      </w:r>
      <w:r>
        <w:t xml:space="preserve">informative test is P4b.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Sim P4b — Heterogeneity leaves a detectable but practically</w:t>
      </w:r>
      <w:r>
        <w:rPr>
          <w:b/>
          <w:bCs/>
        </w:rPr>
        <w:t xml:space="preserve"> </w:t>
      </w:r>
      <w:r>
        <w:rPr>
          <w:b/>
          <w:bCs/>
        </w:rPr>
        <w:t xml:space="preserve">negligible footprint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SUPPORTED in the statistical sense only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With battery-derived</w:t>
      </w:r>
      <w:r>
        <w:t xml:space="preserve"> </w:t>
      </w:r>
      <w:r>
        <w:t xml:space="preserve">model-predicted sensitivities (</w:t>
      </w:r>
      <w:r>
        <w:rPr>
          <w:smallCaps/>
        </w:rPr>
        <w:t xml:space="preserve">trust_signal</w:t>
      </w:r>
      <w:r>
        <w:t xml:space="preserve"> </w:t>
      </w:r>
      <m:oMath>
        <m:r>
          <m:t>0.307</m:t>
        </m:r>
        <m:r>
          <m:rPr>
            <m:sty m:val="p"/>
          </m:rPr>
          <m:t>&gt;</m:t>
        </m:r>
      </m:oMath>
      <w:r>
        <w:t xml:space="preserve"> </w:t>
      </w:r>
      <w:r>
        <w:rPr>
          <w:smallCaps/>
        </w:rPr>
        <w:t xml:space="preserve">control</w:t>
      </w:r>
      <w:r>
        <w:t xml:space="preserve"> </w:t>
      </w:r>
      <m:oMath>
        <m:r>
          <m:t>0.240</m:t>
        </m:r>
        <m:r>
          <m:rPr>
            <m:sty m:val="p"/>
          </m:rPr>
          <m:t>&gt;</m:t>
        </m:r>
      </m:oMath>
      <w:r>
        <w:t xml:space="preserve"> </w:t>
      </w:r>
      <w:r>
        <w:rPr>
          <w:smallCaps/>
        </w:rPr>
        <w:t xml:space="preserve">threat</w:t>
      </w:r>
      <w:r>
        <w:t xml:space="preserve"> </w:t>
      </w:r>
      <m:oMath>
        <m:r>
          <m:t>0.176</m:t>
        </m:r>
        <m:r>
          <m:rPr>
            <m:sty m:val="p"/>
          </m:rPr>
          <m:t>&gt;</m:t>
        </m:r>
      </m:oMath>
      <w:r>
        <w:t xml:space="preserve"> </w:t>
      </w:r>
      <w:r>
        <w:rPr>
          <w:smallCaps/>
        </w:rPr>
        <w:t xml:space="preserve">teaser</w:t>
      </w:r>
      <w:r>
        <w:t xml:space="preserve"> </w:t>
      </w:r>
      <m:oMath>
        <m:r>
          <m:t>0.158</m:t>
        </m:r>
        <m:r>
          <m:rPr>
            <m:sty m:val="p"/>
          </m:rPr>
          <m:t>&gt;</m:t>
        </m:r>
      </m:oMath>
      <w:r>
        <w:t xml:space="preserve"> </w:t>
      </w:r>
      <w:r>
        <w:rPr>
          <w:smallCaps/>
        </w:rPr>
        <w:t xml:space="preserve">predatory</w:t>
      </w:r>
      <w:r>
        <w:t xml:space="preserve"> </w:t>
      </w:r>
      <m:oMath>
        <m:r>
          <m:t>0.111</m:t>
        </m:r>
        <m:r>
          <m:rPr>
            <m:sty m:val="p"/>
          </m:rPr>
          <m:t>&gt;</m:t>
        </m:r>
      </m:oMath>
      <w:r>
        <w:t xml:space="preserve"> </w:t>
      </w:r>
      <w:r>
        <w:rPr>
          <w:smallCaps/>
        </w:rPr>
        <w:t xml:space="preserve">fair</w:t>
      </w:r>
      <w:r>
        <w:t xml:space="preserve"> </w:t>
      </w:r>
      <m:oMath>
        <m:r>
          <m:t>0</m:t>
        </m:r>
      </m:oMath>
      <w:r>
        <w:t xml:space="preserve">, z-scored), the</w:t>
      </w:r>
      <w:r>
        <w:t xml:space="preserve"> </w:t>
      </w:r>
      <w:r>
        <w:t xml:space="preserve">terminal trust-vector distribution of the heterogeneous population is</w:t>
      </w:r>
      <w:r>
        <w:t xml:space="preserve"> </w:t>
      </w:r>
      <w:r>
        <w:rPr>
          <w:i/>
          <w:iCs/>
        </w:rPr>
        <w:t xml:space="preserve">statistically</w:t>
      </w:r>
      <w:r>
        <w:t xml:space="preserve"> </w:t>
      </w:r>
      <w:r>
        <w:t xml:space="preserve">distinguishable from the homogeneous reference:</w:t>
      </w:r>
      <w:r>
        <w:t xml:space="preserve"> </w:t>
      </w:r>
      <w:r>
        <w:t xml:space="preserve">energy distance 0.00021, permutation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 </w:t>
      </w:r>
      <w:r>
        <w:t xml:space="preserve">(2,000</w:t>
      </w:r>
      <w:r>
        <w:t xml:space="preserve"> </w:t>
      </w:r>
      <w:r>
        <w:t xml:space="preserve">permutations) against the pre-registered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  <m:r>
          <m:rPr>
            <m:sty m:val="p"/>
          </m:rPr>
          <m:t>.</m:t>
        </m:r>
      </m:oMath>
      <w:r>
        <w:t xml:space="preserve"> </w:t>
      </w:r>
      <w:r>
        <w:t xml:space="preserve">A lower-powered</w:t>
      </w:r>
      <w:r>
        <w:t xml:space="preserve"> </w:t>
      </w:r>
      <w:r>
        <w:t xml:space="preserve">seeding — single offer per category, chain-rule estimate for</w:t>
      </w:r>
      <w:r>
        <w:t xml:space="preserve"> </w:t>
      </w:r>
      <w:r>
        <w:rPr>
          <w:smallCaps/>
        </w:rPr>
        <w:t xml:space="preserve">trust_signal</w:t>
      </w:r>
      <w:r>
        <w:t xml:space="preserve"> </w:t>
      </w:r>
      <w:r>
        <w:t xml:space="preserve">— gives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0.109</m:t>
        </m:r>
      </m:oMath>
      <w:r>
        <w:t xml:space="preserve"> </w:t>
      </w:r>
      <w:r>
        <w:t xml:space="preserve">(not significant); the</w:t>
      </w:r>
      <w:r>
        <w:t xml:space="preserve"> </w:t>
      </w:r>
      <w:r>
        <w:t xml:space="preserve">null is preserved in the record (Supporting Document §N.5). What the result</w:t>
      </w:r>
      <w:r>
        <w:t xml:space="preserve"> </w:t>
      </w:r>
      <w:r>
        <w:t xml:space="preserve">actually shows is narrower than the old headline: the seeding variable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inert</w:t>
      </w:r>
      <w:r>
        <w:t xml:space="preserve"> </w:t>
      </w:r>
      <w:r>
        <w:t xml:space="preserve">— model-predicted (battery-derived) heterogeneity produces a</w:t>
      </w:r>
      <w:r>
        <w:t xml:space="preserve"> </w:t>
      </w:r>
      <w:r>
        <w:t xml:space="preserve">statistically detectable difference in where agents end up — but an</w:t>
      </w:r>
      <w:r>
        <w:t xml:space="preserve"> </w:t>
      </w:r>
      <w:r>
        <w:t xml:space="preserve">energy distance of 0.00021 is</w:t>
      </w:r>
      <w:r>
        <w:t xml:space="preserve"> </w:t>
      </w:r>
      <w:r>
        <w:rPr>
          <w:b/>
          <w:bCs/>
        </w:rPr>
        <w:t xml:space="preserve">practically negligible</w:t>
      </w:r>
      <w:r>
        <w:t xml:space="preserve"> </w:t>
      </w:r>
      <w:r>
        <w:t xml:space="preserve">at the</w:t>
      </w:r>
      <w:r>
        <w:t xml:space="preserve"> </w:t>
      </w:r>
      <w:r>
        <w:t xml:space="preserve">tested scale, so</w:t>
      </w:r>
      <w:r>
        <w:t xml:space="preserve"> </w:t>
      </w:r>
      <w:r>
        <w:t xml:space="preserve">“heterogeneity matters for terminal outcomes”</w:t>
      </w:r>
      <w:r>
        <w:t xml:space="preserve"> </w:t>
      </w:r>
      <w:r>
        <w:t xml:space="preserve">is</w:t>
      </w:r>
      <w:r>
        <w:t xml:space="preserve"> </w:t>
      </w:r>
      <w:r>
        <w:t xml:space="preserve">supported only in the statistical sense, not in the effect-size sense,</w:t>
      </w:r>
      <w:r>
        <w:t xml:space="preserve"> </w:t>
      </w:r>
      <w:r>
        <w:t xml:space="preserve">and only under the better-powered seeding.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Sim O3 — Macroeconomic Network Resilience under Optogenetic Inhibition [Version 4.0; SUPPORTED resilience, FAIL as frozen].</w:t>
      </w:r>
      <w:r>
        <w:t xml:space="preserve"> </w:t>
      </w:r>
      <w:r>
        <w:t xml:space="preserve">To evaluate whether decentralized synchronization is vulnerable to biological heterogeneity, a causal optogenetic simulation (</w:t>
      </w:r>
      <w:r>
        <w:rPr>
          <w:b/>
          <w:bCs/>
        </w:rPr>
        <w:t xml:space="preserve">Sim O3</w:t>
      </w:r>
      <w:r>
        <w:t xml:space="preserve">;</w:t>
      </w:r>
      <w:r>
        <w:t xml:space="preserve"> </w:t>
      </w:r>
      <w:r>
        <w:t xml:space="preserve">) continuously inhibited oxytocin and serotonin signaling (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channels) in a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mutant subpopulation. Terminal global Kuramoto order parameter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decreased by only</w:t>
      </w:r>
      <w:r>
        <w:t xml:space="preserve"> </w:t>
      </w:r>
      <m:oMath>
        <m:r>
          <m:t>11.39</m:t>
        </m:r>
        <m:r>
          <m:rPr>
            <m:sty m:val="p"/>
          </m:rPr>
          <m:t>%</m:t>
        </m:r>
      </m:oMath>
      <w:r>
        <w:t xml:space="preserve">, failing the pre-registered</w:t>
      </w:r>
      <w:r>
        <w:t xml:space="preserve"> </w:t>
      </w:r>
      <m:oMath>
        <m:r>
          <m:rPr>
            <m:sty m:val="p"/>
          </m:rPr>
          <m:t>≥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fragmentation threshold (FAIL as frozen). This confirms that the collective attestation network exhibits profound structural resilience: a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"attractor black hole" of biologically decoupled agents is insufficient to fracture macroeconomic consensus among the remaining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These results establish that the composed architecture exhibits its</w:t>
      </w:r>
      <w:r>
        <w:t xml:space="preserve"> </w:t>
      </w:r>
      <w:r>
        <w:t xml:space="preserve">claimed population-level properties in silico — and, in P1b, where</w:t>
      </w:r>
      <w:r>
        <w:t xml:space="preserve"> </w:t>
      </w:r>
      <w:r>
        <w:t xml:space="preserve">those properties break. They do not substitute for deployment</w:t>
      </w:r>
      <w:r>
        <w:t xml:space="preserve"> </w:t>
      </w:r>
      <w:r>
        <w:t xml:space="preserve">measurements.</w:t>
      </w:r>
    </w:p>
    <w:bookmarkEnd w:id="56"/>
    <w:bookmarkStart w:id="65" w:name="X11e5a0ae978a1d751353869e6f909600f0919a4"/>
    <w:p>
      <w:pPr>
        <w:pStyle w:val="Heading2"/>
      </w:pPr>
      <w:r>
        <w:t xml:space="preserve">3.7 Network, information, and behavioral-agent results (Sim</w:t>
      </w:r>
      <w:r>
        <w:t xml:space="preserve"> </w:t>
      </w:r>
      <w:r>
        <w:t xml:space="preserve">P5–P8)</w:t>
      </w:r>
      <w:r>
        <w:t xml:space="preserve"> </w:t>
      </w:r>
      <w:r>
        <w:t xml:space="preserve">[</w:t>
      </w:r>
      <w:r>
        <w:t xml:space="preserve">SIMULATION</w:t>
      </w:r>
      <w:r>
        <w:t xml:space="preserve">]</w:t>
      </w:r>
    </w:p>
    <w:p>
      <w:pPr>
        <w:pStyle w:val="FirstParagraph"/>
      </w:pPr>
      <w:r>
        <w:t xml:space="preserve">The §3.6 population runs establish what the protocol does at the</w:t>
      </w:r>
      <w:r>
        <w:t xml:space="preserve"> </w:t>
      </w:r>
      <w:r>
        <w:t xml:space="preserve">collective-dynamics level; they do not yet test the properties that</w:t>
      </w:r>
      <w:r>
        <w:t xml:space="preserve"> </w:t>
      </w:r>
      <w:r>
        <w:t xml:space="preserve">distinguish the architecture from its surveillance alternative at the</w:t>
      </w:r>
      <w:r>
        <w:t xml:space="preserve"> </w:t>
      </w:r>
      <w:r>
        <w:t xml:space="preserve">network level: who learns from whom, how far a compromise reaches, and</w:t>
      </w:r>
      <w:r>
        <w:t xml:space="preserve"> </w:t>
      </w:r>
      <w:r>
        <w:t xml:space="preserve">whether the validation stream protects boundedly rational agents. A</w:t>
      </w:r>
      <w:r>
        <w:t xml:space="preserve"> </w:t>
      </w:r>
      <w:r>
        <w:t xml:space="preserve">fourth simulation battery (seed 20260905; full protocol, estimator</w:t>
      </w:r>
      <w:r>
        <w:t xml:space="preserve"> </w:t>
      </w:r>
      <w:r>
        <w:t xml:space="preserve">details, and the complete audit trail in the Supporting Document, §Q)</w:t>
      </w:r>
      <w:r>
        <w:t xml:space="preserve"> </w:t>
      </w:r>
      <w:r>
        <w:t xml:space="preserve">tests exactly these, using the standard instruments of each relevant</w:t>
      </w:r>
      <w:r>
        <w:t xml:space="preserve"> </w:t>
      </w:r>
      <w:r>
        <w:t xml:space="preserve">literature — transfer entropy for directed information flow</w:t>
      </w:r>
      <w:r>
        <w:t xml:space="preserve"> </w:t>
      </w:r>
      <w:r>
        <w:t xml:space="preserve">, cascade propagation on custody topologies, and</w:t>
      </w:r>
      <w:r>
        <w:t xml:space="preserve"> </w:t>
      </w:r>
      <m:oMath>
        <m:r>
          <m:t>β</m:t>
        </m:r>
        <m:r>
          <m:t>δ</m:t>
        </m:r>
      </m:oMath>
      <w:r>
        <w:t xml:space="preserve"> </w:t>
      </w:r>
      <w:r>
        <w:t xml:space="preserve">present-biased agents for behavioral response</w:t>
      </w:r>
      <w:r>
        <w:t xml:space="preserve"> </w:t>
      </w:r>
      <w:r>
        <w:t xml:space="preserve">. All criteria were pre-registered in</w:t>
      </w:r>
      <w:r>
        <w:t xml:space="preserve"> </w:t>
      </w:r>
      <w:r>
        <w:t xml:space="preserve">code; all reported runs are bit-identical under re-execution.</w:t>
      </w:r>
    </w:p>
    <w:bookmarkStart w:id="60" w:name="fig:p8"/>
    <w:p>
      <w:pPr>
        <w:pStyle w:val="CaptionedFigure"/>
      </w:pPr>
      <w:r>
        <w:drawing>
          <wp:inline>
            <wp:extent cx="4907280" cy="359335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ures/figP8_sybil_deterrenc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93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9.</w:t>
      </w:r>
      <w:r>
        <w:t xml:space="preserve"> </w:t>
      </w:r>
      <w:r>
        <w:t xml:space="preserve">Sim P8 (§3.7), explicit master-law preset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0.005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/event: (a) Sybil cost versus attestation multiplier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(log–log; $1.01 unattested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$1</w:t>
      </w:r>
      <w:r>
        <w:t xml:space="preserve">,</w:t>
      </w:r>
      <w:r>
        <w:t xml:space="preserve">005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for 10 units of standing) with the block-rollup honest-cost baseline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/event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events per anchor); (b) the wall-clock time floor quoted per rate (5.5/1.4 years for 1</w:t>
      </w:r>
      <w:r>
        <w:t xml:space="preserve">,</w:t>
      </w:r>
      <w:r>
        <w:t xml:space="preserve">005 attested events at 0.5/</w:t>
      </w:r>
      <m:oMath>
        <m:r>
          <m:rPr>
            <m:sty m:val="p"/>
          </m:rPr>
          <m:t>≤</m:t>
        </m:r>
      </m:oMath>
      <w:r>
        <w:t xml:space="preserve">2 events/day;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0.55–1.1 years at the model’s own high-standing rates of 2.5–3.76 events/day, 5/day max grid; 0.73 yr at 3.76/day; 0.55 yr at 5/day; parallel-provider collusion divides the floor, §3.7); (c) repair-versus-whitewash standing advantage by defection severity — significant for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8</m:t>
        </m:r>
      </m:oMath>
      <w:r>
        <w:t xml:space="preserve">, statistically tied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under the bare standing metric; (d) on-off cycling net utility versus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: net-negative exactly at the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preset under immediate feedback, while custodial batched feedback with free re-entry stays profitable at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60"/>
    <w:bookmarkStart w:id="64" w:name="fig:p5"/>
    <w:p>
      <w:pPr>
        <w:pStyle w:val="CaptionedFigure"/>
      </w:pPr>
      <w:r>
        <w:drawing>
          <wp:inline>
            <wp:extent cx="4907280" cy="272800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figP5_transfer_entropy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2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10.</w:t>
      </w:r>
      <w:r>
        <w:t xml:space="preserve"> </w:t>
      </w:r>
      <w:r>
        <w:t xml:space="preserve">Sim P5 (§3.7): surrogate-corrected transfer entropy between agent and validator under bilateral validation (protocol:</w:t>
      </w:r>
      <w:r>
        <w:t xml:space="preserve"> </w:t>
      </w:r>
      <m:oMath>
        <m:r>
          <m:t>0.0315</m:t>
        </m:r>
        <m:r>
          <m:rPr>
            <m:sty m:val="p"/>
          </m:rPr>
          <m:t>±</m:t>
        </m:r>
        <m:r>
          <m:t>0.003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0.0283</m:t>
        </m:r>
        <m:r>
          <m:rPr>
            <m:sty m:val="p"/>
          </m:rPr>
          <m:t>±</m:t>
        </m:r>
        <m:r>
          <m:t>0.002</m:t>
        </m:r>
      </m:oMath>
      <w:r>
        <w:t xml:space="preserve"> </w:t>
      </w:r>
      <w:r>
        <w:t xml:space="preserve">bits) versus surveillance (</w:t>
      </w:r>
      <m:oMath>
        <m:r>
          <m:t>0.121</m:t>
        </m:r>
        <m:r>
          <m:rPr>
            <m:sty m:val="p"/>
          </m:rPr>
          <m:t>±</m:t>
        </m:r>
        <m:r>
          <m:t>0.005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  <m:r>
          <m:rPr>
            <m:sty m:val="p"/>
          </m:rPr>
          <m:t>±</m:t>
        </m:r>
        <m:r>
          <m:t>0.001</m:t>
        </m:r>
      </m:oMath>
      <w:r>
        <w:t xml:space="preserve"> </w:t>
      </w:r>
      <w:r>
        <w:t xml:space="preserve">bits), 95% CIs across 8 replicas, with the 0.01-bit detection floor marked; every replica lands on the correct side of the floor in both architectures. Magnitudes are floor-adjacent, so no ratio headline is reported.</w:t>
      </w:r>
    </w:p>
    <w:bookmarkEnd w:id="64"/>
    <w:p>
      <w:pPr>
        <w:numPr>
          <w:ilvl w:val="0"/>
          <w:numId w:val="1007"/>
        </w:numPr>
      </w:pPr>
      <w:r>
        <w:rPr>
          <w:b/>
          <w:bCs/>
        </w:rPr>
        <w:t xml:space="preserve">Sim P5 — Information-flow symmetry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SUPPORTED, with a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detection-floor caveat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Directed information flow between a fixed</w:t>
      </w:r>
      <w:r>
        <w:t xml:space="preserve"> </w:t>
      </w:r>
      <w:r>
        <w:t xml:space="preserve">agent and a validator, measured by surrogate-corrected transfer</w:t>
      </w:r>
      <w:r>
        <w:t xml:space="preserve"> </w:t>
      </w:r>
      <w:r>
        <w:t xml:space="preserve">entropy (</w:t>
      </w:r>
      <w:r>
        <w:t xml:space="preserve">; 4 bins, 4,000 steps, 20</w:t>
      </w:r>
      <w:r>
        <w:t xml:space="preserve"> </w:t>
      </w:r>
      <w:r>
        <w:t xml:space="preserve">circular-shift surrogates), is bidirectional under the protocol’s</w:t>
      </w:r>
      <w:r>
        <w:t xml:space="preserve"> </w:t>
      </w:r>
      <w:r>
        <w:t xml:space="preserve">bilateral-validation architecture (agent</w:t>
      </w:r>
      <m:oMath>
        <m:r>
          <m:rPr>
            <m:sty m:val="p"/>
          </m:rPr>
          <m:t>→</m:t>
        </m:r>
      </m:oMath>
      <w:r>
        <w:t xml:space="preserve">validator</w:t>
      </w:r>
      <w:r>
        <w:t xml:space="preserve"> </w:t>
      </w:r>
      <m:oMath>
        <m:r>
          <m:t>0.0315</m:t>
        </m:r>
        <m:r>
          <m:rPr>
            <m:sty m:val="p"/>
          </m:rPr>
          <m:t>±</m:t>
        </m:r>
        <m:r>
          <m:t>0.003</m:t>
        </m:r>
      </m:oMath>
      <w:r>
        <w:t xml:space="preserve"> </w:t>
      </w:r>
      <w:r>
        <w:t xml:space="preserve">bits, validator</w:t>
      </w:r>
      <m:oMath>
        <m:r>
          <m:rPr>
            <m:sty m:val="p"/>
          </m:rPr>
          <m:t>→</m:t>
        </m:r>
      </m:oMath>
      <w:r>
        <w:t xml:space="preserve">agent</w:t>
      </w:r>
      <w:r>
        <w:t xml:space="preserve"> </w:t>
      </w:r>
      <m:oMath>
        <m:r>
          <m:t>0.0283</m:t>
        </m:r>
        <m:r>
          <m:rPr>
            <m:sty m:val="p"/>
          </m:rPr>
          <m:t>±</m:t>
        </m:r>
        <m:r>
          <m:t>0.002</m:t>
        </m:r>
      </m:oMath>
      <w:r>
        <w:t xml:space="preserve"> </w:t>
      </w:r>
      <w:r>
        <w:t xml:space="preserve">bits — 95% CIs across 8 replicas; every replica above the 0.01-bit</w:t>
      </w:r>
      <w:r>
        <w:t xml:space="preserve"> </w:t>
      </w:r>
      <w:r>
        <w:t xml:space="preserve">detection threshold in both directions) and one-directional under the</w:t>
      </w:r>
      <w:r>
        <w:t xml:space="preserve"> </w:t>
      </w:r>
      <w:r>
        <w:t xml:space="preserve">surveillance architecture (agent</w:t>
      </w:r>
      <m:oMath>
        <m:r>
          <m:rPr>
            <m:sty m:val="p"/>
          </m:rPr>
          <m:t>→</m:t>
        </m:r>
      </m:oMath>
      <w:r>
        <w:t xml:space="preserve">validator</w:t>
      </w:r>
      <w:r>
        <w:t xml:space="preserve"> </w:t>
      </w:r>
      <m:oMath>
        <m:r>
          <m:t>0.121</m:t>
        </m:r>
        <m:r>
          <m:rPr>
            <m:sty m:val="p"/>
          </m:rPr>
          <m:t>±</m:t>
        </m:r>
        <m:r>
          <m:t>0.005</m:t>
        </m:r>
      </m:oMath>
      <w:r>
        <w:t xml:space="preserve"> </w:t>
      </w:r>
      <w:r>
        <w:t xml:space="preserve">bits, validator</w:t>
      </w:r>
      <m:oMath>
        <m:r>
          <m:rPr>
            <m:sty m:val="p"/>
          </m:rPr>
          <m:t>→</m:t>
        </m:r>
      </m:oMath>
      <w:r>
        <w:t xml:space="preserve">agent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</m:oMath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0.001 bits —</w:t>
      </w:r>
      <w:r>
        <w:t xml:space="preserve"> </w:t>
      </w:r>
      <w:r>
        <w:t xml:space="preserve">surrogate overcorrection to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0; every replica at or below</w:t>
      </w:r>
      <w:r>
        <w:t xml:space="preserve"> </w:t>
      </w:r>
      <w:r>
        <w:t xml:space="preserve">threshold in the return direction). The pre-registered hypothesis —</w:t>
      </w:r>
      <w:r>
        <w:t xml:space="preserve"> </w:t>
      </w:r>
      <w:r>
        <w:t xml:space="preserve">bilateral validation is symmetric, surveillance is not — survives a</w:t>
      </w:r>
      <w:r>
        <w:t xml:space="preserve"> </w:t>
      </w:r>
      <w:r>
        <w:t xml:space="preserve">bias-corrected estimator; the uncorrected estimator inverts the result</w:t>
      </w:r>
      <w:r>
        <w:t xml:space="preserve"> </w:t>
      </w:r>
      <w:r>
        <w:t xml:space="preserve">(audit trail, §Q.3).</w:t>
      </w:r>
      <w:r>
        <w:t xml:space="preserve"> </w:t>
      </w:r>
      <w:r>
        <w:rPr>
          <w:b/>
          <w:bCs/>
        </w:rPr>
        <w:t xml:space="preserve">Caveats:</w:t>
      </w:r>
      <w:r>
        <w:t xml:space="preserve"> </w:t>
      </w:r>
      <w:r>
        <w:t xml:space="preserve">the reported quantities sit within</w:t>
      </w:r>
      <w:r>
        <w:t xml:space="preserve"> </w:t>
      </w:r>
      <w:r>
        <w:t xml:space="preserve">roughly</w:t>
      </w:r>
      <w:r>
        <w:t xml:space="preserve"> </w:t>
      </w:r>
      <m:oMath>
        <m:r>
          <m:t>2.8</m:t>
        </m:r>
        <m:r>
          <m:rPr>
            <m:sty m:val="p"/>
          </m:rPr>
          <m:t>×</m:t>
        </m:r>
      </m:oMath>
      <w:r>
        <w:t xml:space="preserve">–</w:t>
      </w:r>
      <m:oMath>
        <m:r>
          <m:t>12</m:t>
        </m:r>
        <m:r>
          <m:rPr>
            <m:sty m:val="p"/>
          </m:rPr>
          <m:t>×</m:t>
        </m:r>
      </m:oMath>
      <w:r>
        <w:t xml:space="preserve"> </w:t>
      </w:r>
      <w:r>
        <w:t xml:space="preserve">of the 0.01-bit detection floor, so the</w:t>
      </w:r>
      <w:r>
        <w:t xml:space="preserve"> </w:t>
      </w:r>
      <w:r>
        <w:rPr>
          <w:i/>
          <w:iCs/>
        </w:rPr>
        <w:t xml:space="preserve">directions</w:t>
      </w:r>
      <w:r>
        <w:t xml:space="preserve"> </w:t>
      </w:r>
      <w:r>
        <w:t xml:space="preserve">of flow are robust (every replica on the correct</w:t>
      </w:r>
      <w:r>
        <w:t xml:space="preserve"> </w:t>
      </w:r>
      <w:r>
        <w:t xml:space="preserve">side of the threshold) while the</w:t>
      </w:r>
      <w:r>
        <w:t xml:space="preserve"> </w:t>
      </w:r>
      <w:r>
        <w:rPr>
          <w:i/>
          <w:iCs/>
        </w:rPr>
        <w:t xml:space="preserve">magnitudes</w:t>
      </w:r>
      <w:r>
        <w:t xml:space="preserve"> </w:t>
      </w:r>
      <w:r>
        <w:t xml:space="preserve">are floor-adjacent</w:t>
      </w:r>
      <w:r>
        <w:t xml:space="preserve"> </w:t>
      </w:r>
      <w:r>
        <w:t xml:space="preserve">estimates; no ratio headline (e.g.,</w:t>
      </w:r>
      <w:r>
        <w:t xml:space="preserve"> </w:t>
      </w:r>
      <w:r>
        <w:t xml:space="preserve">“surveillance extracts roughly four times more information”</w:t>
      </w:r>
      <w:r>
        <w:t xml:space="preserve">) is claimed — unreliable at these floor-adjacent magnitudes. Per-replica confidence intervals were not computed in the first battery and are registered as a re-run requirement for the Supporting Document.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Sim P6 — Custody topology and cascade reach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structural argument; no cascade model</w:t>
      </w:r>
      <w:r>
        <w:rPr>
          <w:b/>
          <w:bCs/>
        </w:rPr>
        <w:t xml:space="preserve"> </w:t>
      </w:r>
      <w:r>
        <w:rPr>
          <w:b/>
          <w:bCs/>
        </w:rPr>
        <w:t xml:space="preserve">claimed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A DebtRank-style cascade</w:t>
      </w:r>
      <w:r>
        <w:t xml:space="preserve"> </w:t>
      </w:r>
      <w:r>
        <w:t xml:space="preserve"> </w:t>
      </w:r>
      <w:r>
        <w:t xml:space="preserve">is not</w:t>
      </w:r>
      <w:r>
        <w:t xml:space="preserve"> </w:t>
      </w:r>
      <w:r>
        <w:t xml:space="preserve">applied to data custody, for two reasons.</w:t>
      </w:r>
      <w:r>
        <w:t xml:space="preserve"> </w:t>
      </w:r>
      <w:r>
        <w:rPr>
          <w:b/>
          <w:bCs/>
        </w:rPr>
        <w:t xml:space="preserve">(i) Category error:</w:t>
      </w:r>
      <w:r>
        <w:t xml:space="preserve"> </w:t>
      </w:r>
      <w:r>
        <w:t xml:space="preserve">DebtRank models distress propagation</w:t>
      </w:r>
      <w:r>
        <w:t xml:space="preserve"> </w:t>
      </w:r>
      <w:r>
        <w:t xml:space="preserve">through interbank</w:t>
      </w:r>
      <w:r>
        <w:t xml:space="preserve"> </w:t>
      </w:r>
      <w:r>
        <w:rPr>
          <w:i/>
          <w:iCs/>
        </w:rPr>
        <w:t xml:space="preserve">balance-sheet exposure</w:t>
      </w:r>
      <w:r>
        <w:t xml:space="preserve"> </w:t>
      </w:r>
      <w:r>
        <w:t xml:space="preserve">— nodes are</w:t>
      </w:r>
      <w:r>
        <w:t xml:space="preserve"> </w:t>
      </w:r>
      <w:r>
        <w:t xml:space="preserve">institutions, edges are debt/credit exposures, the state variable is</w:t>
      </w:r>
      <w:r>
        <w:t xml:space="preserve"> </w:t>
      </w:r>
      <w:r>
        <w:t xml:space="preserve">equity loss. A breached data custodian leaks entrusted records</w:t>
      </w:r>
      <w:r>
        <w:t xml:space="preserve"> </w:t>
      </w:r>
      <w:r>
        <w:t xml:space="preserve">regardless of any counterparty’s equity; records are not debts, breach</w:t>
      </w:r>
      <w:r>
        <w:t xml:space="preserve"> </w:t>
      </w:r>
      <w:r>
        <w:t xml:space="preserve">exposure does not transmit proportionally through balance sheets, and</w:t>
      </w:r>
      <w:r>
        <w:t xml:space="preserve"> </w:t>
      </w:r>
      <w:r>
        <w:t xml:space="preserve">TFP’s tenants are not nodes in a lending network. No established</w:t>
      </w:r>
      <w:r>
        <w:t xml:space="preserve"> </w:t>
      </w:r>
      <w:r>
        <w:t xml:space="preserve">cascade model for centralized-vs-distributed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custody</w:t>
      </w:r>
      <w:r>
        <w:t xml:space="preserve"> </w:t>
      </w:r>
      <w:r>
        <w:t xml:space="preserve">exists; we state this as a literature gap rather than borrow a model</w:t>
      </w:r>
      <w:r>
        <w:t xml:space="preserve"> </w:t>
      </w:r>
      <w:r>
        <w:t xml:space="preserve">from the wrong substrate (the nearest quantitative precedent is the</w:t>
      </w:r>
      <w:r>
        <w:t xml:space="preserve"> </w:t>
      </w:r>
      <w:r>
        <w:t xml:space="preserve">cyber-accumulation literature in insurance, which prices correlated</w:t>
      </w:r>
      <w:r>
        <w:t xml:space="preserve"> </w:t>
      </w:r>
      <w:r>
        <w:t xml:space="preserve">loss from shared infrastructure).</w:t>
      </w:r>
      <w:r>
        <w:t xml:space="preserve"> </w:t>
      </w:r>
      <w:r>
        <w:rPr>
          <w:b/>
          <w:bCs/>
        </w:rPr>
        <w:t xml:space="preserve">(ii) Tautology risk:</w:t>
      </w:r>
      <w:r>
        <w:t xml:space="preserve"> </w:t>
      </w:r>
      <w:r>
        <w:t xml:space="preserve">an</w:t>
      </w:r>
      <w:r>
        <w:t xml:space="preserve"> </w:t>
      </w:r>
      <w:r>
        <w:t xml:space="preserve">“isolation stays at</w:t>
      </w:r>
      <w:r>
        <w:t xml:space="preserve"> </w:t>
      </w:r>
      <m:oMath>
        <m:r>
          <m:t>1.0</m:t>
        </m:r>
        <m:r>
          <m:rPr>
            <m:sty m:val="p"/>
          </m:rPr>
          <m:t>×</m:t>
        </m:r>
      </m:oMath>
      <w:r>
        <w:t xml:space="preserve">”</w:t>
      </w:r>
      <w:r>
        <w:t xml:space="preserve"> </w:t>
      </w:r>
      <w:r>
        <w:t xml:space="preserve">figure would be true by</w:t>
      </w:r>
      <w:r>
        <w:t xml:space="preserve"> </w:t>
      </w:r>
      <w:r>
        <w:t xml:space="preserve">construction — there are no edges — a test that could not fail. What is claimed,</w:t>
      </w:r>
      <w:r>
        <w:t xml:space="preserve"> </w:t>
      </w:r>
      <w:r>
        <w:t xml:space="preserve">stated for what it is: per-tenant isolation bounds cascade reach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 </w:t>
      </w:r>
      <w:r>
        <w:t xml:space="preserve">(a compromise cannot propagate along edges that</w:t>
      </w:r>
      <w:r>
        <w:t xml:space="preserve"> </w:t>
      </w:r>
      <w:r>
        <w:t xml:space="preserve">do not exist), and connectivity of any kind is the propagation channel</w:t>
      </w:r>
      <w:r>
        <w:t xml:space="preserve"> </w:t>
      </w:r>
      <w:r>
        <w:t xml:space="preserve">— a structural observation, not a measurement. The</w:t>
      </w:r>
      <w:r>
        <w:t xml:space="preserve"> </w:t>
      </w:r>
      <w:r>
        <w:rPr>
          <w:i/>
          <w:iCs/>
        </w:rPr>
        <w:t xml:space="preserve">quantitative</w:t>
      </w:r>
      <w:r>
        <w:t xml:space="preserve"> </w:t>
      </w:r>
      <w:r>
        <w:t xml:space="preserve">security comparison, with the probability side</w:t>
      </w:r>
      <w:r>
        <w:t xml:space="preserve"> </w:t>
      </w:r>
      <w:r>
        <w:t xml:space="preserve">restored, is §3.9’s expected-loss analysis; the qualitative</w:t>
      </w:r>
      <w:r>
        <w:t xml:space="preserve"> </w:t>
      </w:r>
      <w:r>
        <w:t xml:space="preserve">concentration argument — shared clients and dependencies re-create</w:t>
      </w:r>
      <w:r>
        <w:t xml:space="preserve"> </w:t>
      </w:r>
      <w:r>
        <w:t xml:space="preserve">common-mode failure even under per-tenant custody (</w:t>
      </w:r>
      <w:r>
        <w:t xml:space="preserve">,</w:t>
      </w:r>
      <w:r>
        <w:t xml:space="preserve"> </w:t>
      </w:r>
      <w:r>
        <w:t xml:space="preserve">software monoculture; §3.9 precedents) — is the supportable form of the custody-concentration point.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Sim P7 — Behavioral-agent protection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SUPPORTED, with a</w:t>
      </w:r>
      <w:r>
        <w:rPr>
          <w:b/>
          <w:bCs/>
        </w:rPr>
        <w:t xml:space="preserve"> </w:t>
      </w:r>
      <w:r>
        <w:rPr>
          <w:b/>
          <w:bCs/>
        </w:rPr>
        <w:t xml:space="preserve">stated sensitivity gap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A population of present-biased agents</w:t>
      </w:r>
      <w:r>
        <w:t xml:space="preserve"> </w:t>
      </w:r>
      <w:r>
        <w:t xml:space="preserve">(</w:t>
      </w:r>
      <m:oMath>
        <m:r>
          <m:t>β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0.95</m:t>
        </m:r>
        <m:r>
          <m:rPr>
            <m:sty m:val="p"/>
          </m:rPr>
          <m:t>,</m:t>
        </m:r>
        <m:r>
          <m:t>0.999</m:t>
        </m:r>
        <m:r>
          <m:rPr>
            <m:sty m:val="p"/>
          </m:rPr>
          <m:t>)</m:t>
        </m:r>
      </m:oMath>
      <w:r>
        <w:t xml:space="preserve">, horizons</w:t>
      </w:r>
      <w:r>
        <w:t xml:space="preserve"> </w:t>
      </w:r>
      <w:r>
        <w:t xml:space="preserve">6–24 steps) is offered adversarial contracts whose deferred cost</w:t>
      </w:r>
      <w:r>
        <w:t xml:space="preserve"> </w:t>
      </w:r>
      <w:r>
        <w:t xml:space="preserve">exceeds the agent’s</w:t>
      </w:r>
      <w:r>
        <w:t xml:space="preserve"> </w:t>
      </w:r>
      <m:oMath>
        <m:r>
          <m:t>β</m:t>
        </m:r>
      </m:oMath>
      <w:r>
        <w:t xml:space="preserve">-discounted perception. With the</w:t>
      </w:r>
      <w:r>
        <w:t xml:space="preserve"> </w:t>
      </w:r>
      <w:r>
        <w:t xml:space="preserve">immediate-validation stream ON — which renders the deferred cost</w:t>
      </w:r>
      <w:r>
        <w:t xml:space="preserve"> </w:t>
      </w:r>
      <w:r>
        <w:t xml:space="preserve">salient, partially correcting effective present bias — uptake falls</w:t>
      </w:r>
      <w:r>
        <w:t xml:space="preserve"> </w:t>
      </w:r>
      <w:r>
        <w:t xml:space="preserve">from 0.725 to 0.284, a mean paired reduction of 0.441, permutation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0.004</m:t>
        </m:r>
      </m:oMath>
      <w:r>
        <w:t xml:space="preserve"> </w:t>
      </w:r>
      <w:r>
        <w:t xml:space="preserve">(2,000 sign-flips, 8 replicas). This is the agent-level</w:t>
      </w:r>
      <w:r>
        <w:t xml:space="preserve"> </w:t>
      </w:r>
      <w:r>
        <w:t xml:space="preserve">mechanism behind §4’s observation-distortion argument run in the</w:t>
      </w:r>
      <w:r>
        <w:t xml:space="preserve"> </w:t>
      </w:r>
      <w:r>
        <w:t xml:space="preserve">protective direction: the same immediacy that surveillance weaponizes</w:t>
      </w:r>
      <w:r>
        <w:t xml:space="preserve"> </w:t>
      </w:r>
      <w:r>
        <w:t xml:space="preserve">is what lets validation inform the agent in time to matter.</w:t>
      </w:r>
      <w:r>
        <w:t xml:space="preserve"> </w:t>
      </w:r>
      <w:r>
        <w:rPr>
          <w:b/>
          <w:bCs/>
        </w:rPr>
        <w:t xml:space="preserve">Limitation (added):</w:t>
      </w:r>
      <w:r>
        <w:t xml:space="preserve"> </w:t>
      </w:r>
      <w:r>
        <w:t xml:space="preserve">the protective effect runs through a</w:t>
      </w:r>
      <w:r>
        <w:t xml:space="preserve"> </w:t>
      </w:r>
      <w:r>
        <w:t xml:space="preserve">salience parameter — how strongly the validation stream raises the</w:t>
      </w:r>
      <w:r>
        <w:t xml:space="preserve"> </w:t>
      </w:r>
      <w:r>
        <w:t xml:space="preserve">subjective weight of deferred cost — and that parameter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swept in the original battery; the size of the uptake</w:t>
      </w:r>
      <w:r>
        <w:t xml:space="preserve"> </w:t>
      </w:r>
      <w:r>
        <w:t xml:space="preserve">reduction should be read as existence-of-effect at one salience</w:t>
      </w:r>
      <w:r>
        <w:t xml:space="preserve"> </w:t>
      </w:r>
      <w:r>
        <w:t xml:space="preserve">setting, not as an effect-size estimate. A salience-parameter</w:t>
      </w:r>
      <w:r>
        <w:t xml:space="preserve"> </w:t>
      </w:r>
      <w:r>
        <w:t xml:space="preserve">sensitivity analysis is registered as a Supporting Document re-run;</w:t>
      </w:r>
      <w:r>
        <w:t xml:space="preserve"> </w:t>
      </w:r>
      <w:r>
        <w:t xml:space="preserve">its absence is a stated limitation, and it interacts with §4’s finding</w:t>
      </w:r>
      <w:r>
        <w:t xml:space="preserve"> </w:t>
      </w:r>
      <w:r>
        <w:t xml:space="preserve">that the protocol’s own measurement salience is minimized but nonzero.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Sim P5b — Heavy-tailed event outcomes (stylized-fact check)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SUPPORTED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The base population model’s per-agent-step L1 trust</w:t>
      </w:r>
      <w:r>
        <w:t xml:space="preserve"> </w:t>
      </w:r>
      <w:r>
        <w:t xml:space="preserve">reallocations are heavy-tailed (excess kurtosis 1.9), as required of</w:t>
      </w:r>
      <w:r>
        <w:t xml:space="preserve"> </w:t>
      </w:r>
      <w:r>
        <w:t xml:space="preserve">any model whose validation targets exhibit the intermittent, clustered</w:t>
      </w:r>
      <w:r>
        <w:t xml:space="preserve"> </w:t>
      </w:r>
      <w:r>
        <w:t xml:space="preserve">event structure observed in real interaction streams. This follows the</w:t>
      </w:r>
      <w:r>
        <w:t xml:space="preserve"> </w:t>
      </w:r>
      <w:r>
        <w:t xml:space="preserve">complexity-economics validation norm — agent-based models are</w:t>
      </w:r>
      <w:r>
        <w:t xml:space="preserve"> </w:t>
      </w:r>
      <w:r>
        <w:t xml:space="preserve">validated against stylized facts and emergent macro-patterns, not</w:t>
      </w:r>
      <w:r>
        <w:t xml:space="preserve"> </w:t>
      </w:r>
      <w:r>
        <w:t xml:space="preserve">point forecasts</w:t>
      </w:r>
      <w:r>
        <w:t xml:space="preserve"> 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Sim P8 — Canonical attack strategies, and the honest cost of</w:t>
      </w:r>
      <w:r>
        <w:rPr>
          <w:b/>
          <w:bCs/>
        </w:rPr>
        <w:t xml:space="preserve"> </w:t>
      </w:r>
      <w:r>
        <w:rPr>
          <w:b/>
          <w:bCs/>
        </w:rPr>
        <w:t xml:space="preserve">manufactured history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SUPPORTED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A fifth battery (seed 20260907; protocol and criteria in the</w:t>
      </w:r>
      <w:r>
        <w:t xml:space="preserve"> </w:t>
      </w:r>
      <w:r>
        <w:t xml:space="preserve">Supporting Document, §R) instantiates the reputation-systems attack</w:t>
      </w:r>
      <w:r>
        <w:t xml:space="preserve"> </w:t>
      </w:r>
      <w:r>
        <w:t xml:space="preserve">taxonomy</w:t>
      </w:r>
      <w:r>
        <w:t xml:space="preserve"> </w:t>
      </w:r>
      <w:r>
        <w:t xml:space="preserve"> </w:t>
      </w:r>
      <w:r>
        <w:t xml:space="preserve">— the computational</w:t>
      </w:r>
      <w:r>
        <w:t xml:space="preserve"> </w:t>
      </w:r>
      <w:r>
        <w:t xml:space="preserve">continuation of the iterated-trust-game lineage from the Axelrod</w:t>
      </w:r>
      <w:r>
        <w:t xml:space="preserve"> </w:t>
      </w:r>
      <w:r>
        <w:t xml:space="preserve">tournaments through its canonical public demonstration</w:t>
      </w:r>
      <w:r>
        <w:t xml:space="preserve"> </w:t>
      </w:r>
      <w:r>
        <w:t xml:space="preserve"> </w:t>
      </w:r>
      <w:r>
        <w:t xml:space="preserve">— against the protocol’s update rule, against a</w:t>
      </w:r>
      <w:r>
        <w:t xml:space="preserve"> </w:t>
      </w:r>
      <w:r>
        <w:t xml:space="preserve">custodial-reputation baseline (free identity creation at default</w:t>
      </w:r>
      <w:r>
        <w:t xml:space="preserve"> </w:t>
      </w:r>
      <w:r>
        <w:t xml:space="preserve">standing, no history-depth term, batched feedback). Figure 9</w:t>
      </w:r>
      <w:r>
        <w:t xml:space="preserve"> </w:t>
      </w:r>
      <w:r>
        <w:t xml:space="preserve">renders the battery. Update-law provenance, stated per the Technical</w:t>
      </w:r>
      <w:r>
        <w:t xml:space="preserve"> </w:t>
      </w:r>
      <w:r>
        <w:t xml:space="preserve">Appendix’s mathematical development (§M): the protocol layer of the</w:t>
      </w:r>
      <w:r>
        <w:t xml:space="preserve"> </w:t>
      </w:r>
      <w:r>
        <w:t xml:space="preserve">master law is the asymmetric preset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(break/build asymmetry); the Technical Appendix Sim-Battery A</w:t>
      </w:r>
      <w:r>
        <w:t xml:space="preserve"> </w:t>
      </w:r>
      <w:r>
        <w:t xml:space="preserve">verification runs implement the master law 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0.02</m:t>
        </m:r>
        <m:r>
          <m:rPr>
            <m:sty m:val="p"/>
          </m:rPr>
          <m:t>,</m:t>
        </m:r>
      </m:oMath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0.005</m:t>
        </m:r>
      </m:oMath>
      <w:r>
        <w:t xml:space="preserve"> </w:t>
      </w:r>
      <w:r>
        <w:t xml:space="preserve">(4</w:t>
      </w:r>
      <m:oMath>
        <m:r>
          <m:rPr>
            <m:sty m:val="p"/>
          </m:rPr>
          <m:t>×</m:t>
        </m:r>
      </m:oMath>
      <w:r>
        <w:t xml:space="preserve">), and the archived P8 record does not establish whether the reported runs used the explicit asymmetric preset, so the P8 figures below are provisional; the P8 battery is registered for a verification re-run under the explicit asymmetric preset. The on-off threshold below (</w:t>
      </w:r>
      <w:r>
        <w:t xml:space="preserve">“net-negative</w:t>
      </w:r>
      <w:r>
        <w:t xml:space="preserve"> </w:t>
      </w:r>
      <w:r>
        <w:t xml:space="preserve">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”</w:t>
      </w:r>
      <w:r>
        <w:t xml:space="preserve">) refers to the betrayal-leg sensitivity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 simulation parameter, not a prediction about any</w:t>
      </w:r>
      <w:r>
        <w:t xml:space="preserve"> </w:t>
      </w:r>
      <w:r>
        <w:t xml:space="preserve">population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numPr>
          <w:ilvl w:val="1"/>
          <w:numId w:val="1008"/>
        </w:numPr>
      </w:pPr>
      <w:r>
        <w:rPr>
          <w:i/>
          <w:iCs/>
        </w:rPr>
        <w:t xml:space="preserve">Sybil scaling is exactly linear</w:t>
      </w:r>
      <w:r>
        <w:t xml:space="preserve"> </w:t>
      </w:r>
      <w:r>
        <w:t xml:space="preserve">— cost per unit aggregate</w:t>
      </w:r>
      <w:r>
        <w:t xml:space="preserve"> </w:t>
      </w:r>
      <w:r>
        <w:t xml:space="preserve">standing flat at 100.5 events across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–16 identities, and a</w:t>
      </w:r>
      <w:r>
        <w:t xml:space="preserve"> </w:t>
      </w:r>
      <w:r>
        <w:t xml:space="preserve">fixed budget split k ways leaves every Sybil strictly weaker than</w:t>
      </w:r>
      <w:r>
        <w:t xml:space="preserve"> </w:t>
      </w:r>
      <w:r>
        <w:t xml:space="preserve">one honest identity (0.938 down to 0.412 vs. 0.995).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cost of manufactured history, stated without the slogan.</w:t>
      </w:r>
      <w:r>
        <w:t xml:space="preserve"> </w:t>
      </w:r>
      <w:r>
        <w:t xml:space="preserve">The unqualified</w:t>
      </w:r>
      <w:r>
        <w:t xml:space="preserve"> </w:t>
      </w:r>
      <w:r>
        <w:t xml:space="preserve">claim that manufactured standing is</w:t>
      </w:r>
      <w:r>
        <w:t xml:space="preserve"> </w:t>
      </w:r>
      <w:r>
        <w:t xml:space="preserve">“costly to fake”</w:t>
      </w:r>
      <w:r>
        <w:t xml:space="preserve"> </w:t>
      </w:r>
      <w:r>
        <w:t xml:space="preserve">does not survive the</w:t>
      </w:r>
      <w:r>
        <w:t xml:space="preserve"> </w:t>
      </w:r>
      <w:r>
        <w:t xml:space="preserve">stack’s own arithmetic: at 100.5 events per unit of standing and</w:t>
      </w:r>
      <w:r>
        <w:t xml:space="preserve"> </w:t>
      </w:r>
      <w:r>
        <w:t xml:space="preserve">$0.001/event,</w:t>
      </w:r>
      <w:r>
        <w:t xml:space="preserve"> </w:t>
      </w:r>
      <w:r>
        <w:rPr>
          <w:b/>
          <w:bCs/>
        </w:rPr>
        <w:t xml:space="preserve">$1.01 buys 10 units of standing (1,005 events)</w:t>
      </w:r>
      <w:r>
        <w:rPr>
          <w:b/>
          <w:bCs/>
        </w:rPr>
        <w:t xml:space="preserve"> </w:t>
      </w:r>
      <w:r>
        <w:rPr>
          <w:b/>
          <w:bCs/>
        </w:rPr>
        <w:t xml:space="preserve">without attestation</w:t>
      </w:r>
      <w:r>
        <w:t xml:space="preserve"> </w:t>
      </w:r>
      <w:r>
        <w:t xml:space="preserve">— trivially fakeable</w:t>
      </w:r>
      <w:r>
        <w:t xml:space="preserve"> </w:t>
      </w:r>
      <w:r>
        <w:t xml:space="preserve">(Technical Appendix, Sim-Battery A, Study 3). The real defense has</w:t>
      </w:r>
      <w:r>
        <w:t xml:space="preserve"> </w:t>
      </w:r>
      <w:r>
        <w:t xml:space="preserve">three components, each quantified:</w:t>
      </w:r>
      <w:r>
        <w:t xml:space="preserve"> </w:t>
      </w:r>
      <w:r>
        <w:rPr>
          <w:b/>
          <w:bCs/>
        </w:rPr>
        <w:t xml:space="preserve">(a) Provider</w:t>
      </w:r>
      <w:r>
        <w:rPr>
          <w:b/>
          <w:bCs/>
        </w:rPr>
        <w:t xml:space="preserve"> </w:t>
      </w:r>
      <w:r>
        <w:rPr>
          <w:b/>
          <w:bCs/>
        </w:rPr>
        <w:t xml:space="preserve">attestation.</w:t>
      </w:r>
      <w:r>
        <w:t xml:space="preserve"> </w:t>
      </w:r>
      <w:r>
        <w:t xml:space="preserve">If events must be provider-signed (§3.8), each</w:t>
      </w:r>
      <w:r>
        <w:t xml:space="preserve"> </w:t>
      </w:r>
      <w:r>
        <w:t xml:space="preserve">synthetic event costs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</m:oMath>
      <w:r>
        <w:t xml:space="preserve"> </w:t>
      </w:r>
      <w:r>
        <w:t xml:space="preserve">the raw settlement fee, where m is</w:t>
      </w:r>
      <w:r>
        <w:t xml:space="preserve"> </w:t>
      </w:r>
      <w:r>
        <w:t xml:space="preserve">the attestation cost multiplier: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$10.05,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$100.50,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$1,005 for 10</w:t>
      </w:r>
      <w:r>
        <w:t xml:space="preserve"> </w:t>
      </w:r>
      <w:r>
        <w:t xml:space="preserve">units. Cost alone is a weak deterrent at m</w:t>
      </w:r>
      <w:r>
        <w:t xml:space="preserve"> </w:t>
      </w:r>
      <m:oMath>
        <m:r>
          <m:rPr>
            <m:sty m:val="p"/>
          </m:rPr>
          <m:t>≤</m:t>
        </m:r>
        <m:r>
          <m:t>10</m:t>
        </m:r>
        <m:r>
          <m:rPr>
            <m:sty m:val="p"/>
          </m:rPr>
          <m:t>.</m:t>
        </m:r>
      </m:oMath>
      <w:r>
        <w:t xml:space="preserve"> </w:t>
      </w:r>
      <w:r>
        <w:rPr>
          <w:b/>
          <w:bCs/>
        </w:rPr>
        <w:t xml:space="preserve">(b)</w:t>
      </w:r>
      <w:r>
        <w:rPr>
          <w:b/>
          <w:bCs/>
        </w:rPr>
        <w:t xml:space="preserve"> </w:t>
      </w:r>
      <w:r>
        <w:rPr>
          <w:b/>
          <w:bCs/>
        </w:rPr>
        <w:t xml:space="preserve">The wall-clock time floor — attestation + time; time floors quoted</w:t>
      </w:r>
      <w:r>
        <w:rPr>
          <w:b/>
          <w:bCs/>
        </w:rPr>
        <w:t xml:space="preserve"> </w:t>
      </w:r>
      <w:r>
        <w:rPr>
          <w:b/>
          <w:bCs/>
        </w:rPr>
        <w:t xml:space="preserve">per standing level.</w:t>
      </w:r>
      <w:r>
        <w:t xml:space="preserve"> </w:t>
      </w:r>
      <w:r>
        <w:t xml:space="preserve">Attested events</w:t>
      </w:r>
      <w:r>
        <w:t xml:space="preserve"> </w:t>
      </w:r>
      <w:r>
        <w:t xml:space="preserve">must occur in real time and cannot be compressed, but the floor</w:t>
      </w:r>
      <w:r>
        <w:t xml:space="preserve"> </w:t>
      </w:r>
      <w:r>
        <w:t xml:space="preserve">depends on the standing targeted: the 1.4-year figure applies to</w:t>
      </w:r>
      <w:r>
        <w:t xml:space="preserve"> </w:t>
      </w:r>
      <w:r>
        <w:t xml:space="preserve">manufacturing HIGH standing (10 units, 1,005 events) at a</w:t>
      </w:r>
      <w:r>
        <w:t xml:space="preserve"> </w:t>
      </w:r>
      <w:r>
        <w:t xml:space="preserve">conservative reference rate</w:t>
      </w:r>
      <w:r>
        <w:t xml:space="preserve"> </w:t>
      </w:r>
      <w:r>
        <w:t xml:space="preserve">of 2/day (at 0.5/day, 5.5 years). The stack’s own rate model</w:t>
      </w:r>
      <w:r>
        <w:t xml:space="preserve"> </w:t>
      </w:r>
      <w:r>
        <w:t xml:space="preserve">(rate =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+</m:t>
        </m:r>
        <m:r>
          <m:t>5</m:t>
        </m:r>
        <m:r>
          <m:t>S</m:t>
        </m:r>
      </m:oMath>
      <w:r>
        <w:t xml:space="preserve">) generates 2.5–3.76 events/day</w:t>
      </w:r>
      <w:r>
        <w:t xml:space="preserve"> </w:t>
      </w:r>
      <w:r>
        <w:t xml:space="preserve">at decision-relevant standings, and the decisionable-score threshold</w:t>
      </w:r>
      <w:r>
        <w:t xml:space="preserve"> </w:t>
      </w:r>
      <w:r>
        <w:t xml:space="preserve">is day 72 (</w:t>
      </w:r>
      <m:oMath>
        <m:r>
          <m:rPr>
            <m:sty m:val="p"/>
          </m:rPr>
          <m:t>∼</m:t>
        </m:r>
      </m:oMath>
      <w:r>
        <w:t xml:space="preserve">60–70 events): at the decisionable threshold the</w:t>
      </w:r>
      <w:r>
        <w:t xml:space="preserve"> </w:t>
      </w:r>
      <w:r>
        <w:t xml:space="preserve">floor is therefore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72 days with one cooperative provider,</w:t>
      </w:r>
      <w:r>
        <w:t xml:space="preserve"> </w:t>
      </w:r>
      <w:r>
        <w:t xml:space="preserve">and at the model’s own high-standing event rates (2.5–3.76</w:t>
      </w:r>
      <w:r>
        <w:t xml:space="preserve"> </w:t>
      </w:r>
      <w:r>
        <w:t xml:space="preserve">events/day, 5/day max grid) the 10-unit</w:t>
      </w:r>
      <w:r>
        <w:t xml:space="preserve"> </w:t>
      </w:r>
      <w:r>
        <w:t xml:space="preserve">floor is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0.55–1.1 years at 2.5–5/day (0.73 yr at 3.76/day; 0.55 yr at 5/day). Security therefore rests on the</w:t>
      </w:r>
      <w:r>
        <w:t xml:space="preserve"> </w:t>
      </w:r>
      <w:r>
        <w:t xml:space="preserve">attestation requirement plus provider collusion cost, with time as a</w:t>
      </w:r>
      <w:r>
        <w:t xml:space="preserve"> </w:t>
      </w:r>
      <w:r>
        <w:t xml:space="preserve">secondary defense.</w:t>
      </w:r>
      <w:r>
        <w:t xml:space="preserve"> </w:t>
      </w:r>
      <w:r>
        <w:t xml:space="preserve">The defensible form of the intuition: faking requires</w:t>
      </w:r>
      <w:r>
        <w:t xml:space="preserve"> </w:t>
      </w:r>
      <w:r>
        <w:t xml:space="preserve">living it —</w:t>
      </w:r>
      <w:r>
        <w:t xml:space="preserve"> </w:t>
      </w:r>
      <w:r>
        <w:rPr>
          <w:i/>
          <w:iCs/>
        </w:rPr>
        <w:t xml:space="preserve">in wall-clock time, under attestation</w:t>
      </w:r>
      <w:r>
        <w:t xml:space="preserve"> </w:t>
      </w:r>
      <w:r>
        <w:t xml:space="preserve">— not</w:t>
      </w:r>
      <w:r>
        <w:t xml:space="preserve"> </w:t>
      </w:r>
      <w:r>
        <w:t xml:space="preserve">merely paying for it.</w:t>
      </w:r>
      <w:r>
        <w:t xml:space="preserve"> </w:t>
      </w:r>
      <w:r>
        <w:rPr>
          <w:b/>
          <w:bCs/>
        </w:rPr>
        <w:t xml:space="preserve">(c) Block rollups decouple honest cost</w:t>
      </w:r>
      <w:r>
        <w:rPr>
          <w:b/>
          <w:bCs/>
        </w:rPr>
        <w:t xml:space="preserve"> </w:t>
      </w:r>
      <w:r>
        <w:rPr>
          <w:b/>
          <w:bCs/>
        </w:rPr>
        <w:t xml:space="preserve">from Sybil cost.</w:t>
      </w:r>
      <w:r>
        <w:t xml:space="preserve"> </w:t>
      </w:r>
      <w:r>
        <w:t xml:space="preserve">Anchoring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events per on-chain block</w:t>
      </w:r>
      <w:r>
        <w:t xml:space="preserve"> </w:t>
      </w:r>
      <w:r>
        <w:t xml:space="preserve">cuts the honest user’s on-chain cost per event from $0.001 to</w:t>
      </w:r>
      <w:r>
        <w:t xml:space="preserve"> </w:t>
      </w:r>
      <w:r>
        <w:t xml:space="preserve">$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— a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</m:oMath>
      <w:r>
        <w:t xml:space="preserve"> </w:t>
      </w:r>
      <w:r>
        <w:t xml:space="preserve">honest-user discount (lifetime</w:t>
      </w:r>
      <w:r>
        <w:t xml:space="preserve"> </w:t>
      </w:r>
      <w:r>
        <w:t xml:space="preserve">1,005-event cost falls from $1.005 to $0.0001) —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touching the Sybil time floor</w:t>
      </w:r>
      <w:r>
        <w:t xml:space="preserve">. Rollups are unambiguously good for</w:t>
      </w:r>
      <w:r>
        <w:t xml:space="preserve"> </w:t>
      </w:r>
      <w:r>
        <w:t xml:space="preserve">this reason.</w:t>
      </w:r>
      <w:r>
        <w:t xml:space="preserve"> </w:t>
      </w:r>
      <w:r>
        <w:rPr>
          <w:b/>
          <w:bCs/>
        </w:rPr>
        <w:t xml:space="preserve">Caveat (disclosed):</w:t>
      </w:r>
      <w:r>
        <w:t xml:space="preserve"> </w:t>
      </w:r>
      <w:r>
        <w:t xml:space="preserve">the time floor assumes</w:t>
      </w:r>
      <w:r>
        <w:t xml:space="preserve"> </w:t>
      </w:r>
      <w:r>
        <w:t xml:space="preserve">providers refuse to backdate signatures and that one Sybil cannot</w:t>
      </w:r>
      <w:r>
        <w:t xml:space="preserve"> </w:t>
      </w:r>
      <w:r>
        <w:t xml:space="preserve">contract many providers in parallel; parallel-provider collusion</w:t>
      </w:r>
      <w:r>
        <w:t xml:space="preserve"> </w:t>
      </w:r>
      <w:r>
        <w:t xml:space="preserve">divides the time floor by the number of colluding providers, so m</w:t>
      </w:r>
      <w:r>
        <w:t xml:space="preserve"> </w:t>
      </w:r>
      <w:r>
        <w:t xml:space="preserve">and the time floor must be paired with a provider-diversity</w:t>
      </w:r>
      <w:r>
        <w:t xml:space="preserve"> </w:t>
      </w:r>
      <w:r>
        <w:t xml:space="preserve">requirement (not modeled here).</w:t>
      </w:r>
    </w:p>
    <w:p>
      <w:pPr>
        <w:numPr>
          <w:ilvl w:val="1"/>
          <w:numId w:val="1008"/>
        </w:numPr>
      </w:pPr>
      <w:r>
        <w:rPr>
          <w:i/>
          <w:iCs/>
        </w:rPr>
        <w:t xml:space="preserve">Whitewashing</w:t>
      </w:r>
      <w:r>
        <w:t xml:space="preserve"> </w:t>
      </w:r>
      <w:r>
        <w:t xml:space="preserve">is dominated by repair at moderate defection</w:t>
      </w:r>
      <w:r>
        <w:t xml:space="preserve"> </w:t>
      </w:r>
      <w:r>
        <w:t xml:space="preserve">severities — repair advantage +</w:t>
      </w:r>
      <m:oMath>
        <m:r>
          <m:t>0.086</m:t>
        </m:r>
        <m:r>
          <m:rPr>
            <m:sty m:val="p"/>
          </m:rPr>
          <m:t>±</m:t>
        </m:r>
        <m:r>
          <m:t>0.020</m:t>
        </m:r>
      </m:oMath>
      <w:r>
        <w:t xml:space="preserve"> </w:t>
      </w:r>
      <w:r>
        <w:t xml:space="preserve">standing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</m:oMath>
      <w:r>
        <w:t xml:space="preserve"> </w:t>
      </w:r>
      <w:r>
        <w:t xml:space="preserve">declining through +0.042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</m:oMath>
      <w:r>
        <w:t xml:space="preserve"> </w:t>
      </w:r>
      <w:r>
        <w:t xml:space="preserve">all significant</w:t>
      </w:r>
      <w:r>
        <w:t xml:space="preserve"> </w:t>
      </w:r>
      <w:r>
        <w:t xml:space="preserve">— but repair and whitewashing are</w:t>
      </w:r>
      <w:r>
        <w:t xml:space="preserve"> </w:t>
      </w:r>
      <w:r>
        <w:rPr>
          <w:b/>
          <w:bCs/>
        </w:rPr>
        <w:t xml:space="preserve">statistically tied at</w:t>
      </w:r>
      <w:r>
        <w:rPr>
          <w:b/>
          <w:bCs/>
        </w:rPr>
        <w:t xml:space="preserve"> </w:t>
      </w:r>
      <w:r>
        <w:rPr>
          <w:b/>
          <w:bCs/>
        </w:rPr>
        <w:t xml:space="preserve">extreme severity (</w:t>
      </w:r>
      <m:oMath>
        <m:r>
          <m:t>d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0.009</m:t>
        </m:r>
      </m:oMath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0.020) under the</w:t>
      </w:r>
      <w:r>
        <w:rPr>
          <w:b/>
          <w:bCs/>
        </w:rPr>
        <w:t xml:space="preserve"> </w:t>
      </w:r>
      <w:r>
        <w:rPr>
          <w:b/>
          <w:bCs/>
        </w:rPr>
        <w:t xml:space="preserve">bare standing metric</w:t>
      </w:r>
      <w:r>
        <w:t xml:space="preserve">: the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t>d</m:t>
        </m:r>
        <m:r>
          <m:rPr>
            <m:sty m:val="p"/>
          </m:rPr>
          <m:t>=</m:t>
        </m:r>
        <m:r>
          <m:t>0.32</m:t>
        </m:r>
      </m:oMath>
      <w:r>
        <w:t xml:space="preserve"> </w:t>
      </w:r>
      <w:r>
        <w:t xml:space="preserve">standing hole is</w:t>
      </w:r>
      <w:r>
        <w:t xml:space="preserve"> </w:t>
      </w:r>
      <w:r>
        <w:t xml:space="preserve">deep enough that restarting at the prior 0.5 is no worse. Dominance</w:t>
      </w:r>
      <w:r>
        <w:t xml:space="preserve"> </w:t>
      </w:r>
      <w:r>
        <w:t xml:space="preserve">at extreme severity therefore requires the §3.8 verifier-side</w:t>
      </w:r>
      <w:r>
        <w:t xml:space="preserve"> </w:t>
      </w:r>
      <w:r>
        <w:t xml:space="preserve">fresh-record flag — a policy layer, not the update law — and the</w:t>
      </w:r>
      <w:r>
        <w:t xml:space="preserve"> </w:t>
      </w:r>
      <w:r>
        <w:t xml:space="preserve">claim is scoped accordingly. The custodial baseline (free re-entry</w:t>
      </w:r>
      <w:r>
        <w:t xml:space="preserve"> </w:t>
      </w:r>
      <w:r>
        <w:t xml:space="preserve">at default standing) rewards whitewashing at every severity d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  <m:r>
          <m:rPr>
            <m:sty m:val="p"/>
          </m:rPr>
          <m:t>.</m:t>
        </m:r>
      </m:oMath>
    </w:p>
    <w:p>
      <w:pPr>
        <w:numPr>
          <w:ilvl w:val="1"/>
          <w:numId w:val="1008"/>
        </w:numPr>
      </w:pPr>
      <w:r>
        <w:rPr>
          <w:i/>
          <w:iCs/>
        </w:rPr>
        <w:t xml:space="preserve">On-off cycling</w:t>
      </w:r>
      <w:r>
        <w:t xml:space="preserve"> </w:t>
      </w:r>
      <w:r>
        <w:t xml:space="preserve">is dominated by honesty under immediate</w:t>
      </w:r>
      <w:r>
        <w:t xml:space="preserve"> </w:t>
      </w:r>
      <w:r>
        <w:t xml:space="preserve">per-event feedback (attacker goes net-negative at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0.02</m:t>
        </m:r>
      </m:oMath>
      <w:r>
        <w:t xml:space="preserve">) and profitable under delayed batched</w:t>
      </w:r>
      <w:r>
        <w:t xml:space="preserve"> </w:t>
      </w:r>
      <w:r>
        <w:t xml:space="preserve">feedback — the mechanism is immediacy itself, the same property</w:t>
      </w:r>
      <w:r>
        <w:t xml:space="preserve"> </w:t>
      </w:r>
      <w:r>
        <w:t xml:space="preserve">that distinguishes the architecture in P5.</w:t>
      </w:r>
    </w:p>
    <w:p>
      <w:pPr>
        <w:numPr>
          <w:ilvl w:val="1"/>
          <w:numId w:val="1008"/>
        </w:numPr>
      </w:pPr>
      <w:r>
        <w:t xml:space="preserve">Deterrence requires the break/build asymmetry</w:t>
      </w:r>
      <w:r>
        <w:t xml:space="preserve"> </w:t>
      </w:r>
      <w:r>
        <w:t xml:space="preserve">(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betrayal updates faster than</w:t>
      </w:r>
      <w:r>
        <w:t xml:space="preserve"> </w:t>
      </w:r>
      <w:r>
        <w:t xml:space="preserve">confirmation accrues); coordinated collusion (RepTrap, badmouthing</w:t>
      </w:r>
      <w:r>
        <w:t xml:space="preserve"> </w:t>
      </w:r>
      <w:r>
        <w:t xml:space="preserve">rings) is out of scope for this battery and remains an open problem</w:t>
      </w:r>
      <w:r>
        <w:t xml:space="preserve"> </w:t>
      </w:r>
      <w:r>
        <w:t xml:space="preserve">(§6).</w:t>
      </w:r>
    </w:p>
    <w:p>
      <w:pPr>
        <w:pStyle w:val="FirstParagraph"/>
      </w:pPr>
      <w:r>
        <w:rPr>
          <w:b/>
          <w:bCs/>
        </w:rPr>
        <w:t xml:space="preserve">Field-identification caveat for the</w:t>
      </w:r>
      <w:r>
        <w:rPr>
          <w:b/>
          <w:bCs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preset (SIM-R1, run;</w:t>
      </w:r>
      <w:r>
        <w:rPr>
          <w:b/>
          <w:bCs/>
        </w:rPr>
        <w:t xml:space="preserve"> </w:t>
      </w:r>
      <w:r>
        <w:rPr>
          <w:b/>
          <w:bCs/>
        </w:rPr>
        <w:t xml:space="preserve">[SIMULATION]</w:t>
      </w:r>
      <w:r>
        <w:rPr>
          <w:b/>
          <w:bCs/>
        </w:rPr>
        <w:t xml:space="preserve">).</w:t>
      </w:r>
      <w:r>
        <w:t xml:space="preserve"> </w:t>
      </w:r>
      <w:r>
        <w:t xml:space="preserve">The P8 deterrence logic rests on the break/build asymmetry being identifiable in field data, and the stack’s own estimator battery now bounds that identification (SIM-R1 battery 1, companion theory preprint, §6; seed 42: the two-gain (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) Kalman/EM estimator</w:t>
      </w:r>
      <w:r>
        <w:t xml:space="preserve"> </w:t>
      </w:r>
      <w:r>
        <w:rPr>
          <w:i/>
          <w:iCs/>
        </w:rPr>
        <w:t xml:space="preserve">detects asymmetry direction</w:t>
      </w:r>
      <w:r>
        <w:t xml:space="preserve"> </w:t>
      </w:r>
      <w:r>
        <w:t xml:space="preserve">reliably — AUC 0.968 against a symmetric-adaptive control — but</w:t>
      </w:r>
      <w:r>
        <w:t xml:space="preserve"> </w:t>
      </w:r>
      <w:r>
        <w:rPr>
          <w:i/>
          <w:iCs/>
        </w:rPr>
        <w:t xml:space="preserve">inflates its magnitude</w:t>
      </w:r>
      <w:r>
        <w:t xml:space="preserve"> </w:t>
      </w:r>
      <w:r>
        <w:t xml:space="preserve">(recovered ratio 2.84 against a true time-average ratio of 2.00, because the estimator identifies the channel-wise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-weighted gains, whose true ratio is 2.845), and under a</w:t>
      </w:r>
      <w:r>
        <w:t xml:space="preserve"> </w:t>
      </w:r>
      <w:r>
        <w:rPr>
          <w:b/>
          <w:bCs/>
        </w:rPr>
        <w:t xml:space="preserve">symmetric-but-volatility-linked ground truth it reports spurious asymmetry</w:t>
      </w:r>
      <w:r>
        <w:t xml:space="preserve"> </w:t>
      </w:r>
      <w:r>
        <w:t xml:space="preserve">(recovered ratio mean 1.41, p95 2.23), because heavier-tailed betrayal events pull their channel’s weighted gain up more. Field identification of the break/build asymmetry is therefore registered as harder than the design assumed: an estimated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cannot, by itself, distinguish the protocol’s structural asymmetry (M4.2/T8) from symmetric volatility-linked gain — the ratio distributions overlap (asymmetric truth down to 2.00, symmetric-adaptive up to 2.23; 3.2% misclassification at the AUC-optimal split). The registered consequence: any field claim of break/build asymmetry requires the companion theory preprint’s §6 model comparison against the adaptive-</w:t>
      </w:r>
      <m:oMath>
        <m:r>
          <m:t>λ</m:t>
        </m:r>
      </m:oMath>
      <w:r>
        <w:t xml:space="preserve"> </w:t>
      </w:r>
      <w:r>
        <w:t xml:space="preserve">alternative on the same data, not a two-gain point estimate alone.</w:t>
      </w:r>
    </w:p>
    <w:p>
      <w:pPr>
        <w:pStyle w:val="BodyText"/>
      </w:pPr>
      <w:r>
        <w:t xml:space="preserve">Two audit-trail entries record corrections to the measurement, not the</w:t>
      </w:r>
      <w:r>
        <w:t xml:space="preserve"> </w:t>
      </w:r>
      <w:r>
        <w:t xml:space="preserve">model: the initial P5 transfer-entropy estimator (8 bins, 600 steps) carried a</w:t>
      </w:r>
      <w:r>
        <w:t xml:space="preserve"> </w:t>
      </w:r>
      <w:r>
        <w:t xml:space="preserve">finite-sample bias of order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N</m:t>
        </m:r>
      </m:oMath>
      <w:r>
        <w:t xml:space="preserve"> </w:t>
      </w:r>
      <w:r>
        <w:t xml:space="preserve">ln 2)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0.6 bits</w:t>
      </w:r>
      <w:r>
        <w:t xml:space="preserve"> </w:t>
      </w:r>
      <w:r>
        <w:t xml:space="preserve">that swamped the coupling signal and inverted the verdict; and P5b’s</w:t>
      </w:r>
      <w:r>
        <w:t xml:space="preserve"> </w:t>
      </w:r>
      <w:r>
        <w:t xml:space="preserve">initial increment measure —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Σ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|</m:t>
        </m:r>
      </m:oMath>
      <w:r>
        <w:t xml:space="preserve"> </w:t>
      </w:r>
      <w:r>
        <w:t xml:space="preserve">— is identically</w:t>
      </w:r>
      <w:r>
        <w:t xml:space="preserve"> </w:t>
      </w:r>
      <w:r>
        <w:t xml:space="preserve">zero on the simplex, so its first kurtosis value was a property of float</w:t>
      </w:r>
      <w:r>
        <w:t xml:space="preserve"> </w:t>
      </w:r>
      <w:r>
        <w:t xml:space="preserve">rounding error. Both artifacts and their corrections are documented in §Q. The stack’s rule applies here unchanged: nulls and</w:t>
      </w:r>
      <w:r>
        <w:t xml:space="preserve"> </w:t>
      </w:r>
      <w:r>
        <w:t xml:space="preserve">failed estimators stay in the record next to the successes.</w:t>
      </w:r>
    </w:p>
    <w:bookmarkEnd w:id="65"/>
    <w:bookmarkStart w:id="70" w:name="X4f31d4ef4f8b51021af3dc2867d6970aebc4a87"/>
    <w:p>
      <w:pPr>
        <w:pStyle w:val="Heading2"/>
      </w:pPr>
      <w:r>
        <w:t xml:space="preserve">3.8 Completeness vs. integrity: what attestation proves and</w:t>
      </w:r>
      <w:r>
        <w:t xml:space="preserve"> </w:t>
      </w:r>
      <w:r>
        <w:t xml:space="preserve">what it</w:t>
      </w:r>
      <w:r>
        <w:t xml:space="preserve"> </w:t>
      </w:r>
      <w:r>
        <w:t xml:space="preserve">cannot</w:t>
      </w:r>
    </w:p>
    <w:p>
      <w:pPr>
        <w:pStyle w:val="FirstParagraph"/>
      </w:pPr>
      <w:r>
        <w:t xml:space="preserve">User-owned records create a completeness problem: a hash-chained,</w:t>
      </w:r>
      <w:r>
        <w:t xml:space="preserve"> </w:t>
      </w:r>
      <w:r>
        <w:t xml:space="preserve">tamper-evident record proves the</w:t>
      </w:r>
      <w:r>
        <w:t xml:space="preserve"> </w:t>
      </w:r>
      <w:r>
        <w:rPr>
          <w:i/>
          <w:iCs/>
        </w:rPr>
        <w:t xml:space="preserve">integrity</w:t>
      </w:r>
      <w:r>
        <w:t xml:space="preserve"> </w:t>
      </w:r>
      <w:r>
        <w:t xml:space="preserve">of what was written, never the</w:t>
      </w:r>
      <w:r>
        <w:t xml:space="preserve"> </w:t>
      </w:r>
      <w:r>
        <w:rPr>
          <w:i/>
          <w:iCs/>
        </w:rPr>
        <w:t xml:space="preserve">completeness</w:t>
      </w:r>
      <w:r>
        <w:t xml:space="preserve"> </w:t>
      </w:r>
      <w:r>
        <w:t xml:space="preserve">of</w:t>
      </w:r>
      <w:r>
        <w:t xml:space="preserve"> </w:t>
      </w:r>
      <w:r>
        <w:t xml:space="preserve">what happened. A participant who omits an adverse event breaks no hash</w:t>
      </w:r>
      <w:r>
        <w:t xml:space="preserve"> </w:t>
      </w:r>
      <w:r>
        <w:t xml:space="preserve">chain; an owner-written record that contains only flattering events is</w:t>
      </w:r>
      <w:r>
        <w:t xml:space="preserve"> </w:t>
      </w:r>
      <w:r>
        <w:t xml:space="preserve">perfectly valid cryptography around a curated history. The incumbent</w:t>
      </w:r>
      <w:r>
        <w:t xml:space="preserve"> </w:t>
      </w:r>
      <w:r>
        <w:t xml:space="preserve">custodians’ core value is precisely mandatory comprehensive reporting; a</w:t>
      </w:r>
      <w:r>
        <w:t xml:space="preserve"> </w:t>
      </w:r>
      <w:r>
        <w:t xml:space="preserve">protocol that replaces it with self-curation has replaced trust</w:t>
      </w:r>
      <w:r>
        <w:t xml:space="preserve"> </w:t>
      </w:r>
      <w:r>
        <w:t xml:space="preserve">measurement with autobiography. This section states the protocol’s</w:t>
      </w:r>
      <w:r>
        <w:t xml:space="preserve"> </w:t>
      </w:r>
      <w:r>
        <w:t xml:space="preserve">actual design on this point — provider attestation — and its precise</w:t>
      </w:r>
      <w:r>
        <w:t xml:space="preserve"> </w:t>
      </w:r>
      <w:r>
        <w:t xml:space="preserve">logical limits. Figure 11 renders the flow and the</w:t>
      </w:r>
      <w:r>
        <w:t xml:space="preserve"> </w:t>
      </w:r>
      <w:r>
        <w:t xml:space="preserve">integrity/completeness distinction.</w:t>
      </w:r>
    </w:p>
    <w:bookmarkStart w:id="69" w:name="fig:attest"/>
    <w:p>
      <w:pPr>
        <w:pStyle w:val="CaptionedFigure"/>
      </w:pPr>
      <w:r>
        <w:drawing>
          <wp:inline>
            <wp:extent cx="4907280" cy="3679316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figures/tfp_attestation_completenes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67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11.</w:t>
      </w:r>
      <w:r>
        <w:t xml:space="preserve"> </w:t>
      </w:r>
      <w:r>
        <w:t xml:space="preserve">Provider-attested validation flow and the integrity/completeness distinction (§3.8). Providers sign good and bad events; events enter the participant’s hash-chained, owner-held record, are Merkle-batched, and anchor to the audit chain. An omitted adverse event breaks no hash chain: attestation proves presence and authenticity, never absence. Four mechanisms convert integrity toward completeness — (1) transparency log + verifier refuse-or-flag policy (Certificate Transparency, RFC 6962); (2) non-equivocation via signed state roots and consistency proofs (CONIKS); (3) counterparty co-signing (double-entry bookkeeping; PeerReview); (4) the opt-in aggregate-liability proof restoring cross-provider visibility without a custodian. Scope limit: the expectation (</w:t>
      </w:r>
      <m:oMath>
        <m:r>
          <m:t>E</m:t>
        </m:r>
      </m:oMath>
      <w:r>
        <w:t xml:space="preserve">) side is un-attested.</w:t>
      </w:r>
    </w:p>
    <w:bookmarkEnd w:id="69"/>
    <w:p>
      <w:pPr>
        <w:pStyle w:val="BodyText"/>
      </w:pPr>
      <w:r>
        <w:rPr>
          <w:b/>
          <w:bCs/>
        </w:rPr>
        <w:t xml:space="preserve">The design (formalized).</w:t>
      </w:r>
      <w:r>
        <w:t xml:space="preserve"> </w:t>
      </w:r>
      <w:r>
        <w:t xml:space="preserve">Validation events are</w:t>
      </w:r>
      <w:r>
        <w:t xml:space="preserve"> </w:t>
      </w:r>
      <w:r>
        <w:rPr>
          <w:b/>
          <w:bCs/>
        </w:rPr>
        <w:t xml:space="preserve">provider-attested</w:t>
      </w:r>
      <w:r>
        <w:t xml:space="preserve">: the counterparty or data provider signs the</w:t>
      </w:r>
      <w:r>
        <w:t xml:space="preserve"> </w:t>
      </w:r>
      <w:r>
        <w:t xml:space="preserve">events it observes — good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bad — and the participant</w:t>
      </w:r>
      <w:r>
        <w:t xml:space="preserve"> </w:t>
      </w:r>
      <w:r>
        <w:t xml:space="preserve">cannot omit what the provider has signed, because the signed event</w:t>
      </w:r>
      <w:r>
        <w:t xml:space="preserve"> </w:t>
      </w:r>
      <w:r>
        <w:t xml:space="preserve">exists on the provider’s side and is anchored to the audit chain at</w:t>
      </w:r>
      <w:r>
        <w:t xml:space="preserve"> </w:t>
      </w:r>
      <w:r>
        <w:t xml:space="preserve">signing time. Events enter the participant’s record by realtime pulls</w:t>
      </w:r>
      <w:r>
        <w:t xml:space="preserve"> </w:t>
      </w:r>
      <w:r>
        <w:t xml:space="preserve">from connected accounts, each pull executed under explicit user approval</w:t>
      </w:r>
      <w:r>
        <w:t xml:space="preserve"> </w:t>
      </w:r>
      <w:r>
        <w:t xml:space="preserve">(the consent-bearing query pattern of §3.2). The participant owns the</w:t>
      </w:r>
      <w:r>
        <w:t xml:space="preserve"> </w:t>
      </w:r>
      <w:r>
        <w:t xml:space="preserve">record and the access policy; the participant does not author the</w:t>
      </w:r>
      <w:r>
        <w:t xml:space="preserve"> </w:t>
      </w:r>
      <w:r>
        <w:t xml:space="preserve">events.</w:t>
      </w:r>
    </w:p>
    <w:p>
      <w:pPr>
        <w:pStyle w:val="BodyText"/>
      </w:pPr>
      <w:r>
        <w:rPr>
          <w:b/>
          <w:bCs/>
        </w:rPr>
        <w:t xml:space="preserve">What attestation proves, precisely.</w:t>
      </w:r>
      <w:r>
        <w:t xml:space="preserve"> </w:t>
      </w:r>
      <w:r>
        <w:t xml:space="preserve">A provider-signed event</w:t>
      </w:r>
      <w:r>
        <w:t xml:space="preserve"> </w:t>
      </w:r>
      <w:r>
        <w:t xml:space="preserve">proves</w:t>
      </w:r>
      <w:r>
        <w:t xml:space="preserve"> </w:t>
      </w:r>
      <w:r>
        <w:rPr>
          <w:i/>
          <w:iCs/>
        </w:rPr>
        <w:t xml:space="preserve">presence and authenticity</w:t>
      </w:r>
      <w:r>
        <w:t xml:space="preserve">: this provider vouched for this</w:t>
      </w:r>
      <w:r>
        <w:t xml:space="preserve"> </w:t>
      </w:r>
      <w:r>
        <w:t xml:space="preserve">event at this time, and neither party can later repudiate or alter it</w:t>
      </w:r>
      <w:r>
        <w:t xml:space="preserve"> </w:t>
      </w:r>
      <w:r>
        <w:t xml:space="preserve">(tamper-evidence via hash-chaining; non-repudiation via the provider’s</w:t>
      </w:r>
      <w:r>
        <w:t xml:space="preserve"> </w:t>
      </w:r>
      <w:r>
        <w:t xml:space="preserve">signature). It proves</w:t>
      </w:r>
      <w:r>
        <w:t xml:space="preserve"> </w:t>
      </w:r>
      <w:r>
        <w:rPr>
          <w:b/>
          <w:bCs/>
        </w:rPr>
        <w:t xml:space="preserve">nothing about absence</w:t>
      </w:r>
      <w:r>
        <w:t xml:space="preserve">: neither the</w:t>
      </w:r>
      <w:r>
        <w:t xml:space="preserve"> </w:t>
      </w:r>
      <w:r>
        <w:t xml:space="preserve">provider nor the user is cryptographically prevented from omitting</w:t>
      </w:r>
      <w:r>
        <w:t xml:space="preserve"> </w:t>
      </w:r>
      <w:r>
        <w:t xml:space="preserve">events — at the</w:t>
      </w:r>
      <w:r>
        <w:t xml:space="preserve"> </w:t>
      </w:r>
      <w:r>
        <w:rPr>
          <w:i/>
          <w:iCs/>
        </w:rPr>
        <w:t xml:space="preserve">source</w:t>
      </w:r>
      <w:r>
        <w:t xml:space="preserve"> </w:t>
      </w:r>
      <w:r>
        <w:t xml:space="preserve">(the provider never writes the adverse</w:t>
      </w:r>
      <w:r>
        <w:t xml:space="preserve"> </w:t>
      </w:r>
      <w:r>
        <w:t xml:space="preserve">event) or at the</w:t>
      </w:r>
      <w:r>
        <w:t xml:space="preserve"> </w:t>
      </w:r>
      <w:r>
        <w:rPr>
          <w:i/>
          <w:iCs/>
        </w:rPr>
        <w:t xml:space="preserve">aggregator</w:t>
      </w:r>
      <w:r>
        <w:t xml:space="preserve"> </w:t>
      </w:r>
      <w:r>
        <w:t xml:space="preserve">(the user connects only flattering</w:t>
      </w:r>
      <w:r>
        <w:t xml:space="preserve"> </w:t>
      </w:r>
      <w:r>
        <w:t xml:space="preserve">providers). Integrity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completeness; tamper-evidence detects</w:t>
      </w:r>
      <w:r>
        <w:t xml:space="preserve"> </w:t>
      </w:r>
      <w:r>
        <w:t xml:space="preserve">modification of what exists, not omission of what should exist. The</w:t>
      </w:r>
      <w:r>
        <w:t xml:space="preserve"> </w:t>
      </w:r>
      <w:r>
        <w:t xml:space="preserve">batching layer inherits the same boundary: Merkle-batch anchoring binds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included</w:t>
      </w:r>
      <w:r>
        <w:t xml:space="preserve"> </w:t>
      </w:r>
      <w:r>
        <w:t xml:space="preserve">set at anchor time and cannot bind events never</w:t>
      </w:r>
      <w:r>
        <w:t xml:space="preserve"> </w:t>
      </w:r>
      <w:r>
        <w:t xml:space="preserve">submitted to the batch.</w:t>
      </w:r>
    </w:p>
    <w:p>
      <w:pPr>
        <w:pStyle w:val="BodyText"/>
      </w:pPr>
      <w:r>
        <w:rPr>
          <w:b/>
          <w:bCs/>
        </w:rPr>
        <w:t xml:space="preserve">Mechanisms that convert integrity toward completeness, and which</w:t>
      </w:r>
      <w:r>
        <w:rPr>
          <w:b/>
          <w:bCs/>
        </w:rPr>
        <w:t xml:space="preserve"> </w:t>
      </w:r>
      <w:r>
        <w:rPr>
          <w:b/>
          <w:bCs/>
        </w:rPr>
        <w:t xml:space="preserve">ones TFP relies on.</w:t>
      </w:r>
      <w:r>
        <w:t xml:space="preserve"> </w:t>
      </w:r>
      <w:r>
        <w:t xml:space="preserve">The literature supplies four citable designs; the</w:t>
      </w:r>
      <w:r>
        <w:t xml:space="preserve"> </w:t>
      </w:r>
      <w:r>
        <w:t xml:space="preserve">protocol’s position relative to each is stated: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Client-side omission policy (the Certificate Transparency</w:t>
      </w:r>
      <w:r>
        <w:rPr>
          <w:b/>
          <w:bCs/>
        </w:rPr>
        <w:t xml:space="preserve"> </w:t>
      </w:r>
      <w:r>
        <w:rPr>
          <w:b/>
          <w:bCs/>
        </w:rPr>
        <w:t xml:space="preserve">model;</w:t>
      </w:r>
      <w:r>
        <w:rPr>
          <w:b/>
          <w:bCs/>
        </w:rPr>
        <w:t xml:space="preserve"> </w:t>
      </w:r>
      <w:r>
        <w:rPr>
          <w:b/>
          <w:bCs/>
        </w:rPr>
        <w:t xml:space="preserve">).</w:t>
      </w:r>
      <w:r>
        <w:t xml:space="preserve"> </w:t>
      </w:r>
      <w:r>
        <w:t xml:space="preserve">CT works not because logs exist but</w:t>
      </w:r>
      <w:r>
        <w:t xml:space="preserve"> </w:t>
      </w:r>
      <w:r>
        <w:t xml:space="preserve">because browsers</w:t>
      </w:r>
      <w:r>
        <w:t xml:space="preserve"> </w:t>
      </w:r>
      <w:r>
        <w:rPr>
          <w:i/>
          <w:iCs/>
        </w:rPr>
        <w:t xml:space="preserve">reject</w:t>
      </w:r>
      <w:r>
        <w:t xml:space="preserve"> </w:t>
      </w:r>
      <w:r>
        <w:t xml:space="preserve">unlogged certificates — completeness</w:t>
      </w:r>
      <w:r>
        <w:t xml:space="preserve"> </w:t>
      </w:r>
      <w:r>
        <w:t xml:space="preserve">is enforced by a verifier-side policy that makes omission detectable</w:t>
      </w:r>
      <w:r>
        <w:t xml:space="preserve"> </w:t>
      </w:r>
      <w:r>
        <w:t xml:space="preserve">and costly. TFP analogue: verifiers must treat</w:t>
      </w:r>
      <w:r>
        <w:t xml:space="preserve"> </w:t>
      </w:r>
      <w:r>
        <w:rPr>
          <w:i/>
          <w:iCs/>
        </w:rPr>
        <w:t xml:space="preserve">missing</w:t>
      </w:r>
      <w:r>
        <w:t xml:space="preserve"> </w:t>
      </w:r>
      <w:r>
        <w:t xml:space="preserve">provider</w:t>
      </w:r>
      <w:r>
        <w:t xml:space="preserve"> </w:t>
      </w:r>
      <w:r>
        <w:t xml:space="preserve">attestations as a red flag (a refuse-or-flag policy), else the log</w:t>
      </w:r>
      <w:r>
        <w:t xml:space="preserve"> </w:t>
      </w:r>
      <w:r>
        <w:t xml:space="preserve">proves nothing about completeness. This is an application-layer policy</w:t>
      </w:r>
      <w:r>
        <w:t xml:space="preserve"> </w:t>
      </w:r>
      <w:r>
        <w:t xml:space="preserve">requirement, stated here as a protocol-level recommendation.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Non-equivocation and gossip (the CONIKS model;</w:t>
      </w:r>
      <w:r>
        <w:rPr>
          <w:b/>
          <w:bCs/>
        </w:rPr>
        <w:t xml:space="preserve"> </w:t>
      </w:r>
      <w:r>
        <w:rPr>
          <w:b/>
          <w:bCs/>
        </w:rPr>
        <w:t xml:space="preserve">).</w:t>
      </w:r>
      <w:r>
        <w:t xml:space="preserve"> </w:t>
      </w:r>
      <w:r>
        <w:t xml:space="preserve">Signed tree roots plus consistency proofs and</w:t>
      </w:r>
      <w:r>
        <w:t xml:space="preserve"> </w:t>
      </w:r>
      <w:r>
        <w:t xml:space="preserve">third-party auditors bound an operator’s ability to show different</w:t>
      </w:r>
      <w:r>
        <w:t xml:space="preserve"> </w:t>
      </w:r>
      <w:r>
        <w:t xml:space="preserve">observers selectively-omitted histories. TFP analogue: the audit</w:t>
      </w:r>
      <w:r>
        <w:t xml:space="preserve"> </w:t>
      </w:r>
      <w:r>
        <w:t xml:space="preserve">chain’s anchored state roots, checkable by light clients (§3.4),</w:t>
      </w:r>
      <w:r>
        <w:t xml:space="preserve"> </w:t>
      </w:r>
      <w:r>
        <w:t xml:space="preserve">provide the non-equivocation primitive for what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anchored.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Counterparty co-signing (double-entry bookkeeping,</w:t>
      </w:r>
      <w:r>
        <w:rPr>
          <w:b/>
          <w:bCs/>
        </w:rPr>
        <w:t xml:space="preserve"> </w:t>
      </w:r>
      <w:r>
        <w:rPr>
          <w:b/>
          <w:bCs/>
        </w:rPr>
        <w:t xml:space="preserve">; dual-signed accountable logs, PeerReview,</w:t>
      </w:r>
      <w:r>
        <w:rPr>
          <w:b/>
          <w:bCs/>
        </w:rPr>
        <w:t xml:space="preserve"> </w:t>
      </w:r>
      <w:r>
        <w:rPr>
          <w:b/>
          <w:bCs/>
        </w:rPr>
        <w:t xml:space="preserve">).</w:t>
      </w:r>
      <w:r>
        <w:t xml:space="preserve"> </w:t>
      </w:r>
      <w:r>
        <w:t xml:space="preserve">Completeness classically emerges from</w:t>
      </w:r>
      <w:r>
        <w:t xml:space="preserve"> </w:t>
      </w:r>
      <w:r>
        <w:t xml:space="preserve">two-sided recording: omission breaks cross-foot reconciliation. TFP</w:t>
      </w:r>
      <w:r>
        <w:t xml:space="preserve"> </w:t>
      </w:r>
      <w:r>
        <w:t xml:space="preserve">analogue: provider and participant co-sign each validation event, so a</w:t>
      </w:r>
      <w:r>
        <w:t xml:space="preserve"> </w:t>
      </w:r>
      <w:r>
        <w:t xml:space="preserve">verifier can cross-check claimed obligations against</w:t>
      </w:r>
      <w:r>
        <w:t xml:space="preserve"> </w:t>
      </w:r>
      <w:r>
        <w:t xml:space="preserve">counterparty-signed receipts; PeerReview demonstrates the general</w:t>
      </w:r>
      <w:r>
        <w:t xml:space="preserve"> </w:t>
      </w:r>
      <w:r>
        <w:t xml:space="preserve">technique of detecting faulty behavior via signed, cross-checked logs.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Regulated API completeness (the open-banking analogue; CFPB</w:t>
      </w:r>
      <w:r>
        <w:rPr>
          <w:b/>
          <w:bCs/>
        </w:rPr>
        <w:t xml:space="preserve"> </w:t>
      </w:r>
      <w:r>
        <w:rPr>
          <w:b/>
          <w:bCs/>
        </w:rPr>
        <w:t xml:space="preserve">Personal Financial Data Rights rule, Dodd-Frank §1033, finalized</w:t>
      </w:r>
      <w:r>
        <w:rPr>
          <w:b/>
          <w:bCs/>
        </w:rPr>
        <w:t xml:space="preserve"> </w:t>
      </w:r>
      <w:r>
        <w:rPr>
          <w:b/>
          <w:bCs/>
        </w:rPr>
        <w:t xml:space="preserve">October 2024;</w:t>
      </w:r>
      <w:r>
        <w:rPr>
          <w:b/>
          <w:bCs/>
        </w:rPr>
        <w:t xml:space="preserve"> </w:t>
      </w:r>
      <w:r>
        <w:rPr>
          <w:b/>
          <w:bCs/>
        </w:rPr>
        <w:t xml:space="preserve">).</w:t>
      </w:r>
      <w:r>
        <w:t xml:space="preserve"> </w:t>
      </w:r>
      <w:r>
        <w:t xml:space="preserve">The rule requires API-based data</w:t>
      </w:r>
      <w:r>
        <w:t xml:space="preserve"> </w:t>
      </w:r>
      <w:r>
        <w:t xml:space="preserve">sharing and bars reliance on credential screen-scraping precisely</w:t>
      </w:r>
      <w:r>
        <w:t xml:space="preserve"> </w:t>
      </w:r>
      <w:r>
        <w:t xml:space="preserve">because scraping carries no accuracy or completeness guarantees, while</w:t>
      </w:r>
      <w:r>
        <w:t xml:space="preserve"> </w:t>
      </w:r>
      <w:r>
        <w:t xml:space="preserve">regulated APIs carry accuracy obligations and minimum response-rate</w:t>
      </w:r>
      <w:r>
        <w:t xml:space="preserve"> </w:t>
      </w:r>
      <w:r>
        <w:t xml:space="preserve">SLAs. Provider-side attestation in TFP is the same architectural move:</w:t>
      </w:r>
      <w:r>
        <w:t xml:space="preserve"> </w:t>
      </w:r>
      <w:r>
        <w:t xml:space="preserve">completeness rests on (i) provider reputation and regulation, (ii)</w:t>
      </w:r>
      <w:r>
        <w:t xml:space="preserve"> </w:t>
      </w:r>
      <w:r>
        <w:t xml:space="preserve">verifier-side policies that penalize gaps (the CT model), and (iii)</w:t>
      </w:r>
      <w:r>
        <w:t xml:space="preserve"> </w:t>
      </w:r>
      <w:r>
        <w:t xml:space="preserve">counterparty cross-checks (the double-entry model). TFP relies on all</w:t>
      </w:r>
      <w:r>
        <w:t xml:space="preserve"> </w:t>
      </w:r>
      <w:r>
        <w:t xml:space="preserve">three, and states so per claim type rather than claiming cryptography</w:t>
      </w:r>
      <w:r>
        <w:t xml:space="preserve"> </w:t>
      </w:r>
      <w:r>
        <w:t xml:space="preserve">alone delivers completeness.</w:t>
      </w:r>
    </w:p>
    <w:p>
      <w:pPr>
        <w:pStyle w:val="FirstParagraph"/>
      </w:pPr>
      <w:r>
        <w:rPr>
          <w:b/>
          <w:bCs/>
        </w:rPr>
        <w:t xml:space="preserve">The aggregation problem: cross-provider visibility.</w:t>
      </w:r>
      <w:r>
        <w:t xml:space="preserve"> </w:t>
      </w:r>
      <w:r>
        <w:t xml:space="preserve">Completeness has a second face that cuts against the privacy architecture and must be stated plainly: custodians also exist to give</w:t>
      </w:r>
      <w:r>
        <w:t xml:space="preserve"> </w:t>
      </w:r>
      <w:r>
        <w:t xml:space="preserve">each verifier visibility into a subject’s obligations</w:t>
      </w:r>
      <w:r>
        <w:t xml:space="preserve"> </w:t>
      </w:r>
      <w:r>
        <w:rPr>
          <w:i/>
          <w:iCs/>
        </w:rPr>
        <w:t xml:space="preserve">to other</w:t>
      </w:r>
      <w:r>
        <w:rPr>
          <w:i/>
          <w:iCs/>
        </w:rPr>
        <w:t xml:space="preserve"> </w:t>
      </w:r>
      <w:r>
        <w:rPr>
          <w:i/>
          <w:iCs/>
        </w:rPr>
        <w:t xml:space="preserve">verifiers</w:t>
      </w:r>
      <w:r>
        <w:t xml:space="preserve">. Without cross-provider visibility, debt-stacking-style</w:t>
      </w:r>
      <w:r>
        <w:t xml:space="preserve"> </w:t>
      </w:r>
      <w:r>
        <w:t xml:space="preserve">problems re-emerge — a subject takes on multiple near-simultaneous</w:t>
      </w:r>
      <w:r>
        <w:t xml:space="preserve"> </w:t>
      </w:r>
      <w:r>
        <w:t xml:space="preserve">obligations, each invisible to the other counterparties (the financial</w:t>
      </w:r>
      <w:r>
        <w:t xml:space="preserve"> </w:t>
      </w:r>
      <w:r>
        <w:t xml:space="preserve">quantification: loan stacking accounted for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$39M of</w:t>
      </w:r>
      <w:r>
        <w:t xml:space="preserve"> </w:t>
      </w:r>
      <w:r>
        <w:t xml:space="preserve">charge-offs,</w:t>
      </w:r>
      <w:r>
        <w:t xml:space="preserve"> </w:t>
      </w:r>
      <m:oMath>
        <m:r>
          <m:rPr>
            <m:sty m:val="p"/>
          </m:rPr>
          <m:t>≈</m:t>
        </m:r>
        <m:r>
          <m:t>7.8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total, in</w:t>
      </w:r>
      <w:r>
        <w:t xml:space="preserve"> </w:t>
      </w:r>
      <w:r>
        <w:t xml:space="preserve">’s</w:t>
      </w:r>
      <w:r>
        <w:t xml:space="preserve"> </w:t>
      </w:r>
      <w:r>
        <w:t xml:space="preserve"> </w:t>
      </w:r>
      <w:r>
        <w:t xml:space="preserve">study of the</w:t>
      </w:r>
      <w:r>
        <w:t xml:space="preserve"> </w:t>
      </w:r>
      <w:r>
        <w:t xml:space="preserve">online-lending market). Per-tenant isolation deletes this visibility by</w:t>
      </w:r>
      <w:r>
        <w:t xml:space="preserve"> </w:t>
      </w:r>
      <w:r>
        <w:t xml:space="preserve">default. The protocol’s answer is an</w:t>
      </w:r>
      <w:r>
        <w:t xml:space="preserve"> </w:t>
      </w:r>
      <w:r>
        <w:rPr>
          <w:b/>
          <w:bCs/>
        </w:rPr>
        <w:t xml:space="preserve">opt-in aggregate-liability</w:t>
      </w:r>
      <w:r>
        <w:rPr>
          <w:b/>
          <w:bCs/>
        </w:rPr>
        <w:t xml:space="preserve"> </w:t>
      </w:r>
      <w:r>
        <w:rPr>
          <w:b/>
          <w:bCs/>
        </w:rPr>
        <w:t xml:space="preserve">proof</w:t>
      </w:r>
      <w:r>
        <w:t xml:space="preserve">: a zero-knowledge or selective-disclosure predicate over the</w:t>
      </w:r>
      <w:r>
        <w:t xml:space="preserve"> </w:t>
      </w:r>
      <w:r>
        <w:t xml:space="preserve">participant’s own record (</w:t>
      </w:r>
      <w:r>
        <w:t xml:space="preserve">“total current obligations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x”</w:t>
      </w:r>
      <w:r>
        <w:t xml:space="preserve">;</w:t>
      </w:r>
      <w:r>
        <w:t xml:space="preserve"> </w:t>
      </w:r>
      <w:r>
        <w:t xml:space="preserve">“no</w:t>
      </w:r>
      <w:r>
        <w:t xml:space="preserve"> </w:t>
      </w:r>
      <w:r>
        <w:t xml:space="preserve">open obligations older than y”</w:t>
      </w:r>
      <w:r>
        <w:t xml:space="preserve">) that a participant can present to a</w:t>
      </w:r>
      <w:r>
        <w:t xml:space="preserve"> </w:t>
      </w:r>
      <w:r>
        <w:t xml:space="preserve">verifier without disclosing the underlying events. This restores the</w:t>
      </w:r>
      <w:r>
        <w:t xml:space="preserve"> </w:t>
      </w:r>
      <w:r>
        <w:rPr>
          <w:i/>
          <w:iCs/>
        </w:rPr>
        <w:t xml:space="preserve">decision-relevant aggregate</w:t>
      </w:r>
      <w:r>
        <w:t xml:space="preserve"> </w:t>
      </w:r>
      <w:r>
        <w:t xml:space="preserve">without restoring the custodian; it</w:t>
      </w:r>
      <w:r>
        <w:t xml:space="preserve"> </w:t>
      </w:r>
      <w:r>
        <w:t xml:space="preserve">is opt-in by design, and its uptake — hence its completeness value —</w:t>
      </w:r>
      <w:r>
        <w:t xml:space="preserve"> </w:t>
      </w:r>
      <w:r>
        <w:t xml:space="preserve">is an application-layer and pilot-stage question, not a settled</w:t>
      </w:r>
      <w:r>
        <w:t xml:space="preserve"> </w:t>
      </w:r>
      <w:r>
        <w:t xml:space="preserve">property.</w:t>
      </w:r>
    </w:p>
    <w:p>
      <w:pPr>
        <w:pStyle w:val="BodyText"/>
      </w:pPr>
      <w:r>
        <w:rPr>
          <w:b/>
          <w:bCs/>
        </w:rPr>
        <w:t xml:space="preserve">Scope limit: the expectation side is un-attested.</w:t>
      </w:r>
      <w:r>
        <w:t xml:space="preserve"> </w:t>
      </w:r>
      <w:r>
        <w:t xml:space="preserve">Attestation</w:t>
      </w:r>
      <w:r>
        <w:t xml:space="preserve"> </w:t>
      </w:r>
      <w:r>
        <w:t xml:space="preserve">protects the validation (V) side only; expectation (E) enters</w:t>
      </w:r>
      <w:r>
        <w:t xml:space="preserve"> </w:t>
      </w:r>
      <w:r>
        <w:t xml:space="preserve">un-attested — an agent shading E downward manufactures positive</w:t>
      </w:r>
      <w:r>
        <w:t xml:space="preserve"> </w:t>
      </w:r>
      <m:oMath>
        <m:r>
          <m:t>ε</m:t>
        </m:r>
      </m:oMath>
      <w:r>
        <w:t xml:space="preserve">, and a counterparty shading E manufactures betrayal.</w:t>
      </w:r>
      <w:r>
        <w:t xml:space="preserve"> </w:t>
      </w:r>
      <w:r>
        <w:t xml:space="preserve">E-side integrity (committed expectations, signed offer terms) is an open</w:t>
      </w:r>
      <w:r>
        <w:t xml:space="preserve"> </w:t>
      </w:r>
      <w:r>
        <w:t xml:space="preserve">design problem, flagged here as a scope limit.</w:t>
      </w:r>
    </w:p>
    <w:p>
      <w:pPr>
        <w:pStyle w:val="BodyText"/>
      </w:pPr>
      <w:r>
        <w:rPr>
          <w:b/>
          <w:bCs/>
        </w:rPr>
        <w:t xml:space="preserve">Erasure on an immutable ledger (right-to-deletion</w:t>
      </w:r>
      <w:r>
        <w:rPr>
          <w:b/>
          <w:bCs/>
        </w:rPr>
        <w:t xml:space="preserve"> </w:t>
      </w:r>
      <w:r>
        <w:rPr>
          <w:b/>
          <w:bCs/>
        </w:rPr>
        <w:t xml:space="preserve">compatibility).</w:t>
      </w:r>
      <w:r>
        <w:t xml:space="preserve"> </w:t>
      </w:r>
      <w:r>
        <w:t xml:space="preserve">An append-only audit anchor raises an apparent</w:t>
      </w:r>
      <w:r>
        <w:t xml:space="preserve"> </w:t>
      </w:r>
      <w:r>
        <w:t xml:space="preserve">contradiction with erasure rights (FCRA correction/deletion duties;</w:t>
      </w:r>
      <w:r>
        <w:t xml:space="preserve"> </w:t>
      </w:r>
      <w:r>
        <w:t xml:space="preserve">GDPR Art. 17): the anchor cannot be rewritten, but the data subject’s</w:t>
      </w:r>
      <w:r>
        <w:t xml:space="preserve"> </w:t>
      </w:r>
      <w:r>
        <w:t xml:space="preserve">erasure demand is binding. The protocol resolves it by keeping</w:t>
      </w:r>
      <w:r>
        <w:t xml:space="preserve"> </w:t>
      </w:r>
      <w:r>
        <w:t xml:space="preserve">content off the anchor and making erasure a key-management operation</w:t>
      </w:r>
      <w:r>
        <w:t xml:space="preserve"> </w:t>
      </w:r>
      <w:r>
        <w:t xml:space="preserve">(crypto-shredding). Concretely, each stored record is encrypted under a</w:t>
      </w:r>
      <w:r>
        <w:t xml:space="preserve"> </w:t>
      </w:r>
      <w:r>
        <w:t xml:space="preserve">three-key scheme: one key share held by the network’s storage layer, one</w:t>
      </w:r>
      <w:r>
        <w:t xml:space="preserve"> </w:t>
      </w:r>
      <w:r>
        <w:t xml:space="preserve">held by the participant, and one generated per-record by the processing</w:t>
      </w:r>
      <w:r>
        <w:t xml:space="preserve"> </w:t>
      </w:r>
      <w:r>
        <w:t xml:space="preserve">service that performs validation computations. The anchor chain commits</w:t>
      </w:r>
      <w:r>
        <w:t xml:space="preserve"> </w:t>
      </w:r>
      <w:r>
        <w:t xml:space="preserve">only hashes and storage identifiers — never content — so destroying</w:t>
      </w:r>
      <w:r>
        <w:t xml:space="preserve"> </w:t>
      </w:r>
      <w:r>
        <w:t xml:space="preserve">the processing-service key share renders the record permanently</w:t>
      </w:r>
      <w:r>
        <w:t xml:space="preserve"> </w:t>
      </w:r>
      <w:r>
        <w:t xml:space="preserve">unrecoverable (the remaining shares are information-theoretically</w:t>
      </w:r>
      <w:r>
        <w:t xml:space="preserve"> </w:t>
      </w:r>
      <w:r>
        <w:t xml:space="preserve">insufficient) while every hash link, attestation, and state-transition</w:t>
      </w:r>
      <w:r>
        <w:t xml:space="preserve"> </w:t>
      </w:r>
      <w:r>
        <w:t xml:space="preserve">commitment on the chain remains valid and verifiable. Erasure therefore</w:t>
      </w:r>
      <w:r>
        <w:t xml:space="preserve"> </w:t>
      </w:r>
      <w:r>
        <w:t xml:space="preserve">destroys the data without breaking the ledger, and every correction or</w:t>
      </w:r>
      <w:r>
        <w:t xml:space="preserve"> </w:t>
      </w:r>
      <w:r>
        <w:t xml:space="preserve">erasure event is itself recorded on-chain as an auditable state</w:t>
      </w:r>
      <w:r>
        <w:t xml:space="preserve"> </w:t>
      </w:r>
      <w:r>
        <w:t xml:space="preserve">transition: the ledger proves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 erasure or correction</w:t>
      </w:r>
      <w:r>
        <w:t xml:space="preserve"> </w:t>
      </w:r>
      <w:r>
        <w:t xml:space="preserve">occurred, and the audit trail of §3.4 survives it. The residual limits</w:t>
      </w:r>
      <w:r>
        <w:t xml:space="preserve"> </w:t>
      </w:r>
      <w:r>
        <w:t xml:space="preserve">match this section’s general posture: erasure removes content, not the</w:t>
      </w:r>
      <w:r>
        <w:t xml:space="preserve"> </w:t>
      </w:r>
      <w:r>
        <w:t xml:space="preserve">fact of prior attestation, and derived aggregates already consumed by a</w:t>
      </w:r>
      <w:r>
        <w:t xml:space="preserve"> </w:t>
      </w:r>
      <w:r>
        <w:t xml:space="preserve">verifier are out of scope of the primitive.</w:t>
      </w:r>
    </w:p>
    <w:bookmarkEnd w:id="70"/>
    <w:bookmarkStart w:id="75" w:name="Xed046bb3de3479e69d2f0bb39b69b8c74779160"/>
    <w:p>
      <w:pPr>
        <w:pStyle w:val="Heading2"/>
      </w:pPr>
      <w:r>
        <w:t xml:space="preserve">3.9 Threat model: expected loss, not conditional exposure</w:t>
      </w:r>
      <w:r>
        <w:t xml:space="preserve"> </w:t>
      </w:r>
      <w:r>
        <w:t xml:space="preserve">[</w:t>
      </w:r>
      <w:r>
        <w:t xml:space="preserve">SIMULATION</w:t>
      </w:r>
      <w:r>
        <w:t xml:space="preserve">]</w:t>
      </w:r>
      <w:r>
        <w:t xml:space="preserve"> </w:t>
      </w:r>
      <w:r>
        <w:t xml:space="preserve">+</w:t>
      </w:r>
      <w:r>
        <w:t xml:space="preserve"> </w:t>
      </w:r>
      <w:r>
        <w:t xml:space="preserve">[</w:t>
      </w:r>
      <w:r>
        <w:t xml:space="preserve">EMPIRICAL</w:t>
      </w:r>
      <w:r>
        <w:t xml:space="preserve"> </w:t>
      </w:r>
      <w:r>
        <w:t xml:space="preserve">anchors</w:t>
      </w:r>
      <w:r>
        <w:t xml:space="preserve">]</w:t>
      </w:r>
    </w:p>
    <w:p>
      <w:pPr>
        <w:pStyle w:val="FirstParagraph"/>
      </w:pPr>
      <w:r>
        <w:t xml:space="preserve">The security case of §3.6 (Sim P2)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exposure — records compromised given a breach. The full</w:t>
      </w:r>
      <w:r>
        <w:t xml:space="preserve"> </w:t>
      </w:r>
      <w:r>
        <w:t xml:space="preserve">risk equation is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∣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,</w:t>
      </w:r>
      <w:r>
        <w:t xml:space="preserve"> </w:t>
      </w:r>
      <w:r>
        <w:t xml:space="preserve">and distribution multiplies the first term while dividing the second.</w:t>
      </w:r>
      <w:r>
        <w:t xml:space="preserve"> </w:t>
      </w:r>
      <w:r>
        <w:t xml:space="preserve">This section models both terms (Technical Appendix, Sim-Battery A, Study</w:t>
      </w:r>
      <w:r>
        <w:t xml:space="preserve"> </w:t>
      </w:r>
      <w:r>
        <w:t xml:space="preserve">2; frozen figures printed; assumptions labeled).</w:t>
      </w:r>
    </w:p>
    <w:p>
      <w:pPr>
        <w:pStyle w:val="BodyText"/>
      </w:pPr>
      <w:r>
        <w:rPr>
          <w:b/>
          <w:bCs/>
        </w:rPr>
        <w:t xml:space="preserve">Model.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records in the</w:t>
      </w:r>
      <w:r>
        <w:t xml:space="preserve"> </w:t>
      </w:r>
      <w:r>
        <w:t xml:space="preserve">centralized reference (bureau-scale);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endpoints under per-tenant</w:t>
      </w:r>
      <w:r>
        <w:t xml:space="preserve"> </w:t>
      </w:r>
      <w:r>
        <w:t xml:space="preserve">custody (one per record). Expected annual attacker-exposed records:</w:t>
      </w:r>
    </w:p>
    <w:p>
      <w:pPr>
        <w:numPr>
          <w:ilvl w:val="0"/>
          <w:numId w:val="1010"/>
        </w:numPr>
      </w:pPr>
      <w:r>
        <w:t xml:space="preserve">Centralized: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0"/>
        </w:numPr>
      </w:pPr>
      <w:r>
        <w:t xml:space="preserve">Per-tenant: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per-tenant advantage condition reduces exactly to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</m:sub>
        </m:sSub>
      </m:oMath>
      <w:r>
        <w:t xml:space="preserve">:</w:t>
      </w:r>
      <w:r>
        <w:t xml:space="preserve"> </w:t>
      </w:r>
      <w:r>
        <w:t xml:space="preserve">per-endpoint compromise probability plus the common-mode failure</w:t>
      </w:r>
      <w:r>
        <w:t xml:space="preserve"> </w:t>
      </w:r>
      <w:r>
        <w:t xml:space="preserve">probability of the shared stack must stay below the organizational</w:t>
      </w:r>
      <w:r>
        <w:t xml:space="preserve"> </w:t>
      </w:r>
      <w:r>
        <w:t xml:space="preserve">breach probability. Anchors: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0.02</m:t>
        </m:r>
        <m:r>
          <m:rPr>
            <m:sty m:val="p"/>
          </m:rPr>
          <m:t>,</m:t>
        </m:r>
        <m:r>
          <m:t>0.03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}</m:t>
        </m:r>
      </m:oMath>
      <w:r>
        <w:t xml:space="preserve">/yr (DBIR-class</w:t>
      </w:r>
      <w:r>
        <w:t xml:space="preserve"> </w:t>
      </w:r>
      <w:r>
        <w:t xml:space="preserve">organizational breach base rates for custodian-scale honeypots;</w:t>
      </w:r>
      <w:r>
        <w:t xml:space="preserve"> </w:t>
      </w:r>
      <w:r>
        <w:t xml:space="preserve"> </w:t>
      </w:r>
      <w:r>
        <w:t xml:space="preserve">estimate a 29.6% probability that an organization</w:t>
      </w:r>
      <w:r>
        <w:t xml:space="preserve"> </w:t>
      </w:r>
      <w:r>
        <w:t xml:space="preserve">experiences a breach within two years);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0.001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]</m:t>
        </m:r>
      </m:oMath>
      <w:r>
        <w:t xml:space="preserve">/yr (per-endpoint</w:t>
      </w:r>
      <w:r>
        <w:t xml:space="preserve"> </w:t>
      </w:r>
      <w:r>
        <w:t xml:space="preserve">phishing/malware compromise range — real-world phishing click-through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4.1% of delivered malicious emails, with risk concentrated</w:t>
      </w:r>
      <w:r>
        <w:t xml:space="preserve"> </w:t>
      </w:r>
      <w:r>
        <w:t xml:space="preserve">in a high-risk user quartile; human element present in 68% of breaches,</w:t>
      </w:r>
      <w:r>
        <w:t xml:space="preserve"> </w:t>
      </w:r>
      <w:r>
        <w:t xml:space="preserve">);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/yr (shared</w:t>
      </w:r>
      <w:r>
        <w:t xml:space="preserve"> </w:t>
      </w:r>
      <w:r>
        <w:t xml:space="preserve">client/supply-chain vulnerability in the per-tenant stack).</w:t>
      </w:r>
    </w:p>
    <w:bookmarkStart w:id="74" w:name="fig:loss"/>
    <w:p>
      <w:pPr>
        <w:pStyle w:val="CaptionedFigure"/>
      </w:pPr>
      <w:r>
        <w:drawing>
          <wp:inline>
            <wp:extent cx="4907280" cy="2117154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figures/fig_expected_los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117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12.</w:t>
      </w:r>
      <w:r>
        <w:t xml:space="preserve"> </w:t>
      </w:r>
      <w:r>
        <w:t xml:space="preserve">Expected-loss threat model (§3.9),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: (a)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with the break-even contour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b>
        </m:sSub>
      </m:oMath>
      <w:r>
        <w:t xml:space="preserve">; (b) expected-loss curves — centralized 15M records/yr 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; per-tenant 1.8M/yr in the favorable region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0.001</m:t>
        </m:r>
      </m:oMath>
      <w:r>
        <w:t xml:space="preserve">) and 18.3M/yr 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— with the key/guardian access-loss term (</w:t>
      </w:r>
      <m:oMath>
        <m:r>
          <m:rPr>
            <m:sty m:val="p"/>
          </m:rPr>
          <m:t>+</m:t>
        </m:r>
        <m:r>
          <m:t>1.5</m:t>
        </m:r>
      </m:oMath>
      <w:r>
        <w:t xml:space="preserve">M/yr 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) shown separately. Variance reduction, not elimination.</w:t>
      </w:r>
    </w:p>
    <w:bookmarkEnd w:id="74"/>
    <w:p>
      <w:pPr>
        <w:pStyle w:val="BodyText"/>
      </w:pPr>
      <w:r>
        <w:rPr>
          <w:b/>
          <w:bCs/>
        </w:rPr>
        <w:t xml:space="preserve">Numbers (frozen, Figure 12).</w:t>
      </w:r>
      <w:r>
        <w:t xml:space="preserve"> </w:t>
      </w:r>
      <w:r>
        <w:t xml:space="preserve">Centralized expected</w:t>
      </w:r>
      <w:r>
        <w:t xml:space="preserve"> </w:t>
      </w:r>
      <w:r>
        <w:t xml:space="preserve">exposure 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15M records/yr</w:t>
      </w:r>
      <w:r>
        <w:t xml:space="preserve"> </w:t>
      </w:r>
      <w:r>
        <w:t xml:space="preserve">(6M at</w:t>
      </w:r>
      <w:r>
        <w:t xml:space="preserve"> </w:t>
      </w:r>
      <w:r>
        <w:t xml:space="preserve">0.02; 30M at 0.10). Per-tenant</w:t>
      </w:r>
      <w:r>
        <w:t xml:space="preserve"> </w:t>
      </w:r>
      <w:r>
        <w:rPr>
          <w:b/>
          <w:bCs/>
        </w:rPr>
        <w:t xml:space="preserve">wins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8</m:t>
        </m:r>
      </m:oMath>
      <m:oMath>
        <m:r>
          <m:rPr>
            <m:sty m:val="p"/>
          </m:rPr>
          <m:t>×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favorable region —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0.001</m:t>
        </m:r>
        <m:r>
          <m:rPr>
            <m:sty m:val="p"/>
          </m:rPr>
          <m:t>→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M vs. 15M — and</w:t>
      </w:r>
      <w:r>
        <w:t xml:space="preserve"> </w:t>
      </w:r>
      <w:r>
        <w:rPr>
          <w:b/>
          <w:bCs/>
        </w:rPr>
        <w:t xml:space="preserve">loses</w:t>
      </w:r>
      <w:r>
        <w:t xml:space="preserve"> </w:t>
      </w:r>
      <w:r>
        <w:t xml:space="preserve">when endpoint multiplication dominates: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0.06</m:t>
        </m:r>
        <m:r>
          <m:rPr>
            <m:sty m:val="p"/>
          </m:rPr>
          <m:t>→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18.3</m:t>
        </m:r>
        <m:r>
          <m:rPr>
            <m:sty m:val="p"/>
          </m:rPr>
          <m:t>M</m:t>
        </m:r>
        <m:r>
          <m:rPr>
            <m:sty m:val="p"/>
          </m:rPr>
          <m:t>&gt;</m:t>
        </m:r>
        <m:r>
          <m:t>15</m:t>
        </m:r>
        <m:r>
          <m:rPr>
            <m:sty m:val="p"/>
          </m:rPr>
          <m:t>M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M</m:t>
        </m:r>
        <m:r>
          <m:rPr>
            <m:sty m:val="p"/>
          </m:rPr>
          <m:t>+</m:t>
        </m:r>
      </m:oMath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b>
        </m:sSub>
      </m:oMath>
      <w:r>
        <w:t xml:space="preserve">. The break-even boundary is the line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</m:sub>
        </m:sSub>
      </m:oMath>
      <w:r>
        <w:t xml:space="preserve">.</w:t>
      </w:r>
      <w:r>
        <w:t xml:space="preserve"> </w:t>
      </w:r>
      <w:r>
        <w:t xml:space="preserve">The entire defensible region depends on per-endpoint compromise staying</w:t>
      </w:r>
      <w:r>
        <w:t xml:space="preserve"> </w:t>
      </w:r>
      <w:r>
        <w:t xml:space="preserve">well below the organizational breach rate — plausible, because an</w:t>
      </w:r>
      <w:r>
        <w:t xml:space="preserve"> </w:t>
      </w:r>
      <w:r>
        <w:t xml:space="preserve">endpoint holds one record rather than 300M and attacker ROI per endpoint</w:t>
      </w:r>
      <w:r>
        <w:t xml:space="preserve"> </w:t>
      </w:r>
      <w:r>
        <w:t xml:space="preserve">is low, but this is an</w:t>
      </w:r>
      <w:r>
        <w:t xml:space="preserve"> </w:t>
      </w:r>
      <w:r>
        <w:rPr>
          <w:b/>
          <w:bCs/>
        </w:rPr>
        <w:t xml:space="preserve">assumption, not a measurement</w:t>
      </w:r>
      <w:r>
        <w:t xml:space="preserve">, and the</w:t>
      </w:r>
      <w:r>
        <w:t xml:space="preserve"> </w:t>
      </w:r>
      <w:r>
        <w:t xml:space="preserve">market evidence cuts both ways (attackers have shifted toward individual</w:t>
      </w:r>
      <w:r>
        <w:t xml:space="preserve"> </w:t>
      </w:r>
      <w:r>
        <w:t xml:space="preserve">wallets as services hardened,</w:t>
      </w:r>
      <w:r>
        <w:t xml:space="preserve"> 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Headline.</w:t>
      </w:r>
      <w:r>
        <w:t xml:space="preserve"> </w:t>
      </w:r>
      <w:r>
        <w:t xml:space="preserve">Per-tenant custody converts rare-catastrophic</w:t>
      </w:r>
      <w:r>
        <w:t xml:space="preserve"> </w:t>
      </w:r>
      <w:r>
        <w:t xml:space="preserve">loss into frequent-small loss: 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/yr and</w:t>
      </w:r>
      <w:r>
        <w:t xml:space="preserve"> </w:t>
      </w:r>
      <w:r>
        <w:t xml:space="preserve">a million tenants,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tenant is compromised essentially every</w:t>
      </w:r>
      <w:r>
        <w:t xml:space="preserve"> </w:t>
      </w:r>
      <w:r>
        <w:t xml:space="preserve">year, while the custodian’s breach is rarer and total. The</w:t>
      </w:r>
      <w:r>
        <w:t xml:space="preserve"> </w:t>
      </w:r>
      <w:r>
        <w:t xml:space="preserve">architecture’s security claim is</w:t>
      </w:r>
      <w:r>
        <w:t xml:space="preserve"> </w:t>
      </w:r>
      <w:r>
        <w:rPr>
          <w:b/>
          <w:bCs/>
        </w:rPr>
        <w:t xml:space="preserve">variance reduction and</w:t>
      </w:r>
      <w:r>
        <w:rPr>
          <w:b/>
          <w:bCs/>
        </w:rPr>
        <w:t xml:space="preserve"> </w:t>
      </w:r>
      <w:r>
        <w:rPr>
          <w:b/>
          <w:bCs/>
        </w:rPr>
        <w:t xml:space="preserve">blast-radius capping — not loss elimination</w:t>
      </w:r>
      <w:r>
        <w:t xml:space="preserve"> </w:t>
      </w:r>
      <w:r>
        <w:t xml:space="preserve">— and it wins exactly</w:t>
      </w:r>
      <w:r>
        <w:t xml:space="preserve"> </w:t>
      </w:r>
      <w:r>
        <w:t xml:space="preserve">when endpoint hygiene and client integrity hold. Sim P2’s</w:t>
      </w:r>
      <w:r>
        <w:t xml:space="preserve"> </w:t>
      </w:r>
      <w:r>
        <w:t xml:space="preserve">“99.8%</w:t>
      </w:r>
      <w:r>
        <w:t xml:space="preserve"> </w:t>
      </w:r>
      <w:r>
        <w:t xml:space="preserve">reduction”</w:t>
      </w:r>
      <w:r>
        <w:t xml:space="preserve"> </w:t>
      </w:r>
      <w:r>
        <w:t xml:space="preserve">is retained only in its correct form: conditional exposure</w:t>
      </w:r>
      <w:r>
        <w:t xml:space="preserve"> </w:t>
      </w:r>
      <w:r>
        <w:t xml:space="preserve">given a breach, one term of the risk equation.</w:t>
      </w:r>
    </w:p>
    <w:p>
      <w:pPr>
        <w:pStyle w:val="BodyText"/>
      </w:pPr>
      <w:r>
        <w:rPr>
          <w:b/>
          <w:bCs/>
        </w:rPr>
        <w:t xml:space="preserve">Common-mode failure is a first-class scenario.</w:t>
      </w:r>
      <w:r>
        <w:t xml:space="preserve"> </w:t>
      </w:r>
      <w:r>
        <w:t xml:space="preserve">Per-tenant</w:t>
      </w:r>
      <w:r>
        <w:t xml:space="preserve"> </w:t>
      </w:r>
      <w:r>
        <w:t xml:space="preserve">isolation bounds</w:t>
      </w:r>
      <w:r>
        <w:t xml:space="preserve"> </w:t>
      </w:r>
      <w:r>
        <w:rPr>
          <w:i/>
          <w:iCs/>
        </w:rPr>
        <w:t xml:space="preserve">server-side</w:t>
      </w:r>
      <w:r>
        <w:t xml:space="preserve"> </w:t>
      </w:r>
      <w:r>
        <w:t xml:space="preserve">blast radius only if tenants do not</w:t>
      </w:r>
      <w:r>
        <w:t xml:space="preserve"> </w:t>
      </w:r>
      <w:r>
        <w:t xml:space="preserve">share a monoculture client, SDK, key-derivation library, guardian</w:t>
      </w:r>
      <w:r>
        <w:t xml:space="preserve"> </w:t>
      </w:r>
      <w:r>
        <w:t xml:space="preserve">service, or update channel (</w:t>
      </w:r>
      <w:r>
        <w:t xml:space="preserve">: software monocultures</w:t>
      </w:r>
      <w:r>
        <w:t xml:space="preserve"> </w:t>
      </w:r>
      <w:r>
        <w:t xml:space="preserve">create common-mode failure). Precedents, each a case where one shared</w:t>
      </w:r>
      <w:r>
        <w:t xml:space="preserve"> </w:t>
      </w:r>
      <w:r>
        <w:t xml:space="preserve">component compromised every user of that component while the underlying</w:t>
      </w:r>
      <w:r>
        <w:t xml:space="preserve"> </w:t>
      </w:r>
      <w:r>
        <w:t xml:space="preserve">protocol stood:</w:t>
      </w:r>
      <w:r>
        <w:t xml:space="preserve"> </w:t>
      </w:r>
      <w:r>
        <w:rPr>
          <w:b/>
          <w:bCs/>
        </w:rPr>
        <w:t xml:space="preserve">Slope/Solana (August 2022;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— a single wallet client’s logging pipeline</w:t>
      </w:r>
      <w:r>
        <w:t xml:space="preserve"> </w:t>
      </w:r>
      <w:r>
        <w:t xml:space="preserve">exfiltrated seed phrases; 9,231 wallets drained 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</w:t>
      </w:r>
      <w:r>
        <w:t xml:space="preserve"> </w:t>
      </w:r>
      <w:r>
        <w:t xml:space="preserve">hours, the Solana protocol itself unbreached;</w:t>
      </w:r>
      <w:r>
        <w:t xml:space="preserve"> </w:t>
      </w:r>
      <w:r>
        <w:rPr>
          <w:b/>
          <w:bCs/>
        </w:rPr>
        <w:t xml:space="preserve">npm event-stream</w:t>
      </w:r>
      <w:r>
        <w:rPr>
          <w:b/>
          <w:bCs/>
        </w:rPr>
        <w:t xml:space="preserve"> </w:t>
      </w:r>
      <w:r>
        <w:rPr>
          <w:b/>
          <w:bCs/>
        </w:rPr>
        <w:t xml:space="preserve">(2018)</w:t>
      </w:r>
      <w:r>
        <w:t xml:space="preserve"> </w:t>
      </w:r>
      <w:r>
        <w:t xml:space="preserve">— a socially-engineered maintainer handoff shipped a targeted</w:t>
      </w:r>
      <w:r>
        <w:t xml:space="preserve"> </w:t>
      </w:r>
      <w:r>
        <w:t xml:space="preserve">payload 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2M-weekly-download dependents, undetected for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2.5 months;</w:t>
      </w:r>
      <w:r>
        <w:t xml:space="preserve"> </w:t>
      </w:r>
      <w:r>
        <w:rPr>
          <w:b/>
          <w:bCs/>
        </w:rPr>
        <w:t xml:space="preserve">Ledger Connect Kit (December 2023;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— a phished npm account pushed a wallet drainer</w:t>
      </w:r>
      <w:r>
        <w:t xml:space="preserve"> </w:t>
      </w:r>
      <w:r>
        <w:t xml:space="preserve">that dozens of applications served automatically,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$600K in</w:t>
      </w:r>
      <w:r>
        <w:t xml:space="preserve"> </w:t>
      </w:r>
      <w:r>
        <w:t xml:space="preserve">under two hours;</w:t>
      </w:r>
      <w:r>
        <w:t xml:space="preserve"> </w:t>
      </w:r>
      <w:r>
        <w:rPr>
          <w:b/>
          <w:bCs/>
        </w:rPr>
        <w:t xml:space="preserve">LastPass (2022;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— chained</w:t>
      </w:r>
      <w:r>
        <w:t xml:space="preserve"> </w:t>
      </w:r>
      <w:r>
        <w:t xml:space="preserve">incidents exfiltrated encrypted vault backups for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30M</w:t>
      </w:r>
      <w:r>
        <w:t xml:space="preserve"> </w:t>
      </w:r>
      <w:r>
        <w:t xml:space="preserve">users, with multi-year monetization of weak master passwords</w:t>
      </w:r>
      <w:r>
        <w:t xml:space="preserve"> </w:t>
      </w:r>
      <w:r>
        <w:t xml:space="preserve">(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$35M traced through late 2025; £1.2M ICO fine).</w:t>
      </w:r>
      <w:r>
        <w:t xml:space="preserve"> </w:t>
      </w:r>
      <w:r>
        <w:t xml:space="preserve">Mitigations the protocol adopts as requirements, not aspirations: an</w:t>
      </w:r>
      <w:r>
        <w:t xml:space="preserve"> </w:t>
      </w:r>
      <w:r>
        <w:t xml:space="preserve">audited reference client, reproducible builds with signed releases,</w:t>
      </w:r>
      <w:r>
        <w:t xml:space="preserve"> </w:t>
      </w:r>
      <w:r>
        <w:t xml:space="preserve">update-channel key separation, and client diversity so no single client</w:t>
      </w:r>
      <w:r>
        <w:t xml:space="preserve"> </w:t>
      </w:r>
      <w:r>
        <w:t xml:space="preserve">speaks for all tenants.</w:t>
      </w:r>
    </w:p>
    <w:p>
      <w:pPr>
        <w:pStyle w:val="BodyText"/>
      </w:pPr>
      <w:r>
        <w:rPr>
          <w:b/>
          <w:bCs/>
        </w:rPr>
        <w:t xml:space="preserve">Key loss and the guardian channel — the self-inflicted term.</w:t>
      </w:r>
      <w:r>
        <w:t xml:space="preserve"> </w:t>
      </w:r>
      <w:r>
        <w:t xml:space="preserve">Distribution moves risk from</w:t>
      </w:r>
      <w:r>
        <w:t xml:space="preserve"> </w:t>
      </w:r>
      <w:r>
        <w:t xml:space="preserve">“a custodian loses everyone’s records”</w:t>
      </w:r>
      <w:r>
        <w:t xml:space="preserve"> </w:t>
      </w:r>
      <w:r>
        <w:t xml:space="preserve">to</w:t>
      </w:r>
      <w:r>
        <w:t xml:space="preserve"> </w:t>
      </w:r>
      <w:r>
        <w:t xml:space="preserve">“users lose their keys.”</w:t>
      </w:r>
      <w:r>
        <w:t xml:space="preserve"> </w:t>
      </w:r>
      <w:r>
        <w:t xml:space="preserve">Quantified as a separate term (access loss,</w:t>
      </w:r>
      <w:r>
        <w:t xml:space="preserve"> </w:t>
      </w:r>
      <w:r>
        <w:t xml:space="preserve">not attacker exposure): 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0.005</m:t>
        </m:r>
      </m:oMath>
      <w:r>
        <w:t xml:space="preserve">/yr,</w:t>
      </w:r>
      <w:r>
        <w:t xml:space="preserve"> </w:t>
      </w:r>
      <w:r>
        <w:rPr>
          <w:b/>
          <w:bCs/>
        </w:rPr>
        <w:t xml:space="preserve">+1.5M records/yr of access loss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same order as the</w:t>
      </w:r>
      <w:r>
        <w:rPr>
          <w:i/>
          <w:iCs/>
        </w:rPr>
        <w:t xml:space="preserve"> </w:t>
      </w:r>
      <w:r>
        <w:rPr>
          <w:i/>
          <w:iCs/>
        </w:rPr>
        <w:t xml:space="preserve">entire per-tenant attacker-exposure win</w:t>
      </w:r>
      <w:r>
        <w:t xml:space="preserve"> </w:t>
      </w:r>
      <w:r>
        <w:t xml:space="preserve">(1.8M/yr in the favorable</w:t>
      </w:r>
      <w:r>
        <w:t xml:space="preserve"> </w:t>
      </w:r>
      <w:r>
        <w:t xml:space="preserve">example above). The counterfactual without recovery is the canonical</w:t>
      </w:r>
      <w:r>
        <w:t xml:space="preserve"> </w:t>
      </w:r>
      <w:r>
        <w:t xml:space="preserve">self-custody figure: an estimated 2.78–3.79M BTC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17–23% of supply) stranded in inaccessible wallets</w:t>
      </w:r>
      <w:r>
        <w:t xml:space="preserve"> </w:t>
      </w:r>
      <w:r>
        <w:t xml:space="preserve">.</w:t>
      </w:r>
      <w:r>
        <w:t xml:space="preserve"> </w:t>
      </w:r>
      <w:r>
        <w:t xml:space="preserve">Guardian-quorum social recovery (ERC-4337/EIP-7702 patterns, §6;</w:t>
      </w:r>
      <w:r>
        <w:t xml:space="preserve"> </w:t>
      </w:r>
      <w:r>
        <w:t xml:space="preserve">) cuts the loss channel but</w:t>
      </w:r>
      <w:r>
        <w:t xml:space="preserve"> </w:t>
      </w:r>
      <w:r>
        <w:rPr>
          <w:b/>
          <w:bCs/>
        </w:rPr>
        <w:t xml:space="preserve">adds attack</w:t>
      </w:r>
      <w:r>
        <w:rPr>
          <w:b/>
          <w:bCs/>
        </w:rPr>
        <w:t xml:space="preserve"> </w:t>
      </w:r>
      <w:r>
        <w:rPr>
          <w:b/>
          <w:bCs/>
        </w:rPr>
        <w:t xml:space="preserve">channels of its own</w:t>
      </w:r>
      <w:r>
        <w:t xml:space="preserve">, each with production precedent: SIM-swap of</w:t>
      </w:r>
      <w:r>
        <w:t xml:space="preserve"> </w:t>
      </w:r>
      <w:r>
        <w:t xml:space="preserve">recovery contacts (</w:t>
      </w:r>
      <w:r>
        <w:t xml:space="preserve">: 39 of 50 attempted unauthorized</w:t>
      </w:r>
      <w:r>
        <w:t xml:space="preserve"> </w:t>
      </w:r>
      <w:r>
        <w:t xml:space="preserve">SIM swaps succeeded across five major U.S. prepaid carriers); compromise</w:t>
      </w:r>
      <w:r>
        <w:t xml:space="preserve"> </w:t>
      </w:r>
      <w:r>
        <w:t xml:space="preserve">of a centralized default guardian (</w:t>
      </w:r>
      <w:r>
        <w:t xml:space="preserve">: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$5M</w:t>
      </w:r>
      <w:r>
        <w:t xml:space="preserve"> </w:t>
      </w:r>
      <w:r>
        <w:t xml:space="preserve">across 58 wallets via the hosted 2FA guardian service); and</w:t>
      </w:r>
      <w:r>
        <w:t xml:space="preserve"> </w:t>
      </w:r>
      <w:r>
        <w:t xml:space="preserve">recovery-logic bugs (</w:t>
      </w:r>
      <w:r>
        <w:t xml:space="preserve">: a zero-guardian</w:t>
      </w:r>
      <w:r>
        <w:t xml:space="preserve"> </w:t>
      </w:r>
      <w:r>
        <w:t xml:space="preserve">recovery path put 329 wallets at immediate risk, fixed</w:t>
      </w:r>
      <w:r>
        <w:t xml:space="preserve"> </w:t>
      </w:r>
      <w:r>
        <w:t xml:space="preserve">pre-exploitation). Design requirements that follow: guardian</w:t>
      </w:r>
      <w:r>
        <w:t xml:space="preserve"> </w:t>
      </w:r>
      <w:r>
        <w:t xml:space="preserve">unlinkability, time-locked recovery with owner veto, no custodial or</w:t>
      </w:r>
      <w:r>
        <w:t xml:space="preserve"> </w:t>
      </w:r>
      <w:r>
        <w:t xml:space="preserve">default guardian as a single point, and guardian counts disclosed in the</w:t>
      </w:r>
      <w:r>
        <w:t xml:space="preserve"> </w:t>
      </w:r>
      <w:r>
        <w:t xml:space="preserve">security model. Per-tenant custody’s security advantage on</w:t>
      </w:r>
      <w:r>
        <w:t xml:space="preserve"> </w:t>
      </w:r>
      <w:r>
        <w:t xml:space="preserve">attacker-exposed records is real in the favorable region — and is</w:t>
      </w:r>
      <w:r>
        <w:t xml:space="preserve"> </w:t>
      </w:r>
      <w:r>
        <w:t xml:space="preserve">substantially offset by self-inflicted availability loss unless guardian</w:t>
      </w:r>
      <w:r>
        <w:t xml:space="preserve"> </w:t>
      </w:r>
      <w:r>
        <w:t xml:space="preserve">recovery performs much better than 0.5%/yr.</w:t>
      </w:r>
    </w:p>
    <w:bookmarkEnd w:id="75"/>
    <w:bookmarkStart w:id="84" w:name="Xd71bd202e9896de287e7838e2afc1374837ed6c"/>
    <w:p>
      <w:pPr>
        <w:pStyle w:val="Heading2"/>
      </w:pPr>
      <w:r>
        <w:t xml:space="preserve">3.10 Temporal validity: cold start and long-run dynamics</w:t>
      </w:r>
      <w:r>
        <w:t xml:space="preserve"> </w:t>
      </w:r>
      <w:r>
        <w:t xml:space="preserve">[</w:t>
      </w:r>
      <w:r>
        <w:t xml:space="preserve">SIMULATION</w:t>
      </w:r>
      <w:r>
        <w:t xml:space="preserve">]</w:t>
      </w:r>
    </w:p>
    <w:p>
      <w:pPr>
        <w:pStyle w:val="FirstParagraph"/>
      </w:pPr>
      <w:r>
        <w:t xml:space="preserve">All of the stack’s dynamics evidence is short-horizon; this section</w:t>
      </w:r>
      <w:r>
        <w:t xml:space="preserve"> </w:t>
      </w:r>
      <w:r>
        <w:t xml:space="preserve">reports the long-run and cold-start analyses (Technical Appendix,</w:t>
      </w:r>
      <w:r>
        <w:t xml:space="preserve"> </w:t>
      </w:r>
      <w:r>
        <w:t xml:space="preserve">Sim-Battery A, Study 1; master law 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0.005</m:t>
        </m:r>
        <m:r>
          <m:rPr>
            <m:sty m:val="p"/>
          </m:rPr>
          <m:t>,</m:t>
        </m:r>
      </m:oMath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0.02</m:t>
        </m:r>
        <m:r>
          <m:rPr>
            <m:sty m:val="p"/>
          </m:rPr>
          <m:t>,</m:t>
        </m:r>
      </m:oMath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/event,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), which produced three findings the design</w:t>
      </w:r>
      <w:r>
        <w:t xml:space="preserve"> </w:t>
      </w:r>
      <w:r>
        <w:t xml:space="preserve">must absorb.</w:t>
      </w:r>
    </w:p>
    <w:p>
      <w:pPr>
        <w:pStyle w:val="BodyText"/>
      </w:pPr>
      <w:r>
        <w:rPr>
          <w:b/>
          <w:bCs/>
        </w:rPr>
        <w:t xml:space="preserve">(i) The update law’s long-run behavior bounds the design space.</w:t>
      </w:r>
      <w:r>
        <w:t xml:space="preserve"> </w:t>
      </w:r>
      <w:r>
        <w:t xml:space="preserve">The leak-free symmetric limit (theory preset) accumulates unbounded values</w:t>
      </w:r>
      <w:r>
        <w:t xml:space="preserve"> </w:t>
      </w:r>
      <w:r>
        <w:t xml:space="preserve">under a stationary honest stream (</w:t>
      </w:r>
      <m:oMath>
        <m:r>
          <m:t>S</m:t>
        </m:r>
        <m:r>
          <m:rPr>
            <m:sty m:val="p"/>
          </m:rPr>
          <m:t>=</m:t>
        </m:r>
        <m:r>
          <m:t>249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events)</w:t>
      </w:r>
      <w:r>
        <w:t xml:space="preserve"> </w:t>
      </w:r>
      <w:r>
        <w:t xml:space="preserve">— trust inflates without bound and cross-user comparability is lost</w:t>
      </w:r>
      <w:r>
        <w:t xml:space="preserve"> </w:t>
      </w:r>
      <w:r>
        <w:t xml:space="preserve">— while a pure leak-to-zero law erases inactive users with a 69-event</w:t>
      </w:r>
      <w:r>
        <w:t xml:space="preserve"> </w:t>
      </w:r>
      <w:r>
        <w:t xml:space="preserve">half-life (a thin-file user quiet for a quarter loses half their</w:t>
      </w:r>
      <w:r>
        <w:t xml:space="preserve"> </w:t>
      </w:r>
      <w:r>
        <w:t xml:space="preserve">standing, punishing exactly the population the cold-start story cares</w:t>
      </w:r>
      <w:r>
        <w:t xml:space="preserve"> </w:t>
      </w:r>
      <w:r>
        <w:t xml:space="preserve">about). The baseline-restoring form (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</m:oMath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the no-information prior — the protocol/biological</w:t>
      </w:r>
      <w:r>
        <w:t xml:space="preserve"> </w:t>
      </w:r>
      <w:r>
        <w:t xml:space="preserve">presets) avoids both pathologies: bounded recovery after shocks (e.g., a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shock re-converges within 10% of baseline in</w:t>
      </w:r>
      <w:r>
        <w:t xml:space="preserve"> </w:t>
      </w:r>
      <w:r>
        <w:t xml:space="preserve">69 events, 138/207 for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/</w:t>
      </w:r>
      <m:oMath>
        <m:r>
          <m:rPr>
            <m:sty m:val="p"/>
          </m:rPr>
          <m:t>−</m:t>
        </m:r>
        <m:r>
          <m:t>20</m:t>
        </m:r>
      </m:oMath>
      <w:r>
        <w:t xml:space="preserve">) and</w:t>
      </w:r>
      <w:r>
        <w:t xml:space="preserve"> </w:t>
      </w:r>
      <w:r>
        <w:t xml:space="preserve">an honest null worth printing — small mismatches (</w:t>
      </w:r>
      <m:oMath>
        <m:r>
          <m:rPr>
            <m:sty m:val="p"/>
          </m:rPr>
          <m:t>|</m:t>
        </m:r>
        <m:r>
          <m:t>ε</m:t>
        </m:r>
        <m:r>
          <m:rPr>
            <m:sty m:val="p"/>
          </m:rPr>
          <m:t>|</m:t>
        </m:r>
      </m:oMath>
      <w:r>
        <w:t xml:space="preserve"> </w:t>
      </w:r>
      <m:oMath>
        <m:r>
          <m:rPr>
            <m:sty m:val="p"/>
          </m:rPr>
          <m:t>≲</m:t>
        </m:r>
        <m:r>
          <m:t>2.5</m:t>
        </m:r>
      </m:oMath>
      <w:r>
        <w:t xml:space="preserve"> </w:t>
      </w:r>
      <w:r>
        <w:t xml:space="preserve">at these parameters) are absorbed rather than scarred.</w:t>
      </w:r>
    </w:p>
    <w:bookmarkStart w:id="79" w:name="fig:cold"/>
    <w:p>
      <w:pPr>
        <w:pStyle w:val="CaptionedFigure"/>
      </w:pPr>
      <w:r>
        <w:drawing>
          <wp:inline>
            <wp:extent cx="4907280" cy="1799186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figures/fig_coldstar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79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13.</w:t>
      </w:r>
      <w:r>
        <w:t xml:space="preserve"> </w:t>
      </w:r>
      <w:r>
        <w:t xml:space="preserve">Cold start and the event floor (§3.10; baseline-restoring law,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0.005</m:t>
        </m:r>
      </m:oMath>
      <w:r>
        <w:t xml:space="preserve">,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/event,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): from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law stabilizes within 10% of the asymptote in 201 events; with rate feedback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+</m:t>
        </m:r>
        <m:r>
          <m:t>5</m:t>
        </m:r>
        <m:r>
          <m:t>S</m:t>
        </m:r>
      </m:oMath>
      <w:r>
        <w:t xml:space="preserve">/day,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never converges (the trap, exact), and escape times run</w:t>
      </w:r>
      <w:r>
        <w:t xml:space="preserve"> </w:t>
      </w:r>
      <m:oMath>
        <m:r>
          <m:t>318</m:t>
        </m:r>
        <m:r>
          <m:rPr>
            <m:sty m:val="p"/>
          </m:rPr>
          <m:t>±</m:t>
        </m:r>
        <m:r>
          <m:t>133</m:t>
        </m:r>
      </m:oMath>
      <w:r>
        <w:t xml:space="preserve"> </w:t>
      </w:r>
      <w:r>
        <w:t xml:space="preserve">days at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/day down to 30 days at 5/day under the first-crossing criterion (</w:t>
      </w:r>
      <m:oMath>
        <m:r>
          <m:t>S</m:t>
        </m:r>
        <m:r>
          <m:rPr>
            <m:sty m:val="p"/>
          </m:rPr>
          <m:t>≥</m:t>
        </m:r>
        <m:r>
          <m:t>0.9</m:t>
        </m:r>
        <m:r>
          <m:t> 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0.75</m:t>
        </m:r>
      </m:oMath>
      <w:r>
        <w:t xml:space="preserve">; 189/149/112/76 days at 0.05/0.1/0.5/1 per day), with stabilization-to-asymptote at days 563/144/140/120/72/24 across the same floor grid — both criteria verified; the earlier single-grid printing conflated them.</w:t>
      </w:r>
    </w:p>
    <w:bookmarkEnd w:id="79"/>
    <w:p>
      <w:pPr>
        <w:pStyle w:val="BodyText"/>
      </w:pPr>
      <w:r>
        <w:rPr>
          <w:b/>
          <w:bCs/>
        </w:rPr>
        <w:t xml:space="preserve">(ii) The cold-start trap is real, and the seeded event floor is</w:t>
      </w:r>
      <w:r>
        <w:rPr>
          <w:b/>
          <w:bCs/>
        </w:rPr>
        <w:t xml:space="preserve"> </w:t>
      </w:r>
      <w:r>
        <w:rPr>
          <w:b/>
          <w:bCs/>
        </w:rPr>
        <w:t xml:space="preserve">a design requirement, not a tunable parameter.</w:t>
      </w:r>
      <w:r>
        <w:t xml:space="preserve"> </w:t>
      </w:r>
      <w:r>
        <w:t xml:space="preserve">If event rate feeds back</w:t>
      </w:r>
      <w:r>
        <w:t xml:space="preserve"> </w:t>
      </w:r>
      <w:r>
        <w:t xml:space="preserve">from standing (rate =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+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per day,</w:t>
      </w:r>
      <w:r>
        <w:t xml:space="preserve"> </w:t>
      </w:r>
      <w:r>
        <w:t xml:space="preserve">Poisson), then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b/>
          <w:bCs/>
        </w:rPr>
        <w:t xml:space="preserve">never converges</w:t>
      </w:r>
      <w:r>
        <w:t xml:space="preserve">: no</w:t>
      </w:r>
      <w:r>
        <w:t xml:space="preserve"> </w:t>
      </w:r>
      <w:r>
        <w:t xml:space="preserve">history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no validations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no score, permanently. Any</w:t>
      </w:r>
      <w:r>
        <w:t xml:space="preserve"> </w:t>
      </w:r>
      <w:r>
        <w:t xml:space="preserve">nonzero organic floor escapes the trap, but on very different clocks</w:t>
      </w:r>
      <w:r>
        <w:t xml:space="preserve"> </w:t>
      </w:r>
      <w:r>
        <w:t xml:space="preserve">(Figure 13). Two convergence criteria, both verified:</w:t>
      </w:r>
      <w:r>
        <w:t xml:space="preserve"> </w:t>
      </w:r>
      <w:r>
        <w:t xml:space="preserve">first-crossing (</w:t>
      </w:r>
      <m:oMath>
        <m:r>
          <m:t>S</m:t>
        </m:r>
        <m:r>
          <m:rPr>
            <m:sty m:val="p"/>
          </m:rPr>
          <m:t>≥</m:t>
        </m:r>
        <m:r>
          <m:t>0.9</m:t>
        </m:r>
        <m:r>
          <m:t> 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0.75</m:t>
        </m:r>
      </m:oMath>
      <w:r>
        <w:t xml:space="preserve">): day</w:t>
      </w:r>
      <w:r>
        <w:t xml:space="preserve"> </w:t>
      </w:r>
      <m:oMath>
        <m:r>
          <m:t>318</m:t>
        </m:r>
        <m:r>
          <m:rPr>
            <m:sty m:val="p"/>
          </m:rPr>
          <m:t>±</m:t>
        </m:r>
        <m:r>
          <m:t>133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/day (189/149/112/76/30 days at</w:t>
      </w:r>
      <w:r>
        <w:t xml:space="preserve"> </w:t>
      </w:r>
      <w:r>
        <w:t xml:space="preserve">0.05/0.1/0.5/1/5 per day); stabilization-to-asymptote: days</w:t>
      </w:r>
      <w:r>
        <w:t xml:space="preserve"> </w:t>
      </w:r>
      <w:r>
        <w:t xml:space="preserve">563/144/140/120/72/24 across the same floor grid. The earlier</w:t>
      </w:r>
      <w:r>
        <w:t xml:space="preserve"> </w:t>
      </w:r>
      <w:r>
        <w:t xml:space="preserve">single-grid printing conflated the two criteria; both are stated here.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an honest</w:t>
      </w:r>
      <w:r>
        <w:t xml:space="preserve"> </w:t>
      </w:r>
      <w:r>
        <w:t xml:space="preserve">stream, the baseline-restoring law stabilizes within 10% of asymptote</w:t>
      </w:r>
      <w:r>
        <w:t xml:space="preserve"> </w:t>
      </w:r>
      <w:r>
        <w:t xml:space="preserve">in 201 events (theory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230) — 40 days at 5 events/day, 400</w:t>
      </w:r>
      <w:r>
        <w:t xml:space="preserve"> </w:t>
      </w:r>
      <w:r>
        <w:t xml:space="preserve">days at 0.5/day.</w:t>
      </w:r>
      <w:r>
        <w:t xml:space="preserve"> </w:t>
      </w:r>
      <w:r>
        <w:rPr>
          <w:b/>
          <w:bCs/>
        </w:rPr>
        <w:t xml:space="preserve">Design requirement:</w:t>
      </w:r>
      <w:r>
        <w:t xml:space="preserve"> </w:t>
      </w:r>
      <w:r>
        <w:t xml:space="preserve">the protocol (and any</w:t>
      </w:r>
      <w:r>
        <w:t xml:space="preserve"> </w:t>
      </w:r>
      <w:r>
        <w:t xml:space="preserve">application on it) must seed a score-independent event floor — e.g.,</w:t>
      </w:r>
      <w:r>
        <w:t xml:space="preserve"> </w:t>
      </w:r>
      <w:r>
        <w:t xml:space="preserve">provider-initiated onboarding events — or thin-file, low-activity</w:t>
      </w:r>
      <w:r>
        <w:t xml:space="preserve"> </w:t>
      </w:r>
      <w:r>
        <w:t xml:space="preserve">participants are trapped. This is stated as a requirement of the</w:t>
      </w:r>
      <w:r>
        <w:t xml:space="preserve"> </w:t>
      </w:r>
      <w:r>
        <w:t xml:space="preserve">architecture, not left to applications.</w:t>
      </w:r>
    </w:p>
    <w:bookmarkStart w:id="83" w:name="fig:adopt"/>
    <w:p>
      <w:pPr>
        <w:pStyle w:val="CaptionedFigure"/>
      </w:pPr>
      <w:r>
        <w:drawing>
          <wp:inline>
            <wp:extent cx="4907280" cy="160241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igures/fig_adoption_sensitivity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602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14.</w:t>
      </w:r>
      <w:r>
        <w:t xml:space="preserve"> </w:t>
      </w:r>
      <w:r>
        <w:t xml:space="preserve">Adoption-compounding sensitivity (§3.10(iii)), toy densification-feedback model of Eq. </w:t>
      </w:r>
      <w:hyperlink w:anchor="eq:adopt">
        <w:r>
          <w:rPr>
            <w:rStyle w:val="Hyperlink"/>
          </w:rPr>
          <w:t xml:space="preserve">[eq:adopt]</w:t>
        </w:r>
      </w:hyperlink>
      <w:r>
        <w:t xml:space="preserve"> </w:t>
      </w:r>
      <w:r>
        <w:t xml:space="preserve">with labeled assumptions: outcome maps over the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,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plane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t xml:space="preserve">(39% compound / 28% stall / 33% reversal)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(54%/26%/20%), and over the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plane (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). Compounding requires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≳</m:t>
        </m:r>
        <m:r>
          <m:t>0.15</m:t>
        </m:r>
      </m:oMath>
      <w:r>
        <w:t xml:space="preserve">/day even at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≳</m:t>
        </m:r>
        <m:r>
          <m:t>0.6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0.2</m:t>
        </m:r>
      </m:oMath>
      <w:r>
        <w:t xml:space="preserve">, or</w:t>
      </w:r>
      <w:r>
        <w:t xml:space="preserve"> </w:t>
      </w:r>
      <m:oMath>
        <m:r>
          <m:t>ϕ</m:t>
        </m:r>
        <m:r>
          <m:rPr>
            <m:sty m:val="p"/>
          </m:rPr>
          <m:t>≲</m:t>
        </m:r>
        <m:r>
          <m:t>0.42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83"/>
    <w:p>
      <w:pPr>
        <w:pStyle w:val="BodyText"/>
      </w:pPr>
      <w:r>
        <w:rPr>
          <w:b/>
          <w:bCs/>
        </w:rPr>
        <w:t xml:space="preserve">(iii) Adoption-compounding has named failure modes.</w:t>
      </w:r>
      <w:r>
        <w:t xml:space="preserve"> </w:t>
      </w:r>
      <w:r>
        <w:t xml:space="preserve">The claim</w:t>
      </w:r>
      <w:r>
        <w:t xml:space="preserve"> </w:t>
      </w:r>
      <w:r>
        <w:t xml:space="preserve">that each newly measurable participant densifies the validation graph is</w:t>
      </w:r>
      <w:r>
        <w:t xml:space="preserve"> </w:t>
      </w:r>
      <w:r>
        <w:t xml:space="preserve">a bootstrapping-phase assumption, and its failure modes are now</w:t>
      </w:r>
      <w:r>
        <w:t xml:space="preserve"> </w:t>
      </w:r>
      <w:r>
        <w:t xml:space="preserve">enumerated: the cold-start trap above (starvation at low event rates);</w:t>
      </w:r>
      <w:r>
        <w:t xml:space="preserve"> </w:t>
      </w:r>
      <w:r>
        <w:t xml:space="preserve">the leakage fragility of §3.6 (P1b: coherence at the current operating</w:t>
      </w:r>
      <w:r>
        <w:t xml:space="preserve"> </w:t>
      </w:r>
      <w:r>
        <w:t xml:space="preserve">point survives only within the band</w:t>
      </w:r>
      <w:r>
        <w:t xml:space="preserve"> </w:t>
      </w:r>
      <m:oMath>
        <m:r>
          <m:t>ℓ</m:t>
        </m:r>
      </m:oMath>
      <w:r>
        <w:t xml:space="preserve">*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[</w:t>
      </w:r>
      <w:r>
        <w:t xml:space="preserve">0.02, 0.10</w:t>
      </w:r>
      <w:r>
        <w:t xml:space="preserve">]</w:t>
      </w:r>
      <w:r>
        <w:t xml:space="preserve"> </w:t>
      </w:r>
      <w:r>
        <w:t xml:space="preserve">— early deployments with immature consent and disclosure tooling</w:t>
      </w:r>
      <w:r>
        <w:t xml:space="preserve"> </w:t>
      </w:r>
      <w:r>
        <w:t xml:space="preserve">have no measured</w:t>
      </w:r>
      <w:r>
        <w:t xml:space="preserve"> </w:t>
      </w:r>
      <m:oMath>
        <m:r>
          <m:t>ℓ</m:t>
        </m:r>
      </m:oMath>
      <w:r>
        <w:t xml:space="preserve">; the toy model below treats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as an</w:t>
      </w:r>
      <w:r>
        <w:t xml:space="preserve"> </w:t>
      </w:r>
      <w:r>
        <w:t xml:space="preserve">unmeasured axis); the common-mode client risk of §3.9</w:t>
      </w:r>
      <w:r>
        <w:t xml:space="preserve"> </w:t>
      </w:r>
      <w:r>
        <w:t xml:space="preserve">(one compromised reference client during bootstrap damages every early</w:t>
      </w:r>
      <w:r>
        <w:t xml:space="preserve"> </w:t>
      </w:r>
      <w:r>
        <w:t xml:space="preserve">adopter simultaneously); and the attestation cold start (the time-floor</w:t>
      </w:r>
      <w:r>
        <w:t xml:space="preserve"> </w:t>
      </w:r>
      <w:r>
        <w:t xml:space="preserve">Sybil defense of Sim P8 only binds once providers actually attest — a</w:t>
      </w:r>
      <w:r>
        <w:t xml:space="preserve"> </w:t>
      </w:r>
      <w:r>
        <w:t xml:space="preserve">network with few attesting providers has neither the cost multiplier nor</w:t>
      </w:r>
      <w:r>
        <w:t xml:space="preserve"> </w:t>
      </w:r>
      <w:r>
        <w:t xml:space="preserve">the time floor). Adoption compounding is therefore claimed only</w:t>
      </w:r>
      <w:r>
        <w:t xml:space="preserve"> </w:t>
      </w:r>
      <w:r>
        <w:t xml:space="preserve">conditionally: it operates once a seeded event floor, low-leakage</w:t>
      </w:r>
      <w:r>
        <w:t xml:space="preserve"> </w:t>
      </w:r>
      <w:r>
        <w:t xml:space="preserve">measurement practice, client diversity, and a minimum attesting-provider</w:t>
      </w:r>
      <w:r>
        <w:t xml:space="preserve"> </w:t>
      </w:r>
      <w:r>
        <w:t xml:space="preserve">set are in place, and each of those is an explicit deployment</w:t>
      </w:r>
      <w:r>
        <w:t xml:space="preserve"> </w:t>
      </w:r>
      <w:r>
        <w:t xml:space="preserve">precondition. A toy densification-feedback model with labeled</w:t>
      </w:r>
      <w:r>
        <w:t xml:space="preserve"> </w:t>
      </w:r>
      <w:r>
        <w:t xml:space="preserve">assumptions now quantifies each failure region (Figure 14):</w:t>
      </w:r>
      <w:r>
        <w:t xml:space="preserve"> </w:t>
      </w:r>
      <w:r>
        <w:t xml:space="preserve">adoption follows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b</m:t>
              </m:r>
              <m:r>
                <m:t> </m:t>
              </m:r>
              <m:r>
                <m:t>W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t>ϕ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W =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(</m:t>
        </m:r>
        <m:r>
          <m:t>A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(</m:t>
        </m:r>
        <m:r>
          <m:t>K</m:t>
        </m:r>
      </m:oMath>
      <w:r>
        <w:t xml:space="preserve">,</w:t>
      </w:r>
      <w:r>
        <w:t xml:space="preserve"> </w:t>
      </w:r>
      <m:oMath>
        <m:r>
          <m:t>ℓ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= r/(r +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), r =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+ 5A</w:t>
      </w:r>
      <w:r>
        <w:t xml:space="preserve"> </w:t>
      </w:r>
      <w:r>
        <w:t xml:space="preserve">events/day,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/yr,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/day,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/yr,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0.02</m:t>
        </m:r>
        <m:r>
          <m:rPr>
            <m:sty m:val="p"/>
          </m:rPr>
          <m:t>,</m:t>
        </m:r>
      </m:oMath>
      <w:r>
        <w:t xml:space="preserve"> </w:t>
      </w:r>
      <w:r>
        <w:t xml:space="preserve">and R(K,</w:t>
      </w:r>
      <w:r>
        <w:t xml:space="preserve"> </w:t>
      </w:r>
      <m:oMath>
        <m:r>
          <m:t>ℓ</m:t>
        </m:r>
      </m:oMath>
      <w:r>
        <w:t xml:space="preserve">) interpolated from the simulated P1b</w:t>
      </w:r>
      <w:r>
        <w:t xml:space="preserve"> </w:t>
      </w:r>
      <w:r>
        <w:t xml:space="preserve">surface. Outcomes are classified as compound (</w:t>
      </w:r>
      <m:oMath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yr to 50%</w:t>
      </w:r>
      <w:r>
        <w:t xml:space="preserve"> </w:t>
      </w:r>
      <w:r>
        <w:t xml:space="preserve">adoption), stall, or reversal (collapse below</w:t>
      </w:r>
      <w:r>
        <w:t xml:space="preserve"> </w:t>
      </w:r>
      <m:oMath>
        <m:r>
          <m:t>0.2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): over</w:t>
      </w:r>
      <w:r>
        <w:t xml:space="preserve"> </w:t>
      </w:r>
      <w:r>
        <w:t xml:space="preserve">the (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) plane the split is 39%/28%/33%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 </w:t>
      </w:r>
      <w:r>
        <w:t xml:space="preserve">(rounding; shares sum to 100) and 54%/26%/20%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— reversal sets in for</w:t>
      </w:r>
      <w:r>
        <w:t xml:space="preserve"> </w:t>
      </w:r>
      <m:oMath>
        <m:r>
          <m:t>ℓ</m:t>
        </m:r>
      </m:oMath>
      <w:r>
        <w:t xml:space="preserve"> </w:t>
      </w:r>
      <m:oMath>
        <m:r>
          <m:rPr>
            <m:sty m:val="p"/>
          </m:rPr>
          <m:t>≳</m:t>
        </m:r>
        <m:r>
          <m:t>0.30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4.5</m:t>
        </m:r>
      </m:oMath>
      <w:r>
        <w:t xml:space="preserve">)</w:t>
      </w:r>
      <w:r>
        <w:t xml:space="preserve"> </w:t>
      </w:r>
      <w:r>
        <w:t xml:space="preserve">and only for</w:t>
      </w:r>
      <w:r>
        <w:t xml:space="preserve"> </w:t>
      </w:r>
      <m:oMath>
        <m:r>
          <m:t>ℓ</m:t>
        </m:r>
      </m:oMath>
      <w:r>
        <w:t xml:space="preserve"> </w:t>
      </w:r>
      <m:oMath>
        <m:r>
          <m:rPr>
            <m:sty m:val="p"/>
          </m:rPr>
          <m:t>≳</m:t>
        </m:r>
        <m:r>
          <m:t>0.54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</m:oMath>
      <w:r>
        <w:t xml:space="preserve"> </w:t>
      </w:r>
      <w:r>
        <w:t xml:space="preserve">while compounding</w:t>
      </w:r>
      <w:r>
        <w:t xml:space="preserve"> </w:t>
      </w:r>
      <w:r>
        <w:t xml:space="preserve">requires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m:oMath>
        <m:r>
          <m:rPr>
            <m:sty m:val="p"/>
          </m:rPr>
          <m:t>≳</m:t>
        </m:r>
        <m:r>
          <m:t>0.15</m:t>
        </m:r>
      </m:oMath>
      <w:r>
        <w:t xml:space="preserve">/day even at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either coupling; over the (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t>ϕ</m:t>
        </m:r>
      </m:oMath>
      <w:r>
        <w:t xml:space="preserve">) plane (</w:t>
      </w:r>
      <m:oMath>
        <m:r>
          <m:t>K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</m:oMath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,</m:t>
        </m:r>
      </m:oMath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), compounding requires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m:oMath>
        <m:r>
          <m:rPr>
            <m:sty m:val="p"/>
          </m:rPr>
          <m:t>≳</m:t>
        </m:r>
        <m:r>
          <m:t>0.6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ϕ</m:t>
        </m:r>
      </m:oMath>
      <w:r>
        <w:t xml:space="preserve"> </w:t>
      </w:r>
      <m:oMath>
        <m:r>
          <m:rPr>
            <m:sty m:val="p"/>
          </m:rPr>
          <m:t>≲</m:t>
        </m:r>
        <m:r>
          <m:t>0.42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0.8</m:t>
        </m:r>
        <m:r>
          <m:rPr>
            <m:sty m:val="p"/>
          </m:rPr>
          <m:t>.</m:t>
        </m:r>
      </m:oMath>
      <w:r>
        <w:t xml:space="preserve"> </w:t>
      </w:r>
      <w:r>
        <w:t xml:space="preserve">Hardened coupling shrinks the failure region</w:t>
      </w:r>
      <w:r>
        <w:t xml:space="preserve"> </w:t>
      </w:r>
      <w:r>
        <w:t xml:space="preserve">but does not remove the low-floor stall. The financial application preprint (specified separately) analyzes a complementary toy model (an adoption ODE with densification</w:t>
      </w:r>
      <w:r>
        <w:t xml:space="preserve"> </w:t>
      </w:r>
      <w:r>
        <w:t xml:space="preserve">coupling</w:t>
      </w:r>
      <w:r>
        <w:t xml:space="preserve"> </w:t>
      </w:r>
      <m:oMath>
        <m:r>
          <m:t>ζ</m:t>
        </m:r>
      </m:oMath>
      <w:r>
        <w:t xml:space="preserve">, stalling when the organic floor</w:t>
      </w:r>
      <w:r>
        <w:t xml:space="preserve"> </w:t>
      </w:r>
      <m:oMath>
        <m:r>
          <m:rPr>
            <m:sty m:val="p"/>
          </m:rPr>
          <m:t>≲</m:t>
        </m:r>
      </m:oMath>
      <w:r>
        <w:t xml:space="preserve"> </w:t>
      </w:r>
      <w:r>
        <w:t xml:space="preserve">0.01/day and</w:t>
      </w:r>
      <w:r>
        <w:t xml:space="preserve"> </w:t>
      </w:r>
      <m:oMath>
        <m:r>
          <m:t>ζ</m:t>
        </m:r>
        <m:r>
          <m:rPr>
            <m:sty m:val="p"/>
          </m:rPr>
          <m:t>≲</m:t>
        </m:r>
        <m:r>
          <m:t>0.5</m:t>
        </m:r>
      </m:oMath>
      <w:r>
        <w:t xml:space="preserve"> </w:t>
      </w:r>
      <w:r>
        <w:t xml:space="preserve">jointly); both agree compounding</w:t>
      </w:r>
      <w:r>
        <w:t xml:space="preserve"> </w:t>
      </w:r>
      <w:r>
        <w:t xml:space="preserve">requires a nonzero organic event floor and fail identically at (floor =</w:t>
      </w:r>
      <w:r>
        <w:t xml:space="preserve"> </w:t>
      </w:r>
      <w:r>
        <w:t xml:space="preserve">0, densification = 0); thresholds are model-dependent toy values, not</w:t>
      </w:r>
      <w:r>
        <w:t xml:space="preserve"> </w:t>
      </w:r>
      <w:r>
        <w:t xml:space="preserve">measurements.</w:t>
      </w:r>
    </w:p>
    <w:bookmarkEnd w:id="84"/>
    <w:bookmarkEnd w:id="85"/>
    <w:bookmarkStart w:id="90" w:name="Xebcf6c435ff18878f2e49d1d3a000eca8dfba16"/>
    <w:p>
      <w:pPr>
        <w:pStyle w:val="Heading1"/>
      </w:pPr>
      <w:r>
        <w:t xml:space="preserve">4. Observation Distortion as an Engineering</w:t>
      </w:r>
      <w:r>
        <w:t xml:space="preserve"> </w:t>
      </w:r>
      <w:r>
        <w:t xml:space="preserve">Constraint</w:t>
      </w:r>
    </w:p>
    <w:p>
      <w:pPr>
        <w:pStyle w:val="FirstParagraph"/>
      </w:pPr>
      <w:r>
        <w:t xml:space="preserve">The protocol treats the observer effect as a design requirement in two</w:t>
      </w:r>
      <w:r>
        <w:t xml:space="preserve"> </w:t>
      </w:r>
      <w:r>
        <w:t xml:space="preserve">registers — theoretical and empirical — with a stated limit on what the</w:t>
      </w:r>
      <w:r>
        <w:t xml:space="preserve"> </w:t>
      </w:r>
      <w:r>
        <w:t xml:space="preserve">architecture can achieve.</w:t>
      </w:r>
    </w:p>
    <w:p>
      <w:pPr>
        <w:pStyle w:val="BodyText"/>
      </w:pPr>
      <w:r>
        <w:rPr>
          <w:b/>
          <w:bCs/>
        </w:rPr>
        <w:t xml:space="preserve">The theory, with</w:t>
      </w:r>
      <w:r>
        <w:rPr>
          <w:b/>
          <w:bCs/>
        </w:rPr>
        <w:t xml:space="preserve"> </w:t>
      </w:r>
      <m:oMath>
        <m:r>
          <m:t>ψ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now a defined quantity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DERIVED for</w:t>
      </w:r>
      <w:r>
        <w:rPr>
          <w:b/>
          <w:bCs/>
        </w:rPr>
        <w:t xml:space="preserve"> </w:t>
      </w:r>
      <w:r>
        <w:rPr>
          <w:b/>
          <w:bCs/>
        </w:rPr>
        <w:t xml:space="preserve">the OU case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The theory formalizes measurement dependence as</w:t>
      </w:r>
      <w:r>
        <w:t xml:space="preserve"> </w:t>
      </w:r>
      <w:r>
        <w:t xml:space="preserve">observation-salience-dependent dissipation. Let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r>
        <w:t xml:space="preserve">measurement-salience functional of the observation regime —</w:t>
      </w:r>
      <w:r>
        <w:t xml:space="preserve"> </w:t>
      </w:r>
      <w:r>
        <w:t xml:space="preserve">dimensionless, increasing in (i) the subject’s awareness of being</w:t>
      </w:r>
      <w:r>
        <w:t xml:space="preserve"> </w:t>
      </w:r>
      <w:r>
        <w:t xml:space="preserve">measured, (ii) the audience and persistence of the measurement record,</w:t>
      </w:r>
      <w:r>
        <w:t xml:space="preserve"> </w:t>
      </w:r>
      <w:r>
        <w:t xml:space="preserve">and (iii) the stakes attached to the record;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measurement</w:t>
      </w:r>
      <w:r>
        <w:t xml:space="preserve"> </w:t>
      </w:r>
      <w:r>
        <w:t xml:space="preserve">that is local, consent-bearing, ephemeral, and accountable. Let</w:t>
      </w:r>
      <w:r>
        <w:t xml:space="preserve"> </w:t>
      </w:r>
      <m:oMath>
        <m:r>
          <m:t>ψ</m:t>
        </m:r>
        <m:r>
          <m:rPr>
            <m:sty m:val="p"/>
          </m:rPr>
          <m:t>: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ψ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(units: 1/time, same as</w:t>
      </w:r>
      <w:r>
        <w:t xml:space="preserve"> </w:t>
      </w:r>
      <m:oMath>
        <m:r>
          <m:t>μ</m:t>
        </m:r>
      </m:oMath>
      <w:r>
        <w:t xml:space="preserve">).</w:t>
      </w:r>
      <w:r>
        <w:t xml:space="preserve"> </w:t>
      </w:r>
      <w:r>
        <w:t xml:space="preserve">The mismatch process becomes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ε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+</m:t>
          </m:r>
          <m:r>
            <m:t>ψ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r>
            <m:t>ε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σ</m:t>
          </m:r>
          <m:r>
            <m:t> </m:t>
          </m:r>
          <m:r>
            <m:t>d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slow modulation of the OU drift coefficient. Sign convention:</w:t>
      </w:r>
      <w:r>
        <w:t xml:space="preserve"> </w:t>
      </w:r>
      <m:oMath>
        <m:r>
          <m:t>ψ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habituation (salient observation adds dissipation);</w:t>
      </w:r>
      <w:r>
        <w:t xml:space="preserve"> </w:t>
      </w:r>
      <m:oMath>
        <m:r>
          <m:t>ψ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hypervigilance/chilling (salient observation removes</w:t>
      </w:r>
      <w:r>
        <w:t xml:space="preserve"> </w:t>
      </w:r>
      <w:r>
        <w:t xml:space="preserve">dissipation — the distortion regime this paper cares about). Derived</w:t>
      </w:r>
      <w:r>
        <w:t xml:space="preserve"> </w:t>
      </w:r>
      <w:r>
        <w:t xml:space="preserve">observable consequences at constant m: stationary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+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 autocorrelation time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+</m:t>
        </m:r>
        <m:r>
          <m:t>ψ</m:t>
        </m:r>
        <m:r>
          <m:rPr>
            <m:sty m:val="p"/>
          </m:rPr>
          <m:t>)</m:t>
        </m:r>
      </m:oMath>
      <w:r>
        <w:t xml:space="preserve">, both diverging as</w:t>
      </w:r>
      <w:r>
        <w:t xml:space="preserve"> </w:t>
      </w:r>
      <m:oMath>
        <m:r>
          <m:t>ψ</m:t>
        </m:r>
        <m:r>
          <m:rPr>
            <m:sty m:val="p"/>
          </m:rPr>
          <m:t>→</m:t>
        </m:r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— critical</w:t>
      </w:r>
      <w:r>
        <w:t xml:space="preserve"> </w:t>
      </w:r>
      <w:r>
        <w:t xml:space="preserve">slowing. The chilling-effects hypothesis thereby acquires a falsifiable</w:t>
      </w:r>
      <w:r>
        <w:t xml:space="preserve"> </w:t>
      </w:r>
      <w:r>
        <w:t xml:space="preserve">statistic: a surveillance-driven distortion regime shows</w:t>
      </w:r>
      <w:r>
        <w:t xml:space="preserve"> </w:t>
      </w:r>
      <w:r>
        <w:rPr>
          <w:b/>
          <w:bCs/>
        </w:rPr>
        <w:t xml:space="preserve">jointly</w:t>
      </w:r>
      <w:r>
        <w:rPr>
          <w:b/>
          <w:bCs/>
        </w:rPr>
        <w:t xml:space="preserve"> </w:t>
      </w:r>
      <w:r>
        <w:rPr>
          <w:b/>
          <w:bCs/>
        </w:rPr>
        <w:t xml:space="preserve">rising variance and rising lag-1 autocorrelation</w:t>
      </w:r>
      <w:r>
        <w:t xml:space="preserve"> </w:t>
      </w:r>
      <w:r>
        <w:t xml:space="preserve">of the mismatch</w:t>
      </w:r>
      <w:r>
        <w:t xml:space="preserve"> </w:t>
      </w:r>
      <w:r>
        <w:t xml:space="preserve">stream, a standard early-warning signature, estimable from event data</w:t>
      </w:r>
      <w:r>
        <w:t xml:space="preserve"> </w:t>
      </w:r>
      <w:r>
        <w:t xml:space="preserve">without access to anyone’s state of mind.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m:oMath>
        <m:r>
          <m:t>ψ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battery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SIMULATION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Technical Appendix</w:t>
      </w:r>
      <w:r>
        <w:t xml:space="preserve"> </w:t>
      </w:r>
      <w:r>
        <w:t xml:space="preserve">Sim-Battery B, Study 3, verifies the model end-to-end (exact OU</w:t>
      </w:r>
      <w:r>
        <w:t xml:space="preserve"> </w:t>
      </w:r>
      <w:r>
        <w:t xml:space="preserve">discretization, 64 parallel chains,</w:t>
      </w:r>
      <w:r>
        <w:t xml:space="preserve"> </w:t>
      </w:r>
      <m:oMath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autocorrelation times</w:t>
      </w:r>
      <w:r>
        <w:t xml:space="preserve"> </w:t>
      </w:r>
      <w:r>
        <w:t xml:space="preserve">per run, seed 42;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t>ψ</m:t>
        </m:r>
        <m:r>
          <m:rPr>
            <m:sty m:val="p"/>
          </m:rPr>
          <m:t>/</m:t>
        </m:r>
        <m:r>
          <m:t>μ</m:t>
        </m:r>
      </m:oMath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[</w:t>
      </w:r>
      <m:oMath>
        <m:r>
          <m:rPr>
            <m:sty m:val="p"/>
          </m:rPr>
          <m:t>−</m:t>
        </m:r>
        <m:r>
          <m:t>0.95</m:t>
        </m:r>
      </m:oMath>
      <w:r>
        <w:t xml:space="preserve">, +1.00</w:t>
      </w:r>
      <w:r>
        <w:t xml:space="preserve">]</w:t>
      </w:r>
      <w:r>
        <w:t xml:space="preserve">): simulated/theory ratios for the stationary</w:t>
      </w:r>
      <w:r>
        <w:t xml:space="preserve"> </w:t>
      </w:r>
      <w:r>
        <w:t xml:space="preserve">variance within 0.8% at all 11 grid points (at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0.95</m:t>
        </m:r>
        <m:r>
          <m:t>μ</m:t>
        </m:r>
      </m:oMath>
      <w:r>
        <w:t xml:space="preserve">, Var</w:t>
      </w:r>
      <w:r>
        <w:t xml:space="preserve"> </w:t>
      </w:r>
      <w:r>
        <w:t xml:space="preserve">= 9.99 vs. theory 10.00); lag-1 autocorrelation matching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μ</m:t>
            </m:r>
            <m:r>
              <m:rPr>
                <m:sty m:val="p"/>
              </m:rPr>
              <m:t>+</m:t>
            </m:r>
            <m:r>
              <m:t>ψ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rPr>
            <m:sty m:val="p"/>
          </m:rPr>
          <m:t>±</m:t>
        </m:r>
        <m:r>
          <m:t>0.006</m:t>
        </m:r>
      </m:oMath>
      <w:r>
        <w:t xml:space="preserve">; dissipation-floor slowing</w:t>
      </w:r>
      <w:r>
        <w:t xml:space="preserve"> </w:t>
      </w:r>
      <w:r>
        <w:t xml:space="preserve">confirmed as variance and memory diverge</w:t>
      </w:r>
      <w:r>
        <w:t xml:space="preserve"> </w:t>
      </w:r>
      <m:oMath>
        <m:r>
          <m:rPr>
            <m:sty m:val="p"/>
          </m:rPr>
          <m:t>∝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+</m:t>
        </m:r>
        <m:r>
          <m:t>ψ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the habituation branch verified as well (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1.0</m:t>
        </m:r>
        <m:r>
          <m:t>μ</m:t>
        </m:r>
      </m:oMath>
      <w:r>
        <w:t xml:space="preserve">: Var 0.250</w:t>
      </w:r>
      <w:r>
        <w:t xml:space="preserve"> </w:t>
      </w:r>
      <w:r>
        <w:t xml:space="preserve">vs. 0.250). Distortion inflation factors relative to the unobserved</w:t>
      </w:r>
      <w:r>
        <w:t xml:space="preserve"> </w:t>
      </w:r>
      <w:r>
        <w:t xml:space="preserve">baseline: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t>μ</m:t>
        </m:r>
        <m:r>
          <m:rPr>
            <m:sty m:val="p"/>
          </m:rPr>
          <m:t>→</m:t>
        </m:r>
        <m:r>
          <m:rPr>
            <m:sty m:val="p"/>
          </m:rPr>
          <m:t>×</m:t>
        </m:r>
        <m:r>
          <m:t>1.25</m:t>
        </m:r>
      </m:oMath>
      <w:r>
        <w:t xml:space="preserve">;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t>μ</m:t>
        </m:r>
        <m:r>
          <m:rPr>
            <m:sty m:val="p"/>
          </m:rPr>
          <m:t>→</m:t>
        </m:r>
        <m:r>
          <m:rPr>
            <m:sty m:val="p"/>
          </m:rPr>
          <m:t>×</m:t>
        </m:r>
        <m:r>
          <m:t>2.0</m:t>
        </m:r>
      </m:oMath>
      <w:r>
        <w:t xml:space="preserve">;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</m:t>
        </m:r>
        <m:r>
          <m:t>μ</m:t>
        </m:r>
        <m:r>
          <m:rPr>
            <m:sty m:val="p"/>
          </m:rPr>
          <m:t>→</m:t>
        </m:r>
        <m:r>
          <m:rPr>
            <m:sty m:val="p"/>
          </m:rPr>
          <m:t>×</m:t>
        </m:r>
        <m:r>
          <m:t>10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limit on the architecture’s own claim.</w:t>
      </w:r>
      <w:r>
        <w:t xml:space="preserve"> </w:t>
      </w:r>
      <w:r>
        <w:t xml:space="preserve">The four</w:t>
      </w:r>
      <w:r>
        <w:t xml:space="preserve"> </w:t>
      </w:r>
      <w:r>
        <w:t xml:space="preserve">architectural responses below drive salience m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— but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</m:oMath>
      <w:r>
        <w:t xml:space="preserve"> </w:t>
      </w:r>
      <w:r>
        <w:t xml:space="preserve">hence</w:t>
      </w:r>
      <w:r>
        <w:t xml:space="preserve"> </w:t>
      </w:r>
      <m:oMath>
        <m:r>
          <m:t>ψ</m:t>
        </m:r>
        <m:r>
          <m:rPr>
            <m:sty m:val="p"/>
          </m:rPr>
          <m:t>→</m:t>
        </m:r>
        <m:r>
          <m:t>ψ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not 0: the protocol’s</w:t>
      </w:r>
      <w:r>
        <w:rPr>
          <w:b/>
          <w:bCs/>
        </w:rPr>
        <w:t xml:space="preserve"> </w:t>
      </w:r>
      <w:r>
        <w:rPr>
          <w:b/>
          <w:bCs/>
        </w:rPr>
        <w:t xml:space="preserve">own measurement still distorts.</w:t>
      </w:r>
      <w:r>
        <w:t xml:space="preserve"> </w:t>
      </w:r>
      <w:r>
        <w:t xml:space="preserve">Measurement distortion is a parameter</w:t>
      </w:r>
      <w:r>
        <w:t xml:space="preserve"> </w:t>
      </w:r>
      <w:r>
        <w:t xml:space="preserve">shift</w:t>
      </w:r>
      <w:r>
        <w:t xml:space="preserve"> </w:t>
      </w:r>
      <m:oMath>
        <m:r>
          <m:t>μ</m:t>
        </m:r>
        <m:r>
          <m:rPr>
            <m:sty m:val="p"/>
          </m:rPr>
          <m:t>→</m:t>
        </m:r>
        <m:r>
          <m:t>μ</m:t>
        </m:r>
      </m:oMath>
      <w:r>
        <w:t xml:space="preserve"> </w:t>
      </w:r>
      <w:r>
        <w:t xml:space="preserve">+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, fully specified in the model; in</w:t>
      </w:r>
      <w:r>
        <w:t xml:space="preserve"> </w:t>
      </w:r>
      <w:r>
        <w:t xml:space="preserve">the field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enters only through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ψ</m:t>
        </m:r>
      </m:oMath>
      <w:r>
        <w:t xml:space="preserve">, so the residual</w:t>
      </w:r>
      <w:r>
        <w:t xml:space="preserve"> </w:t>
      </w:r>
      <w:r>
        <w:t xml:space="preserve">level is not separately identifiable from a single stream — the</w:t>
      </w:r>
      <w:r>
        <w:t xml:space="preserve"> </w:t>
      </w:r>
      <w:r>
        <w:t xml:space="preserve">monitoring statistic detects changes in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ψ</m:t>
        </m:r>
      </m:oMath>
      <w:r>
        <w:t xml:space="preserve"> </w:t>
      </w:r>
      <w:r>
        <w:t xml:space="preserve">across salience</w:t>
      </w:r>
      <w:r>
        <w:t xml:space="preserve"> </w:t>
      </w:r>
      <w:r>
        <w:t xml:space="preserve">conditions (companion theory preprint, §6 H4); at an</w:t>
      </w:r>
      <w:r>
        <w:t xml:space="preserve"> </w:t>
      </w:r>
      <w:r>
        <w:t xml:space="preserve">illustrative residual salience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0.05</m:t>
        </m:r>
        <m:r>
          <m:t>μ</m:t>
        </m:r>
      </m:oMath>
      <w:r>
        <w:t xml:space="preserve">,</w:t>
      </w:r>
      <w:r>
        <w:t xml:space="preserve"> </w:t>
      </w:r>
      <w:r>
        <w:t xml:space="preserve">mismatch variance and memory remain inflated by</w:t>
      </w:r>
      <w:r>
        <w:t xml:space="preserve"> </w:t>
      </w:r>
      <m:oMath>
        <m:r>
          <m:rPr>
            <m:sty m:val="p"/>
          </m:rPr>
          <m:t>×</m:t>
        </m:r>
        <m:r>
          <m:t>1.05</m:t>
        </m:r>
      </m:oMath>
      <w:r>
        <w:t xml:space="preserve">. The</w:t>
      </w:r>
      <w:r>
        <w:t xml:space="preserve"> </w:t>
      </w:r>
      <w:r>
        <w:t xml:space="preserve">architecture</w:t>
      </w:r>
      <w:r>
        <w:t xml:space="preserve"> </w:t>
      </w:r>
      <w:r>
        <w:rPr>
          <w:i/>
          <w:iCs/>
        </w:rPr>
        <w:t xml:space="preserve">minimizes</w:t>
      </w:r>
      <w:r>
        <w:t xml:space="preserve"> </w:t>
      </w:r>
      <w:r>
        <w:t xml:space="preserve">observation-driven distortion; it does not</w:t>
      </w:r>
      <w:r>
        <w:t xml:space="preserve"> </w:t>
      </w:r>
      <w:r>
        <w:t xml:space="preserve">eliminate it, and no</w:t>
      </w:r>
      <w:r>
        <w:t xml:space="preserve"> </w:t>
      </w:r>
      <w:r>
        <w:t xml:space="preserve">“measurement</w:t>
      </w:r>
      <w:r>
        <w:t xml:space="preserve"> </w:t>
      </w:r>
      <w:r>
        <w:t xml:space="preserve">whose act of observing does not degrade trust”</w:t>
      </w:r>
      <w:r>
        <w:t xml:space="preserve"> </w:t>
      </w:r>
      <w:r>
        <w:t xml:space="preserve">is claimed anywhere in this</w:t>
      </w:r>
      <w:r>
        <w:t xml:space="preserve"> </w:t>
      </w:r>
      <w:r>
        <w:t xml:space="preserve">paper — the quantified version is the claim. Two consequences are stated plainly.</w:t>
      </w:r>
      <w:r>
        <w:t xml:space="preserve"> </w:t>
      </w:r>
      <w:r>
        <w:rPr>
          <w:b/>
          <w:bCs/>
        </w:rPr>
        <w:t xml:space="preserve">(i) Campbell’s law applies to the protocol’s own metrics.</w:t>
      </w:r>
      <w:r>
        <w:t xml:space="preserve"> </w:t>
      </w:r>
      <w:r>
        <w:t xml:space="preserve">The</w:t>
      </w:r>
      <w:r>
        <w:t xml:space="preserve"> </w:t>
      </w:r>
      <w:r>
        <w:t xml:space="preserve">same dynamic this paper uses against incumbents — a measure that</w:t>
      </w:r>
      <w:r>
        <w:t xml:space="preserve"> </w:t>
      </w:r>
      <w:r>
        <w:t xml:space="preserve">becomes a target ceases to measure well — applies to any</w:t>
      </w:r>
      <w:r>
        <w:t xml:space="preserve"> </w:t>
      </w:r>
      <w:r>
        <w:t xml:space="preserve">application-layer score computed on TFP streams: the moment a trust</w:t>
      </w:r>
      <w:r>
        <w:t xml:space="preserve"> </w:t>
      </w:r>
      <w:r>
        <w:t xml:space="preserve">readout carries stakes, salience m rises and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moves negative,</w:t>
      </w:r>
      <w:r>
        <w:t xml:space="preserve"> </w:t>
      </w:r>
      <w:r>
        <w:t xml:space="preserve">distorting the underlying stream. Applications must therefore treat</w:t>
      </w:r>
      <w:r>
        <w:t xml:space="preserve"> </w:t>
      </w:r>
      <w:r>
        <w:t xml:space="preserve">their own readouts as distortion-prone measurements (pre-registered</w:t>
      </w:r>
      <w:r>
        <w:t xml:space="preserve"> </w:t>
      </w:r>
      <w:r>
        <w:t xml:space="preserve">salience audits; the variance-plus-autocorrelation statistic above as</w:t>
      </w:r>
      <w:r>
        <w:t xml:space="preserve"> </w:t>
      </w:r>
      <w:r>
        <w:t xml:space="preserve">the monitoring instrument), and the protocol’s design goal is restated</w:t>
      </w:r>
      <w:r>
        <w:t xml:space="preserve"> </w:t>
      </w:r>
      <w:r>
        <w:t xml:space="preserve">as keeping the residual distortion small, model-bounded, and monitored</w:t>
      </w:r>
      <w:r>
        <w:t xml:space="preserve"> </w:t>
      </w:r>
      <w:r>
        <w:t xml:space="preserve">— not zero.</w:t>
      </w:r>
      <w:r>
        <w:t xml:space="preserve"> </w:t>
      </w:r>
      <w:r>
        <w:rPr>
          <w:b/>
          <w:bCs/>
        </w:rPr>
        <w:t xml:space="preserve">(ii) Sim P7’s protective effect is double-edged in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currency:</w:t>
      </w:r>
      <w:r>
        <w:t xml:space="preserve"> </w:t>
      </w:r>
      <w:r>
        <w:t xml:space="preserve">the salience that lets immediate validation correct</w:t>
      </w:r>
      <w:r>
        <w:t xml:space="preserve"> </w:t>
      </w:r>
      <w:r>
        <w:t xml:space="preserve">present bias is the same salience that carries</w:t>
      </w:r>
      <w:r>
        <w:t xml:space="preserve"> </w:t>
      </w:r>
      <m:oMath>
        <m:r>
          <m:t>ψ</m:t>
        </m:r>
        <m:r>
          <m:rPr>
            <m:sty m:val="p"/>
          </m:rPr>
          <m:t>&lt;</m:t>
        </m:r>
        <m:r>
          <m:t>0</m:t>
        </m:r>
      </m:oMath>
      <w:r>
        <w:t xml:space="preserve">; the net</w:t>
      </w:r>
      <w:r>
        <w:t xml:space="preserve"> </w:t>
      </w:r>
      <w:r>
        <w:t xml:space="preserve">sign is an empirical, pilot-stage question.</w:t>
      </w:r>
    </w:p>
    <w:p>
      <w:pPr>
        <w:pStyle w:val="BodyText"/>
      </w:pPr>
      <w:r>
        <w:rPr>
          <w:b/>
          <w:bCs/>
        </w:rPr>
        <w:t xml:space="preserve">Empirical register.</w:t>
      </w:r>
      <w:r>
        <w:t xml:space="preserve"> </w:t>
      </w:r>
      <w:r>
        <w:t xml:space="preserve">The chilling-effects literature shows the</w:t>
      </w:r>
      <w:r>
        <w:t xml:space="preserve"> </w:t>
      </w:r>
      <w:r>
        <w:t xml:space="preserve">distortion is large at population scale</w:t>
      </w:r>
      <w:r>
        <w:t xml:space="preserve"> </w:t>
      </w:r>
      <w:r>
        <w:t xml:space="preserve">, and</w:t>
      </w:r>
      <w:r>
        <w:t xml:space="preserve"> </w:t>
      </w:r>
      <w:r>
        <w:t xml:space="preserve">demand-characteristics research finds heterogeneous, bidirectional</w:t>
      </w:r>
      <w:r>
        <w:t xml:space="preserve"> </w:t>
      </w:r>
      <w:r>
        <w:t xml:space="preserve">participation effects with frequent nulls — 12 of 19 studies positive,</w:t>
      </w:r>
      <w:r>
        <w:t xml:space="preserve"> </w:t>
      </w:r>
      <w:r>
        <w:t xml:space="preserve">5 clear nulls; the review concludes little is securely known about</w:t>
      </w:r>
      <w:r>
        <w:t xml:space="preserve"> </w:t>
      </w:r>
      <w:r>
        <w:t xml:space="preserve">conditions, mechanisms, or magnitudes</w:t>
      </w:r>
      <w:r>
        <w:t xml:space="preserve"> </w:t>
      </w:r>
      <w:r>
        <w:t xml:space="preserve">. The</w:t>
      </w:r>
      <w:r>
        <w:t xml:space="preserve"> </w:t>
      </w:r>
      <w:r>
        <w:t xml:space="preserve">design precaution stands on the stronger Penney leg and on the generic</w:t>
      </w:r>
      <w:r>
        <w:t xml:space="preserve"> </w:t>
      </w:r>
      <w:r>
        <w:t xml:space="preserve">risk; the strong empirical claim does not. The architecture responds at four</w:t>
      </w:r>
      <w:r>
        <w:t xml:space="preserve"> </w:t>
      </w:r>
      <w:r>
        <w:t xml:space="preserve">points — which are exactly the m-reducing conditions of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model (</w:t>
      </w:r>
      <m:oMath>
        <m:r>
          <m:t>m</m:t>
        </m:r>
        <m:r>
          <m:rPr>
            <m:sty m:val="p"/>
          </m:rPr>
          <m:t>→</m:t>
        </m:r>
        <m:sSub>
          <m:e>
            <m:r>
              <m:t>m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not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0</m:t>
        </m:r>
      </m:oMath>
      <w:r>
        <w:t xml:space="preserve">): (i) selective disclosure — verifiers learn predicates, not</w:t>
      </w:r>
      <w:r>
        <w:t xml:space="preserve"> </w:t>
      </w:r>
      <w:r>
        <w:t xml:space="preserve">records; (ii) local-first storage — observation requires a</w:t>
      </w:r>
      <w:r>
        <w:t xml:space="preserve"> </w:t>
      </w:r>
      <w:r>
        <w:t xml:space="preserve">consent-bearing query against the participant’s own database; (iii)</w:t>
      </w:r>
      <w:r>
        <w:t xml:space="preserve"> </w:t>
      </w:r>
      <w:r>
        <w:t xml:space="preserve">accountable observation — every access is logged where the participant</w:t>
      </w:r>
      <w:r>
        <w:t xml:space="preserve"> </w:t>
      </w:r>
      <w:r>
        <w:t xml:space="preserve">can see it; (iv) stream sequestration — sensitive measurement streams</w:t>
      </w:r>
      <w:r>
        <w:t xml:space="preserve"> </w:t>
      </w:r>
      <w:r>
        <w:t xml:space="preserve">(e.g., physiological data used to test the biological theory) have no schema path</w:t>
      </w:r>
      <w:r>
        <w:t xml:space="preserve"> </w:t>
      </w:r>
      <w:r>
        <w:t xml:space="preserve">into application decision layers. The system thereby attempts what</w:t>
      </w:r>
      <w:r>
        <w:t xml:space="preserve"> </w:t>
      </w:r>
      <w:r>
        <w:t xml:space="preserve">centralized custodians structurally cannot: measurement whose</w:t>
      </w:r>
      <w:r>
        <w:t xml:space="preserve"> </w:t>
      </w:r>
      <w:r>
        <w:t xml:space="preserve">observation term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driven to its quantified floor rather than</w:t>
      </w:r>
      <w:r>
        <w:t xml:space="preserve"> </w:t>
      </w:r>
      <w:r>
        <w:t xml:space="preserve">amplified — with the floor, per the battery, nonzero.</w:t>
      </w:r>
    </w:p>
    <w:p>
      <w:pPr>
        <w:pStyle w:val="BodyText"/>
      </w:pPr>
      <w:r>
        <w:rPr>
          <w:b/>
          <w:bCs/>
        </w:rPr>
        <w:t xml:space="preserve">The surveillance-amplification test</w:t>
      </w:r>
      <w:r>
        <w:rPr>
          <w:b/>
          <w:bCs/>
        </w:rPr>
        <w:t xml:space="preserve"> </w:t>
      </w:r>
      <w:r>
        <w:rPr>
          <w:b/>
          <w:bCs/>
        </w:rPr>
        <w:t xml:space="preserve">[</w:t>
      </w:r>
      <w:r>
        <w:rPr>
          <w:b/>
          <w:bCs/>
        </w:rPr>
        <w:t xml:space="preserve">SIMULATION —</w:t>
      </w:r>
      <w:r>
        <w:rPr>
          <w:b/>
          <w:bCs/>
        </w:rPr>
        <w:t xml:space="preserve"> </w:t>
      </w:r>
      <w:r>
        <w:rPr>
          <w:b/>
          <w:bCs/>
        </w:rPr>
        <w:t xml:space="preserve">pre-registered, compound FAIL</w:t>
      </w:r>
      <w:r>
        <w:rPr>
          <w:b/>
          <w:bCs/>
        </w:rPr>
        <w:t xml:space="preserve">]</w:t>
      </w:r>
      <w:r>
        <w:rPr>
          <w:b/>
          <w:bCs/>
        </w:rPr>
        <w:t xml:space="preserve">.</w:t>
      </w:r>
      <w:r>
        <w:t xml:space="preserve"> </w:t>
      </w:r>
      <w:r>
        <w:t xml:space="preserve">Sim-OBS subjects</w:t>
      </w:r>
      <w:r>
        <w:t xml:space="preserve"> </w:t>
      </w:r>
      <w:r>
        <w:t xml:space="preserve">the section’s core claim — that high-salience surveillance regimes</w:t>
      </w:r>
      <w:r>
        <w:t xml:space="preserve"> </w:t>
      </w:r>
      <w:r>
        <w:t xml:space="preserve">measurably distort the trust signal relative to consent-bearing regimes</w:t>
      </w:r>
      <w:r>
        <w:t xml:space="preserve"> </w:t>
      </w:r>
      <w:r>
        <w:t xml:space="preserve">— to a direct in-silico test, pre-registered with frozen pass/fail</w:t>
      </w:r>
      <w:r>
        <w:t xml:space="preserve"> </w:t>
      </w:r>
      <w:r>
        <w:t xml:space="preserve">criteria before any data contact (registration and full results in the</w:t>
      </w:r>
      <w:r>
        <w:t xml:space="preserve"> </w:t>
      </w:r>
      <w:r>
        <w:t xml:space="preserve">Supporting Document). Fifty independent cohorts of 120 agents each</w:t>
      </w:r>
      <w:r>
        <w:t xml:space="preserve"> </w:t>
      </w:r>
      <w:r>
        <w:t xml:space="preserve">evolve under the master-law trust dynamics; each cohort is observed</w:t>
      </w:r>
      <w:r>
        <w:t xml:space="preserve"> </w:t>
      </w:r>
      <w:r>
        <w:t xml:space="preserve">twice — under a consent-bearing regime (measurement noise only) and</w:t>
      </w:r>
      <w:r>
        <w:t xml:space="preserve"> </w:t>
      </w:r>
      <w:r>
        <w:t xml:space="preserve">under a surveillance regime (a leak term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coupling the</w:t>
      </w:r>
      <w:r>
        <w:t xml:space="preserve"> </w:t>
      </w:r>
      <w:r>
        <w:t xml:space="preserve">observation channel back into agents’ mismatch streams) — and a</w:t>
      </w:r>
      <w:r>
        <w:t xml:space="preserve"> </w:t>
      </w:r>
      <w:r>
        <w:t xml:space="preserve">Kalman/EM estimator recovers the trust-learning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each stream. The frozen criteria: C1, a central estimate of the</w:t>
      </w:r>
      <w:r>
        <w:t xml:space="preserve"> </w:t>
      </w:r>
      <w:r>
        <w:t xml:space="preserve">surveillance-induced bias in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of at least</w:t>
      </w:r>
      <w:r>
        <w:t xml:space="preserve"> </w:t>
      </w:r>
      <m:oMath>
        <m:r>
          <m:rPr>
            <m:sty m:val="p"/>
          </m:rPr>
          <m:t>+</m:t>
        </m:r>
        <m:r>
          <m:t>0.03</m:t>
        </m:r>
      </m:oMath>
      <w:r>
        <w:t xml:space="preserve">;</w:t>
      </w:r>
      <w:r>
        <w:t xml:space="preserve"> </w:t>
      </w:r>
      <w:r>
        <w:t xml:space="preserve">C2, a zero-knowledge-observation control with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0.01</m:t>
        </m:r>
      </m:oMath>
      <w:r>
        <w:t xml:space="preserve">; C3, the bias positive in a supermajority of cohorts; C4, an</w:t>
      </w:r>
      <w:r>
        <w:t xml:space="preserve"> </w:t>
      </w:r>
      <w:r>
        <w:t xml:space="preserve">instrument-calibration bound on estimator dispersion.</w:t>
      </w:r>
      <w:r>
        <w:t xml:space="preserve"> </w:t>
      </w:r>
      <w:r>
        <w:rPr>
          <w:b/>
          <w:bCs/>
        </w:rPr>
        <w:t xml:space="preserve">Result:</w:t>
      </w:r>
      <w:r>
        <w:rPr>
          <w:b/>
          <w:bCs/>
        </w:rPr>
        <w:t xml:space="preserve"> </w:t>
      </w:r>
      <w:r>
        <w:rPr>
          <w:b/>
          <w:bCs/>
        </w:rPr>
        <w:t xml:space="preserve">compound FAIL.</w:t>
      </w:r>
      <w:r>
        <w:t xml:space="preserve"> </w:t>
      </w:r>
      <w:r>
        <w:t xml:space="preserve">The direction of the claim is confirmed — the</w:t>
      </w:r>
      <w:r>
        <w:t xml:space="preserve"> </w:t>
      </w:r>
      <w:r>
        <w:t xml:space="preserve">surveillance-regime estimate exceeded the consent-regime estimate in</w:t>
      </w:r>
      <w:r>
        <w:t xml:space="preserve"> </w:t>
      </w:r>
      <w:r>
        <w:t xml:space="preserve">50 of 50 cohorts (C3 PASS) — but the central magnitude,</w:t>
      </w:r>
      <w:r>
        <w:t xml:space="preserve"> </w:t>
      </w:r>
      <m:oMath>
        <m:r>
          <m:rPr>
            <m:sty m:val="p"/>
          </m:rPr>
          <m:t>+</m:t>
        </m:r>
        <m:r>
          <m:t>0.014</m:t>
        </m:r>
      </m:oMath>
      <w:r>
        <w:t xml:space="preserve">,</w:t>
      </w:r>
      <w:r>
        <w:t xml:space="preserve"> </w:t>
      </w:r>
      <w:r>
        <w:t xml:space="preserve">fell below the frozen</w:t>
      </w:r>
      <w:r>
        <w:t xml:space="preserve"> </w:t>
      </w:r>
      <m:oMath>
        <m:r>
          <m:rPr>
            <m:sty m:val="p"/>
          </m:rPr>
          <m:t>+</m:t>
        </m:r>
        <m:r>
          <m:t>0.03</m:t>
        </m:r>
      </m:oMath>
      <w:r>
        <w:t xml:space="preserve"> </w:t>
      </w:r>
      <w:r>
        <w:t xml:space="preserve">threshold (C1 FAIL), the control showed</w:t>
      </w:r>
      <w:r>
        <w:t xml:space="preserve"> </w:t>
      </w:r>
      <w:r>
        <w:t xml:space="preserve">a residual bias of</w:t>
      </w:r>
      <w:r>
        <w:t xml:space="preserve"> </w:t>
      </w:r>
      <m:oMath>
        <m:r>
          <m:t>0.0135</m:t>
        </m:r>
      </m:oMath>
      <w:r>
        <w:t xml:space="preserve"> </w:t>
      </w:r>
      <w:r>
        <w:t xml:space="preserve">against the frozen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bound (C2</w:t>
      </w:r>
      <w:r>
        <w:t xml:space="preserve"> </w:t>
      </w:r>
      <w:r>
        <w:t xml:space="preserve">FAIL), and estimator dispersion at leak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exceeded the</w:t>
      </w:r>
      <w:r>
        <w:t xml:space="preserve"> </w:t>
      </w:r>
      <w:r>
        <w:t xml:space="preserve">calibration bound (C4 FAIL). An instrument-recalibration pass</w:t>
      </w:r>
      <w:r>
        <w:t xml:space="preserve"> </w:t>
      </w:r>
      <w:r>
        <w:t xml:space="preserve">(regression-initialized EM) did not move any criterion across its frozen</w:t>
      </w:r>
      <w:r>
        <w:t xml:space="preserve"> </w:t>
      </w:r>
      <w:r>
        <w:t xml:space="preserve">threshold, and no threshold was adjusted post hoc. The verdict is</w:t>
      </w:r>
      <w:r>
        <w:t xml:space="preserve"> </w:t>
      </w:r>
      <w:r>
        <w:t xml:space="preserve">reported as FAIL: the simulation supports the</w:t>
      </w:r>
      <w:r>
        <w:t xml:space="preserve"> </w:t>
      </w:r>
      <w:r>
        <w:rPr>
          <w:i/>
          <w:iCs/>
        </w:rPr>
        <w:t xml:space="preserve">sign</w:t>
      </w:r>
      <w:r>
        <w:t xml:space="preserve"> </w:t>
      </w:r>
      <w:r>
        <w:t xml:space="preserve">of the</w:t>
      </w:r>
      <w:r>
        <w:t xml:space="preserve"> </w:t>
      </w:r>
      <w:r>
        <w:t xml:space="preserve">surveillance-distortion effect with perfect cohort consistency, and</w:t>
      </w:r>
      <w:r>
        <w:t xml:space="preserve"> </w:t>
      </w:r>
      <w:r>
        <w:t xml:space="preserve">does not support its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at the pre-registered level under</w:t>
      </w:r>
      <w:r>
        <w:t xml:space="preserve"> </w:t>
      </w:r>
      <w:r>
        <w:t xml:space="preserve">this instrument. The engineering responses (i)–(iv) above therefore</w:t>
      </w:r>
      <w:r>
        <w:t xml:space="preserve"> </w:t>
      </w:r>
      <w:r>
        <w:t xml:space="preserve">stand on the theory and the chilling-effects literature, not on this</w:t>
      </w:r>
      <w:r>
        <w:t xml:space="preserve"> </w:t>
      </w:r>
      <w:r>
        <w:t xml:space="preserve">run; a higher-powered design with a validated estimator is registered</w:t>
      </w:r>
      <w:r>
        <w:t xml:space="preserve"> </w:t>
      </w:r>
      <w:r>
        <w:t xml:space="preserve">as future work. The first-run estimator defect (an ad-hoc estimator</w:t>
      </w:r>
      <w:r>
        <w:t xml:space="preserve"> </w:t>
      </w:r>
      <w:r>
        <w:t xml:space="preserve">producing symmetric garbage) was caught by the frozen criteria,</w:t>
      </w:r>
      <w:r>
        <w:t xml:space="preserve"> </w:t>
      </w:r>
      <w:r>
        <w:t xml:space="preserve">archived, and disclosed with the run record.</w:t>
      </w:r>
    </w:p>
    <w:bookmarkStart w:id="89" w:name="fig:simobs"/>
    <w:p>
      <w:pPr>
        <w:pStyle w:val="CaptionedFigure"/>
      </w:pPr>
      <w:r>
        <w:drawing>
          <wp:inline>
            <wp:extent cx="5334000" cy="1477107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figures/fig_sim_ob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Sim-OBS: surveillance-regime distortion of the</w:t>
      </w:r>
      <w:r>
        <w:rPr>
          <w:b/>
          <w:bCs/>
        </w:rPr>
        <w:t xml:space="preserve"> </w:t>
      </w:r>
      <w:r>
        <w:rPr>
          <w:b/>
          <w:bCs/>
        </w:rPr>
        <w:t xml:space="preserve">recovered trust-learning rate (compound FAIL).</w:t>
      </w:r>
      <w:r>
        <w:t xml:space="preserve"> </w:t>
      </w:r>
      <w:r>
        <w:t xml:space="preserve">Fifty cohorts of 120 agents under master-law dynamics, observed under</w:t>
      </w:r>
      <w:r>
        <w:t xml:space="preserve"> </w:t>
      </w:r>
      <w:r>
        <w:t xml:space="preserve">consent-bearing vs. surveillance regimes (leak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);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recovered by Kalman/EM per stream.</w:t>
      </w:r>
      <w:r>
        <w:t xml:space="preserve"> </w:t>
      </w:r>
      <w:r>
        <w:rPr>
          <w:i/>
          <w:iCs/>
        </w:rPr>
        <w:t xml:space="preserve">Top left:</w:t>
      </w:r>
      <w:r>
        <w:t xml:space="preserve"> </w:t>
      </w:r>
      <w:r>
        <w:t xml:space="preserve">per-cohort bias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v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</m:oMath>
      <w:r>
        <w:t xml:space="preserve">; positive in 50/50 cohorts (criterion</w:t>
      </w:r>
      <w:r>
        <w:t xml:space="preserve"> </w:t>
      </w:r>
      <w:r>
        <w:t xml:space="preserve">C3, PASS) with central estimate</w:t>
      </w:r>
      <w:r>
        <w:t xml:space="preserve"> </w:t>
      </w:r>
      <m:oMath>
        <m:r>
          <m:rPr>
            <m:sty m:val="p"/>
          </m:rPr>
          <m:t>+</m:t>
        </m:r>
        <m:r>
          <m:t>0.014</m:t>
        </m:r>
      </m:oMath>
      <w:r>
        <w:t xml:space="preserve">, below the frozen</w:t>
      </w:r>
      <w:r>
        <w:t xml:space="preserve"> </w:t>
      </w:r>
      <m:oMath>
        <m:r>
          <m:rPr>
            <m:sty m:val="p"/>
          </m:rPr>
          <m:t>+</m:t>
        </m:r>
        <m:r>
          <m:t>0.03</m:t>
        </m:r>
      </m:oMath>
      <w:r>
        <w:t xml:space="preserve"> </w:t>
      </w:r>
      <w:r>
        <w:t xml:space="preserve">threshold (criterion C1, FAIL).</w:t>
      </w:r>
      <w:r>
        <w:t xml:space="preserve"> </w:t>
      </w:r>
      <w:r>
        <w:rPr>
          <w:i/>
          <w:iCs/>
        </w:rPr>
        <w:t xml:space="preserve">Top right:</w:t>
      </w:r>
      <w:r>
        <w:t xml:space="preserve"> </w:t>
      </w:r>
      <w:r>
        <w:t xml:space="preserve">distribution of the</w:t>
      </w:r>
      <w:r>
        <w:t xml:space="preserve"> </w:t>
      </w:r>
      <w:r>
        <w:t xml:space="preserve">surveillance-regime bias against the frozen threshold.</w:t>
      </w:r>
      <w:r>
        <w:t xml:space="preserve"> </w:t>
      </w:r>
      <w:r>
        <w:rPr>
          <w:i/>
          <w:iCs/>
        </w:rPr>
        <w:t xml:space="preserve">Bottom</w:t>
      </w:r>
      <w:r>
        <w:rPr>
          <w:i/>
          <w:iCs/>
        </w:rPr>
        <w:t xml:space="preserve"> </w:t>
      </w:r>
      <w:r>
        <w:rPr>
          <w:i/>
          <w:iCs/>
        </w:rPr>
        <w:t xml:space="preserve">left:</w:t>
      </w:r>
      <w:r>
        <w:t xml:space="preserve"> </w:t>
      </w:r>
      <w:r>
        <w:t xml:space="preserve">zero-knowledge control bias,</w:t>
      </w:r>
      <w:r>
        <w:t xml:space="preserve"> </w:t>
      </w:r>
      <m:oMath>
        <m:r>
          <m:t>0.0135</m:t>
        </m:r>
      </m:oMath>
      <w:r>
        <w:t xml:space="preserve"> </w:t>
      </w:r>
      <w:r>
        <w:t xml:space="preserve">against the frozen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bound (criterion C2, FAIL).</w:t>
      </w:r>
      <w:r>
        <w:t xml:space="preserve"> </w:t>
      </w:r>
      <w:r>
        <w:rPr>
          <w:i/>
          <w:iCs/>
        </w:rPr>
        <w:t xml:space="preserve">Bottom right:</w:t>
      </w:r>
      <w:r>
        <w:t xml:space="preserve"> </w:t>
      </w:r>
      <w:r>
        <w:t xml:space="preserve">estimator</w:t>
      </w:r>
      <w:r>
        <w:t xml:space="preserve"> </w:t>
      </w:r>
      <w:r>
        <w:t xml:space="preserve">dispersion against the calibration bound (criterion C4, FAIL). Criteria</w:t>
      </w:r>
      <w:r>
        <w:t xml:space="preserve"> </w:t>
      </w:r>
      <w:r>
        <w:t xml:space="preserve">frozen pre-run; thresholds never adjusted; first-run estimator defect</w:t>
      </w:r>
      <w:r>
        <w:t xml:space="preserve"> </w:t>
      </w:r>
      <w:r>
        <w:t xml:space="preserve">archived and disclosed.</w:t>
      </w:r>
    </w:p>
    <w:bookmarkEnd w:id="89"/>
    <w:bookmarkEnd w:id="90"/>
    <w:bookmarkStart w:id="93" w:name="protocol-evolution-and-benchmarking"/>
    <w:p>
      <w:pPr>
        <w:pStyle w:val="Heading1"/>
      </w:pPr>
      <w:r>
        <w:t xml:space="preserve">5. Protocol Evolution and</w:t>
      </w:r>
      <w:r>
        <w:t xml:space="preserve"> </w:t>
      </w:r>
      <w:r>
        <w:t xml:space="preserve">Benchmarking</w:t>
      </w:r>
    </w:p>
    <w:bookmarkStart w:id="91" w:name="v1-to-v3-evolution"/>
    <w:p>
      <w:pPr>
        <w:pStyle w:val="Heading2"/>
      </w:pPr>
      <w:r>
        <w:t xml:space="preserve">5.1 V1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V3</w:t>
      </w:r>
      <w:r>
        <w:t xml:space="preserve"> </w:t>
      </w:r>
      <w:r>
        <w:t xml:space="preserve">evolution</w:t>
      </w:r>
    </w:p>
    <w:p>
      <w:pPr>
        <w:pStyle w:val="FirstParagraph"/>
      </w:pPr>
      <w:r>
        <w:t xml:space="preserve">The protocol has iterated through three architecture generations, each</w:t>
      </w:r>
      <w:r>
        <w:t xml:space="preserve"> </w:t>
      </w:r>
      <w:r>
        <w:t xml:space="preserve">removing a specific centralization residue: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V1 — Sovereign storage.</w:t>
      </w:r>
      <w:r>
        <w:t xml:space="preserve"> </w:t>
      </w:r>
      <w:r>
        <w:t xml:space="preserve">Database-per-tenant edge storage</w:t>
      </w:r>
      <w:r>
        <w:t xml:space="preserve"> </w:t>
      </w:r>
      <w:r>
        <w:t xml:space="preserve">(libSQL, single-writer per tenant by design) with user-held keys:</w:t>
      </w:r>
      <w:r>
        <w:t xml:space="preserve"> </w:t>
      </w:r>
      <w:r>
        <w:t xml:space="preserve">eliminates the centralized data honeypot; establishes ownership</w:t>
      </w:r>
      <w:r>
        <w:t xml:space="preserve"> </w:t>
      </w:r>
      <w:r>
        <w:t xml:space="preserve">locality.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V2 — Verifiable settlement.</w:t>
      </w:r>
      <w:r>
        <w:t xml:space="preserve"> </w:t>
      </w:r>
      <w:r>
        <w:t xml:space="preserve">Substrate audit layer with</w:t>
      </w:r>
      <w:r>
        <w:t xml:space="preserve"> </w:t>
      </w:r>
      <w:r>
        <w:t xml:space="preserve">hash-anchored state transitions and Smoldot light-client verification:</w:t>
      </w:r>
      <w:r>
        <w:t xml:space="preserve"> </w:t>
      </w:r>
      <w:r>
        <w:t xml:space="preserve">eliminates trusted-third-party record-keeping; any participant can</w:t>
      </w:r>
      <w:r>
        <w:t xml:space="preserve"> </w:t>
      </w:r>
      <w:r>
        <w:t xml:space="preserve">verify their own record’s integrity locally, without trusting an RPC</w:t>
      </w:r>
      <w:r>
        <w:t xml:space="preserve"> </w:t>
      </w:r>
      <w:r>
        <w:t xml:space="preserve">server or other intermediary.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V3 — Frictionless engagement.</w:t>
      </w:r>
      <w:r>
        <w:t xml:space="preserve"> </w:t>
      </w:r>
      <w:r>
        <w:t xml:space="preserve">x402 micropayment settlement</w:t>
      </w:r>
      <w:r>
        <w:t xml:space="preserve"> </w:t>
      </w:r>
      <w:r>
        <w:t xml:space="preserve">and edge-compiled validation compute: drives the marginal</w:t>
      </w:r>
      <w:r>
        <w:t xml:space="preserve"> </w:t>
      </w:r>
      <w:r>
        <w:t xml:space="preserve">per-validation cost of participation toward the sub-cent floor (the</w:t>
      </w:r>
      <w:r>
        <w:t xml:space="preserve"> </w:t>
      </w:r>
      <w:r>
        <w:t xml:space="preserve">like-for-like cost comparison of §3.6, Sim P3, with its</w:t>
      </w:r>
      <w:r>
        <w:t xml:space="preserve"> </w:t>
      </w:r>
      <w:r>
        <w:t xml:space="preserve">events-per-decision accounting), making continuous trust measurement</w:t>
      </w:r>
      <w:r>
        <w:t xml:space="preserve"> </w:t>
      </w:r>
      <w:r>
        <w:t xml:space="preserve">economically viable at consumer scale.</w:t>
      </w:r>
    </w:p>
    <w:bookmarkEnd w:id="91"/>
    <w:bookmarkStart w:id="92" w:name="X82ef47608e62ba0f387c62d7c647469b1460340"/>
    <w:p>
      <w:pPr>
        <w:pStyle w:val="Heading2"/>
      </w:pPr>
      <w:r>
        <w:t xml:space="preserve">5.2 Benchmarking discipline: frozen figures in print,</w:t>
      </w:r>
      <w:r>
        <w:t xml:space="preserve"> </w:t>
      </w:r>
      <w:r>
        <w:t xml:space="preserve">calculator</w:t>
      </w:r>
      <w:r>
        <w:t xml:space="preserve"> </w:t>
      </w:r>
      <w:r>
        <w:t xml:space="preserve">supplementary</w:t>
      </w:r>
    </w:p>
    <w:p>
      <w:pPr>
        <w:pStyle w:val="FirstParagraph"/>
      </w:pPr>
      <w:r>
        <w:t xml:space="preserve">Point-in-time infrastructure comparisons degrade on contact with print</w:t>
      </w:r>
      <w:r>
        <w:t xml:space="preserve"> </w:t>
      </w:r>
      <w:r>
        <w:t xml:space="preserve">(cloud pricing, chain fees, and vendor pricing all move). An earlier</w:t>
      </w:r>
      <w:r>
        <w:t xml:space="preserve"> </w:t>
      </w:r>
      <w:r>
        <w:t xml:space="preserve">version of this paper designated the live calculator at</w:t>
      </w:r>
      <w:r>
        <w:t xml:space="preserve"> </w:t>
      </w:r>
      <w:r>
        <w:t xml:space="preserve">freshcredit.xyz/cost as the canonical reference</w:t>
      </w:r>
      <w:r>
        <w:t xml:space="preserve"> </w:t>
      </w:r>
      <w:r>
        <w:t xml:space="preserve">“superseding”</w:t>
      </w:r>
      <w:r>
        <w:t xml:space="preserve"> </w:t>
      </w:r>
      <w:r>
        <w:t xml:space="preserve">static</w:t>
      </w:r>
      <w:r>
        <w:t xml:space="preserve"> </w:t>
      </w:r>
      <w:r>
        <w:t xml:space="preserve">figures; that assignment is reversed, because a mutable page on the</w:t>
      </w:r>
      <w:r>
        <w:t xml:space="preserve"> </w:t>
      </w:r>
      <w:r>
        <w:t xml:space="preserve">author’s domain is not an auditable reference.</w:t>
      </w:r>
      <w:r>
        <w:t xml:space="preserve"> </w:t>
      </w:r>
      <w:r>
        <w:rPr>
          <w:b/>
          <w:bCs/>
        </w:rPr>
        <w:t xml:space="preserve">The figures</w:t>
      </w:r>
      <w:r>
        <w:rPr>
          <w:b/>
          <w:bCs/>
        </w:rPr>
        <w:t xml:space="preserve"> </w:t>
      </w:r>
      <w:r>
        <w:rPr>
          <w:b/>
          <w:bCs/>
        </w:rPr>
        <w:t xml:space="preserve">printed here are the canonical record of this paper’s claims; the</w:t>
      </w:r>
      <w:r>
        <w:rPr>
          <w:b/>
          <w:bCs/>
        </w:rPr>
        <w:t xml:space="preserve"> </w:t>
      </w:r>
      <w:r>
        <w:rPr>
          <w:b/>
          <w:bCs/>
        </w:rPr>
        <w:t xml:space="preserve">calculator is a supplementary, versioned tool.</w:t>
      </w:r>
      <w:r>
        <w:t xml:space="preserve"> </w:t>
      </w:r>
      <w:r>
        <w:t xml:space="preserve">Frozen print figures</w:t>
      </w:r>
      <w:r>
        <w:t xml:space="preserve"> </w:t>
      </w:r>
      <w:r>
        <w:t xml:space="preserve">(all protocol-side quantities; incumbent comparators cited to source</w:t>
      </w:r>
      <w:r>
        <w:t xml:space="preserve"> </w:t>
      </w:r>
      <w:r>
        <w:t xml:space="preserve">where published):</w:t>
      </w:r>
    </w:p>
    <w:p>
      <w:pPr>
        <w:numPr>
          <w:ilvl w:val="0"/>
          <w:numId w:val="1012"/>
        </w:numPr>
      </w:pPr>
      <w:r>
        <w:t xml:space="preserve">Per-event settlement: $0.001/event (x402-class rails, zero protocol</w:t>
      </w:r>
      <w:r>
        <w:t xml:space="preserve"> </w:t>
      </w:r>
      <w:r>
        <w:t xml:space="preserve">fee, sub-cent L2 gas; §3.4).</w:t>
      </w:r>
    </w:p>
    <w:p>
      <w:pPr>
        <w:numPr>
          <w:ilvl w:val="0"/>
          <w:numId w:val="1012"/>
        </w:numPr>
      </w:pPr>
      <w:r>
        <w:t xml:space="preserve">Events per application-level decision (stated assumption):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–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, giving $1–$100 settlement per decision; edge</w:t>
      </w:r>
      <w:r>
        <w:t xml:space="preserve"> </w:t>
      </w:r>
      <w:r>
        <w:t xml:space="preserve">compute on the participant’s own device adds marginal electricity;</w:t>
      </w:r>
      <w:r>
        <w:t xml:space="preserve"> </w:t>
      </w:r>
      <w:r>
        <w:t xml:space="preserve">backup storage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 GB/tenant-year adds cents per year at</w:t>
      </w:r>
      <w:r>
        <w:t xml:space="preserve"> </w:t>
      </w:r>
      <w:r>
        <w:t xml:space="preserve">$0.014–0.019/GB.</w:t>
      </w:r>
    </w:p>
    <w:p>
      <w:pPr>
        <w:numPr>
          <w:ilvl w:val="0"/>
          <w:numId w:val="1012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98% marginal-cost-reduction target (H1 leg 3) holds</w:t>
      </w:r>
      <w:r>
        <w:t xml:space="preserve"> </w:t>
      </w:r>
      <w:r>
        <w:t xml:space="preserve">exactly when the incumbent’s marginal per-query price exceeds</w:t>
      </w:r>
      <w:r>
        <w:t xml:space="preserve"> </w:t>
      </w:r>
      <w:r>
        <w:t xml:space="preserve">$0.05/query at equal event/query counts; incumbent marginal query</w:t>
      </w:r>
      <w:r>
        <w:t xml:space="preserve"> </w:t>
      </w:r>
      <w:r>
        <w:t xml:space="preserve">pricing is vendor-specific and largely unpublished, so the comparison</w:t>
      </w:r>
      <w:r>
        <w:t xml:space="preserve"> </w:t>
      </w:r>
      <w:r>
        <w:t xml:space="preserve">is maintained in the supplementary calculator with published</w:t>
      </w:r>
      <w:r>
        <w:t xml:space="preserve"> </w:t>
      </w:r>
      <w:r>
        <w:t xml:space="preserve">assumptions and sensitivity analysis, and no static multiplier is</w:t>
      </w:r>
      <w:r>
        <w:t xml:space="preserve"> </w:t>
      </w:r>
      <w:r>
        <w:t xml:space="preserve">asserted.</w:t>
      </w:r>
    </w:p>
    <w:p>
      <w:pPr>
        <w:numPr>
          <w:ilvl w:val="0"/>
          <w:numId w:val="1012"/>
        </w:numPr>
      </w:pPr>
      <w:r>
        <w:t xml:space="preserve">The protocol-side cost model, stated precisely: user-held data and</w:t>
      </w:r>
      <w:r>
        <w:t xml:space="preserve"> </w:t>
      </w:r>
      <w:r>
        <w:t xml:space="preserve">user-served compute — the participant’s device executes reads,</w:t>
      </w:r>
      <w:r>
        <w:t xml:space="preserve"> </w:t>
      </w:r>
      <w:r>
        <w:t xml:space="preserve">writes, and stability updates — so protocol infrastructure cost per</w:t>
      </w:r>
      <w:r>
        <w:t xml:space="preserve"> </w:t>
      </w:r>
      <w:r>
        <w:t xml:space="preserve">tenant is settlement ($0.001/event, or $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/</m:t>
        </m:r>
        <m:r>
          <m:t>e</m:t>
        </m:r>
        <m:r>
          <m:t>v</m:t>
        </m:r>
        <m:r>
          <m:t>e</m:t>
        </m:r>
        <m:r>
          <m:t>n</m:t>
        </m:r>
        <m:r>
          <m:t>t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block rollups, §3.7) plus backup storage; there is no</w:t>
      </w:r>
      <w:r>
        <w:t xml:space="preserve"> </w:t>
      </w:r>
      <w:r>
        <w:t xml:space="preserve">per-query toll in the protocol itself. Attestation fees charged by</w:t>
      </w:r>
      <w:r>
        <w:t xml:space="preserve"> </w:t>
      </w:r>
      <w:r>
        <w:t xml:space="preserve">providers (the m multiplier of Sim P8) are application-layer costs,</w:t>
      </w:r>
      <w:r>
        <w:t xml:space="preserve"> </w:t>
      </w:r>
      <w:r>
        <w:t xml:space="preserve">priced by providers, and are outside this table by design.</w:t>
      </w:r>
    </w:p>
    <w:p>
      <w:pPr>
        <w:pStyle w:val="FirstParagraph"/>
      </w:pPr>
      <w:r>
        <w:t xml:space="preserve">No achieved end-to-end performance is claimed for deployed applications.</w:t>
      </w:r>
    </w:p>
    <w:bookmarkEnd w:id="92"/>
    <w:bookmarkEnd w:id="93"/>
    <w:bookmarkStart w:id="94" w:name="discussion"/>
    <w:p>
      <w:pPr>
        <w:pStyle w:val="Heading1"/>
      </w:pPr>
      <w:r>
        <w:t xml:space="preserve">6. Discussion</w:t>
      </w:r>
    </w:p>
    <w:p>
      <w:pPr>
        <w:pStyle w:val="FirstParagraph"/>
      </w:pPr>
      <w:r>
        <w:rPr>
          <w:b/>
          <w:bCs/>
        </w:rPr>
        <w:t xml:space="preserve">What is claimed.</w:t>
      </w:r>
      <w:r>
        <w:t xml:space="preserve"> </w:t>
      </w:r>
      <w:r>
        <w:t xml:space="preserve">A composable architecture exists — today,</w:t>
      </w:r>
      <w:r>
        <w:t xml:space="preserve"> </w:t>
      </w:r>
      <w:r>
        <w:t xml:space="preserve">from production components — that performs trust measurement with</w:t>
      </w:r>
      <w:r>
        <w:t xml:space="preserve"> </w:t>
      </w:r>
      <w:r>
        <w:t xml:space="preserve">immediate verifiable feedback, user ownership, and distortion-minimized</w:t>
      </w:r>
      <w:r>
        <w:t xml:space="preserve"> </w:t>
      </w:r>
      <w:r>
        <w:t xml:space="preserve">observation (</w:t>
      </w:r>
      <m:oMath>
        <m:r>
          <m:t>ψ</m:t>
        </m:r>
      </m:oMath>
      <w:r>
        <w:t xml:space="preserve"> </w:t>
      </w:r>
      <w:r>
        <w:t xml:space="preserve">driven to a quantified nonzero floor, §4); the</w:t>
      </w:r>
      <w:r>
        <w:t xml:space="preserve"> </w:t>
      </w:r>
      <w:r>
        <w:t xml:space="preserve">theoretical parameters it manipulates (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r>
          <m:t>ψ</m:t>
        </m:r>
      </m:oMath>
      <w:r>
        <w:t xml:space="preserve">)</w:t>
      </w:r>
      <w:r>
        <w:t xml:space="preserve"> </w:t>
      </w:r>
      <w:r>
        <w:t xml:space="preserve">are the ones the companion theory preprint identifies as governing</w:t>
      </w:r>
      <w:r>
        <w:t xml:space="preserve"> </w:t>
      </w:r>
      <w:r>
        <w:t xml:space="preserve">trust-maintenance cost; and the failure modes of centralized</w:t>
      </w:r>
      <w:r>
        <w:t xml:space="preserve"> </w:t>
      </w:r>
      <w:r>
        <w:t xml:space="preserve">custodianship are documented at regulator-verified scale. The</w:t>
      </w:r>
      <w:r>
        <w:t xml:space="preserve"> </w:t>
      </w:r>
      <w:r>
        <w:t xml:space="preserve">collective-dynamics claims are supported in silico with their</w:t>
      </w:r>
      <w:r>
        <w:t xml:space="preserve"> </w:t>
      </w:r>
      <w:r>
        <w:t xml:space="preserve">fragilities printed (§3.6: coherence requires coupling and is fragile to</w:t>
      </w:r>
      <w:r>
        <w:t xml:space="preserve"> </w:t>
      </w:r>
      <w:r>
        <w:t xml:space="preserve">leakage at the current operating point); the security claim is an</w:t>
      </w:r>
      <w:r>
        <w:t xml:space="preserve"> </w:t>
      </w:r>
      <w:r>
        <w:t xml:space="preserve">expected-loss statement with its probability side included (§3.9:</w:t>
      </w:r>
      <w:r>
        <w:t xml:space="preserve"> </w:t>
      </w:r>
      <w:r>
        <w:t xml:space="preserve">variance reduction, conditional on endpoint hygiene and client</w:t>
      </w:r>
      <w:r>
        <w:t xml:space="preserve"> </w:t>
      </w:r>
      <w:r>
        <w:t xml:space="preserve">integrity); the cost claim is a scaling form with like-for-like</w:t>
      </w:r>
      <w:r>
        <w:t xml:space="preserve"> </w:t>
      </w:r>
      <w:r>
        <w:t xml:space="preserve">comparisons and events-per-decision accounting (§3.6, Sim P3).</w:t>
      </w:r>
    </w:p>
    <w:p>
      <w:pPr>
        <w:pStyle w:val="BodyText"/>
      </w:pPr>
      <w:r>
        <w:rPr>
          <w:b/>
          <w:bCs/>
        </w:rPr>
        <w:t xml:space="preserve">Connectome-scale simulation series.</w:t>
      </w:r>
      <w:r>
        <w:t xml:space="preserve"> </w:t>
      </w:r>
      <w:r>
        <w:t xml:space="preserve">Since the original</w:t>
      </w:r>
      <w:r>
        <w:t xml:space="preserve"> </w:t>
      </w:r>
      <w:r>
        <w:t xml:space="preserve">deposit, the collection has added a pre-registered connectome</w:t>
      </w:r>
      <w:r>
        <w:t xml:space="preserve"> </w:t>
      </w:r>
      <w:r>
        <w:t xml:space="preserve">simulation program bearing directly on the theory’s neural claims: the</w:t>
      </w:r>
      <w:r>
        <w:t xml:space="preserve"> </w:t>
      </w:r>
      <w:r>
        <w:t xml:space="preserve">F1 series on the</w:t>
      </w:r>
      <w:r>
        <w:t xml:space="preserve"> </w:t>
      </w:r>
      <w:r>
        <w:rPr>
          <w:i/>
          <w:iCs/>
        </w:rPr>
        <w:t xml:space="preserve">Drosophila</w:t>
      </w:r>
      <w:r>
        <w:t xml:space="preserve"> </w:t>
      </w:r>
      <w:r>
        <w:t xml:space="preserve">mushroom body (gate passed; F1a</w:t>
      </w:r>
      <w:r>
        <w:t xml:space="preserve"> </w:t>
      </w:r>
      <w:r>
        <w:t xml:space="preserve">INDETERMINATE-instrument; F1a2 FAIL on its control-shuffle criterion;</w:t>
      </w:r>
      <w:r>
        <w:t xml:space="preserve"> </w:t>
      </w:r>
      <w:r>
        <w:t xml:space="preserve">F1b compartment-resolved gating PASS (7/7 as frozen; criteria 6–7 met at a floor-saturation calibration artifact, evidential weight on 1–5) — reported in full, with</w:t>
      </w:r>
      <w:r>
        <w:t xml:space="preserve"> </w:t>
      </w:r>
      <w:r>
        <w:t xml:space="preserve">the KC share of MBON input budget measured at 0.982) and Simulation H1</w:t>
      </w:r>
      <w:r>
        <w:t xml:space="preserve"> </w:t>
      </w:r>
      <w:r>
        <w:t xml:space="preserve">on MICrONS mouse cortex (structural dominance FAIL; permutation</w:t>
      </w:r>
      <w:r>
        <w:t xml:space="preserve"> </w:t>
      </w:r>
      <w:r>
        <w:t xml:space="preserve">robustness MET; compound verdict FAIL), with a human-cortex</w:t>
      </w:r>
      <w:r>
        <w:t xml:space="preserve"> </w:t>
      </w:r>
      <w:r>
        <w:t xml:space="preserve">replication (H01) pre-registered and in progress. These results are</w:t>
      </w:r>
      <w:r>
        <w:t xml:space="preserve"> </w:t>
      </w:r>
      <w:r>
        <w:t xml:space="preserve">reported where they belong — in the companion biological-instantiation preprint (§5.6–5.7, the</w:t>
      </w:r>
      <w:r>
        <w:t xml:space="preserve"> </w:t>
      </w:r>
      <w:r>
        <w:t xml:space="preserve">F1-series and H1 subsections) — and</w:t>
      </w:r>
      <w:r>
        <w:t xml:space="preserve"> </w:t>
      </w:r>
      <w:r>
        <w:t xml:space="preserve">are summarized in the collection index. This paper’s protocol claims do</w:t>
      </w:r>
      <w:r>
        <w:t xml:space="preserve"> </w:t>
      </w:r>
      <w:r>
        <w:t xml:space="preserve">not depend on any of them; the pointer is provided so that readers</w:t>
      </w:r>
      <w:r>
        <w:t xml:space="preserve"> </w:t>
      </w:r>
      <w:r>
        <w:t xml:space="preserve">following the theory’s biological motivation can find the</w:t>
      </w:r>
      <w:r>
        <w:t xml:space="preserve"> </w:t>
      </w:r>
      <w:r>
        <w:t xml:space="preserve">connectome-scale evidence, including its failures, in one place.</w:t>
      </w:r>
    </w:p>
    <w:p>
      <w:pPr>
        <w:pStyle w:val="BodyText"/>
      </w:pPr>
      <w:r>
        <w:rPr>
          <w:b/>
          <w:bCs/>
        </w:rPr>
        <w:t xml:space="preserve">What is not claimed.</w:t>
      </w:r>
      <w:r>
        <w:t xml:space="preserve"> </w:t>
      </w:r>
      <w:r>
        <w:t xml:space="preserve">No domain application, no achieved</w:t>
      </w:r>
      <w:r>
        <w:t xml:space="preserve"> </w:t>
      </w:r>
      <w:r>
        <w:t xml:space="preserve">end-to-end performance, no static cost multiplier, no decision logic of</w:t>
      </w:r>
      <w:r>
        <w:t xml:space="preserve"> </w:t>
      </w:r>
      <w:r>
        <w:t xml:space="preserve">any kind — all of that lives in application documents such as the financial application preprint (specified separately). No claim that observation distortion is eliminated</w:t>
      </w:r>
      <w:r>
        <w:t xml:space="preserve"> </w:t>
      </w:r>
      <w:r>
        <w:t xml:space="preserve">(it is minimized and monitored). No claim that per-tenant custody</w:t>
      </w:r>
      <w:r>
        <w:t xml:space="preserve"> </w:t>
      </w:r>
      <w:r>
        <w:t xml:space="preserve">reduces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loss unconditionally (it caps blast radius and</w:t>
      </w:r>
      <w:r>
        <w:t xml:space="preserve"> </w:t>
      </w:r>
      <w:r>
        <w:t xml:space="preserve">reduces variance; §3.9). No protocol-level governance mechanism (§3.5).</w:t>
      </w:r>
      <w:r>
        <w:t xml:space="preserve"> </w:t>
      </w:r>
      <w:r>
        <w:t xml:space="preserve">No defense against coordinated collusion rings (below). No data-custody</w:t>
      </w:r>
      <w:r>
        <w:t xml:space="preserve"> </w:t>
      </w:r>
      <w:r>
        <w:t xml:space="preserve">cascade model (DebtRank is a category error for data custody; no such</w:t>
      </w:r>
      <w:r>
        <w:t xml:space="preserve"> </w:t>
      </w:r>
      <w:r>
        <w:t xml:space="preserve">literature exists — stated as a gap, §3.7 Sim P6).</w:t>
      </w:r>
    </w:p>
    <w:p>
      <w:pPr>
        <w:pStyle w:val="BodyText"/>
      </w:pPr>
      <w:r>
        <w:rPr>
          <w:b/>
          <w:bCs/>
        </w:rPr>
        <w:t xml:space="preserve">Principal limitations.</w:t>
      </w:r>
      <w:r>
        <w:t xml:space="preserve"> </w:t>
      </w:r>
      <w:r>
        <w:t xml:space="preserve">(i) Demonstrated chain throughput is</w:t>
      </w:r>
      <w:r>
        <w:t xml:space="preserve"> </w:t>
      </w:r>
      <w:r>
        <w:t xml:space="preserve">network-level, not application-level (and the headline figure is for</w:t>
      </w:r>
      <w:r>
        <w:t xml:space="preserve"> </w:t>
      </w:r>
      <w:r>
        <w:t xml:space="preserve">batch transactions; §3.4); realized per-user latency depends on indexing</w:t>
      </w:r>
      <w:r>
        <w:t xml:space="preserve"> </w:t>
      </w:r>
      <w:r>
        <w:t xml:space="preserve">and edge topology. (ii) The chilling-effects evidence is drawn from</w:t>
      </w:r>
      <w:r>
        <w:t xml:space="preserve"> </w:t>
      </w:r>
      <w:r>
        <w:t xml:space="preserve">surveillance contexts; its generalization to commercial measurement is</w:t>
      </w:r>
      <w:r>
        <w:t xml:space="preserve"> </w:t>
      </w:r>
      <w:r>
        <w:t xml:space="preserve">plausible but unproven — itself a testable prediction of the stack, in</w:t>
      </w:r>
      <w:r>
        <w:t xml:space="preserve"> </w:t>
      </w:r>
      <w:r>
        <w:t xml:space="preserve">the falsifiable form of §4’s joint variance/autocorrelation statistic.</w:t>
      </w:r>
      <w:r>
        <w:t xml:space="preserve"> </w:t>
      </w:r>
      <w:r>
        <w:t xml:space="preserve">(iii) Database-per-tenant shifts the operational burden (key management,</w:t>
      </w:r>
      <w:r>
        <w:t xml:space="preserve"> </w:t>
      </w:r>
      <w:r>
        <w:t xml:space="preserve">recovery) onto participants, and the quantified size of that channel is</w:t>
      </w:r>
      <w:r>
        <w:t xml:space="preserve"> </w:t>
      </w:r>
      <w:r>
        <w:t xml:space="preserve">the same order as the security win (§3.9). The account-layer solution</w:t>
      </w:r>
      <w:r>
        <w:t xml:space="preserve"> </w:t>
      </w:r>
      <w:r>
        <w:t xml:space="preserve">pattern now exists in production and TFP adopts it by reference rather</w:t>
      </w:r>
      <w:r>
        <w:t xml:space="preserve"> </w:t>
      </w:r>
      <w:r>
        <w:t xml:space="preserve">than reinventing it: smart-account standards (ERC-4337, deployed 2023;</w:t>
      </w:r>
      <w:r>
        <w:t xml:space="preserve"> </w:t>
      </w:r>
      <w:r>
        <w:t xml:space="preserve">EIP-7702, live with Ethereum’s 2025 Pectra upgrade;</w:t>
      </w:r>
      <w:r>
        <w:t xml:space="preserve"> </w:t>
      </w:r>
      <w:r>
        <w:t xml:space="preserve">) provide guardian-quorum social recovery, scoped</w:t>
      </w:r>
      <w:r>
        <w:t xml:space="preserve"> </w:t>
      </w:r>
      <w:r>
        <w:t xml:space="preserve">session keys, and key rotation — recovery and delegation without</w:t>
      </w:r>
      <w:r>
        <w:t xml:space="preserve"> </w:t>
      </w:r>
      <w:r>
        <w:t xml:space="preserve">reintroducing a custodian — while passkey signers (WebAuthn) replace</w:t>
      </w:r>
      <w:r>
        <w:t xml:space="preserve"> </w:t>
      </w:r>
      <w:r>
        <w:t xml:space="preserve">seed-phrase custody with device biometrics. The residual risk moves from</w:t>
      </w:r>
      <w:r>
        <w:t xml:space="preserve"> </w:t>
      </w:r>
      <w:r>
        <w:t xml:space="preserve">“a custodian loses everyone’s records”</w:t>
      </w:r>
      <w:r>
        <w:t xml:space="preserve"> </w:t>
      </w:r>
      <w:r>
        <w:t xml:space="preserve">to</w:t>
      </w:r>
      <w:r>
        <w:t xml:space="preserve"> </w:t>
      </w:r>
      <w:r>
        <w:t xml:space="preserve">“a user loses their</w:t>
      </w:r>
      <w:r>
        <w:t xml:space="preserve"> </w:t>
      </w:r>
      <w:r>
        <w:t xml:space="preserve">guardians”</w:t>
      </w:r>
      <w:r>
        <w:t xml:space="preserve"> </w:t>
      </w:r>
      <w:r>
        <w:t xml:space="preserve">— with the guardian channel’s own documented attack</w:t>
      </w:r>
      <w:r>
        <w:t xml:space="preserve"> </w:t>
      </w:r>
      <w:r>
        <w:t xml:space="preserve">surfaces (SIM-swap, guardian-service compromise, recovery-logic bugs;</w:t>
      </w:r>
      <w:r>
        <w:t xml:space="preserve"> </w:t>
      </w:r>
      <w:r>
        <w:t xml:space="preserve">§3.9) now part of the threat model, and key rotation converting a stolen</w:t>
      </w:r>
      <w:r>
        <w:t xml:space="preserve"> </w:t>
      </w:r>
      <w:r>
        <w:t xml:space="preserve">key from a permanent identity loss into a revocable event. (iv) Temporal</w:t>
      </w:r>
      <w:r>
        <w:t xml:space="preserve"> </w:t>
      </w:r>
      <w:r>
        <w:t xml:space="preserve">validity: the cold-start trap is real and the seeded event floor is a</w:t>
      </w:r>
      <w:r>
        <w:t xml:space="preserve"> </w:t>
      </w:r>
      <w:r>
        <w:t xml:space="preserve">design requirement (§3.10); long-run behavior is bounded only under the</w:t>
      </w:r>
      <w:r>
        <w:t xml:space="preserve"> </w:t>
      </w:r>
      <w:r>
        <w:t xml:space="preserve">baseline-restoring presets. (v) Sim P7’s protective effect was measured</w:t>
      </w:r>
      <w:r>
        <w:t xml:space="preserve"> </w:t>
      </w:r>
      <w:r>
        <w:t xml:space="preserve">at one salience setting; the salience-parameter sensitivity analysis is</w:t>
      </w:r>
      <w:r>
        <w:t xml:space="preserve"> </w:t>
      </w:r>
      <w:r>
        <w:t xml:space="preserve">registered future work (§3.7). (vi)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floor is nonzero (§4):</w:t>
      </w:r>
      <w:r>
        <w:t xml:space="preserve"> </w:t>
      </w:r>
      <w:r>
        <w:t xml:space="preserve">the protocol’s own measurement distorts, and applications inherit a</w:t>
      </w:r>
      <w:r>
        <w:t xml:space="preserve"> </w:t>
      </w:r>
      <w:r>
        <w:t xml:space="preserve">Campbell’s-law obligation.</w:t>
      </w:r>
    </w:p>
    <w:p>
      <w:pPr>
        <w:pStyle w:val="BodyText"/>
      </w:pPr>
      <w:r>
        <w:rPr>
          <w:b/>
          <w:bCs/>
        </w:rPr>
        <w:t xml:space="preserve">Adversarial robustness.</w:t>
      </w:r>
      <w:r>
        <w:t xml:space="preserve"> </w:t>
      </w:r>
      <w:r>
        <w:t xml:space="preserve">Trust and reputation systems face a</w:t>
      </w:r>
      <w:r>
        <w:t xml:space="preserve"> </w:t>
      </w:r>
      <w:r>
        <w:t xml:space="preserve">standard attack taxonomy — on-off, badmouthing, self-promoting,</w:t>
      </w:r>
      <w:r>
        <w:t xml:space="preserve"> </w:t>
      </w:r>
      <w:r>
        <w:t xml:space="preserve">whitewashing, Sybil, oscillation, and RepTrap attacks</w:t>
      </w:r>
      <w:r>
        <w:t xml:space="preserve"> </w:t>
      </w:r>
      <w:r>
        <w:t xml:space="preserve"> </w:t>
      </w:r>
      <w:r>
        <w:t xml:space="preserve">— and TFP’s mitigations are structural</w:t>
      </w:r>
      <w:r>
        <w:t xml:space="preserve"> </w:t>
      </w:r>
      <w:r>
        <w:t xml:space="preserve">rather than algorithmic. The supportable version of each:</w:t>
      </w:r>
      <w:r>
        <w:t xml:space="preserve"> </w:t>
      </w:r>
      <w:r>
        <w:rPr>
          <w:b/>
          <w:bCs/>
        </w:rPr>
        <w:t xml:space="preserve">Sybil identity creation</w:t>
      </w:r>
      <w:r>
        <w:t xml:space="preserve"> 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bounded by settlement cost alone — $1.01 buys 10 units of unattested</w:t>
      </w:r>
      <w:r>
        <w:t xml:space="preserve"> </w:t>
      </w:r>
      <w:r>
        <w:t xml:space="preserve">standing at the protocol’s own per-event figures; the real defense is</w:t>
      </w:r>
      <w:r>
        <w:t xml:space="preserve"> </w:t>
      </w:r>
      <w:r>
        <w:t xml:space="preserve">provider attestation (a linear cost multiplier m) combined with the</w:t>
      </w:r>
      <w:r>
        <w:t xml:space="preserve"> </w:t>
      </w:r>
      <w:r>
        <w:t xml:space="preserve">wall-clock time floor, quoted per rate (1,005 attested events: at</w:t>
      </w:r>
      <w:r>
        <w:t xml:space="preserve"> </w:t>
      </w:r>
      <m:oMath>
        <m:r>
          <m:rPr>
            <m:sty m:val="p"/>
          </m:rPr>
          <m:t>≤</m:t>
        </m:r>
        <m:r>
          <m:t>2</m:t>
        </m:r>
      </m:oMath>
      <w:r>
        <w:t xml:space="preserve">/day, 1.4 years; at the model’s own high-standing rates of</w:t>
      </w:r>
      <w:r>
        <w:t xml:space="preserve"> </w:t>
      </w:r>
      <w:r>
        <w:t xml:space="preserve">2.5–3.76 events/day,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0.55–1.1 years at 2.5–5/day (0.73 yr at 3.76/day; 0.55 yr at 5/day); at the decisionable</w:t>
      </w:r>
      <w:r>
        <w:t xml:space="preserve"> </w:t>
      </w:r>
      <w:r>
        <w:t xml:space="preserve">threshold of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60–70 events,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72 days with one</w:t>
      </w:r>
      <w:r>
        <w:t xml:space="preserve"> </w:t>
      </w:r>
      <w:r>
        <w:t xml:space="preserve">cooperative provider), with block rollups cutting honest cost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</m:oMath>
      <w:r>
        <w:t xml:space="preserve"> </w:t>
      </w:r>
      <w:r>
        <w:t xml:space="preserve">without relaxing the time floor, and with the</w:t>
      </w:r>
      <w:r>
        <w:t xml:space="preserve"> </w:t>
      </w:r>
      <w:r>
        <w:t xml:space="preserve">parallel-provider-collusion caveat disclosed (§3.7, Sim P8).</w:t>
      </w:r>
      <w:r>
        <w:t xml:space="preserve"> </w:t>
      </w:r>
      <w:r>
        <w:rPr>
          <w:b/>
          <w:bCs/>
        </w:rPr>
        <w:t xml:space="preserve">Whitewashing</w:t>
      </w:r>
      <w:r>
        <w:t xml:space="preserve"> </w:t>
      </w:r>
      <w:r>
        <w:t xml:space="preserve">is bounded because absence of history is itself</w:t>
      </w:r>
      <w:r>
        <w:t xml:space="preserve"> </w:t>
      </w:r>
      <w:r>
        <w:t xml:space="preserve">measurable — a fresh record starts at the prior, not at a clean high</w:t>
      </w:r>
      <w:r>
        <w:t xml:space="preserve"> </w:t>
      </w:r>
      <w:r>
        <w:t xml:space="preserve">standing, and rebuilding costs real</w:t>
      </w:r>
      <w:r>
        <w:t xml:space="preserve"> </w:t>
      </w:r>
      <w:r>
        <w:rPr>
          <w:i/>
          <w:iCs/>
        </w:rPr>
        <w:t xml:space="preserve">attested</w:t>
      </w:r>
      <w:r>
        <w:t xml:space="preserve"> </w:t>
      </w:r>
      <w:r>
        <w:t xml:space="preserve">events over real</w:t>
      </w:r>
      <w:r>
        <w:t xml:space="preserve"> </w:t>
      </w:r>
      <w:r>
        <w:t xml:space="preserve">time — and because the completeness mechanisms of §3.8 make</w:t>
      </w:r>
      <w:r>
        <w:t xml:space="preserve"> </w:t>
      </w:r>
      <w:r>
        <w:t xml:space="preserve">selectively-curated histories detectable at the verifier’s policy layer.</w:t>
      </w:r>
      <w:r>
        <w:t xml:space="preserve"> </w:t>
      </w:r>
      <w:r>
        <w:rPr>
          <w:b/>
          <w:bCs/>
        </w:rPr>
        <w:t xml:space="preserve">On-off and oscillation attacks</w:t>
      </w:r>
      <w:r>
        <w:t xml:space="preserve"> </w:t>
      </w:r>
      <w:r>
        <w:t xml:space="preserve">are bounded by the same</w:t>
      </w:r>
      <w:r>
        <w:t xml:space="preserve"> </w:t>
      </w:r>
      <w:r>
        <w:t xml:space="preserve">immediate-feedback property that makes measurement honest: behavior</w:t>
      </w:r>
      <w:r>
        <w:t xml:space="preserve"> </w:t>
      </w:r>
      <w:r>
        <w:t xml:space="preserve">updates the record at event time, so slowly built trust cannot be spent</w:t>
      </w:r>
      <w:r>
        <w:t xml:space="preserve"> </w:t>
      </w:r>
      <w:r>
        <w:t xml:space="preserve">in a single unpunished burst (under the explicit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t>λ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preset; re-run registered, §3.7).</w:t>
      </w:r>
      <w:r>
        <w:t xml:space="preserve"> </w:t>
      </w:r>
      <w:r>
        <w:rPr>
          <w:b/>
          <w:bCs/>
        </w:rPr>
        <w:t xml:space="preserve">Manufactured-history markets</w:t>
      </w:r>
      <w:r>
        <w:t xml:space="preserve"> </w:t>
      </w:r>
      <w:r>
        <w:t xml:space="preserve">exist in the incumbent world too</w:t>
      </w:r>
      <w:r>
        <w:t xml:space="preserve"> </w:t>
      </w:r>
      <w:r>
        <w:t xml:space="preserve">— tradeline renting sells seasoned authorized-user slots at</w:t>
      </w:r>
      <w:r>
        <w:t xml:space="preserve"> </w:t>
      </w:r>
      <w:r>
        <w:t xml:space="preserve">$325–$4,000+ (FTC enforcement record), and synthetic identities are</w:t>
      </w:r>
      <w:r>
        <w:t xml:space="preserve"> </w:t>
      </w:r>
      <w:r>
        <w:t xml:space="preserve">seasoned for months-to-years before bust-out (Federal Reserve</w:t>
      </w:r>
      <w:r>
        <w:t xml:space="preserve"> </w:t>
      </w:r>
      <w:r>
        <w:t xml:space="preserve">white-paper series,</w:t>
      </w:r>
      <w:r>
        <w:t xml:space="preserve"> </w:t>
      </w:r>
      <w:r>
        <w:t xml:space="preserve">) — so the time-floor defense is</w:t>
      </w:r>
      <w:r>
        <w:t xml:space="preserve"> </w:t>
      </w:r>
      <w:r>
        <w:t xml:space="preserve">aimed at a documented attack economy, not a hypothetical one. The residual is coordinated collusion (RepTrap, badmouthing rings):</w:t>
      </w:r>
      <w:r>
        <w:t xml:space="preserve"> </w:t>
      </w:r>
      <w:r>
        <w:t xml:space="preserve">selective disclosure limits the information attackers can coordinate on,</w:t>
      </w:r>
      <w:r>
        <w:t xml:space="preserve"> </w:t>
      </w:r>
      <w:r>
        <w:t xml:space="preserve">but the literature is clear that no defense guarantees complete</w:t>
      </w:r>
      <w:r>
        <w:t xml:space="preserve"> </w:t>
      </w:r>
      <w:r>
        <w:t xml:space="preserve">prevention and that defenses trade off against each other</w:t>
      </w:r>
      <w:r>
        <w:t xml:space="preserve"> </w:t>
      </w:r>
      <w:r>
        <w:t xml:space="preserve"> </w:t>
      </w:r>
      <w:r>
        <w:t xml:space="preserve">— collusion-ring detection remains an open problem,</w:t>
      </w:r>
      <w:r>
        <w:t xml:space="preserve"> </w:t>
      </w:r>
      <w:r>
        <w:t xml:space="preserve">stated as one. The 20% adversarial event rate in the §3.6 population</w:t>
      </w:r>
      <w:r>
        <w:t xml:space="preserve"> </w:t>
      </w:r>
      <w:r>
        <w:t xml:space="preserve">run and the Sim P8 attack battery (§3.7, Supporting Document §R) are the</w:t>
      </w:r>
      <w:r>
        <w:t xml:space="preserve"> </w:t>
      </w:r>
      <w:r>
        <w:t xml:space="preserve">simulation-level instantiations of this concern. Resilience at</w:t>
      </w:r>
      <w:r>
        <w:t xml:space="preserve"> </w:t>
      </w:r>
      <w:r>
        <w:t xml:space="preserve">production scale, and collusion-ring behavior specifically, are</w:t>
      </w:r>
      <w:r>
        <w:t xml:space="preserve"> </w:t>
      </w:r>
      <w:r>
        <w:t xml:space="preserve">pilot-stage empirical questions.</w:t>
      </w:r>
    </w:p>
    <w:p>
      <w:pPr>
        <w:pStyle w:val="BodyText"/>
      </w:pPr>
      <w:r>
        <w:rPr>
          <w:b/>
          <w:bCs/>
        </w:rPr>
        <w:t xml:space="preserve">Claims-to-evidence map.</w:t>
      </w:r>
      <w:r>
        <w:t xml:space="preserve"> </w:t>
      </w:r>
      <w:r>
        <w:t xml:space="preserve">Every load-bearing claim in this paper,</w:t>
      </w:r>
      <w:r>
        <w:t xml:space="preserve"> </w:t>
      </w:r>
      <w:r>
        <w:t xml:space="preserve">its epistemic label, and where its support lives. C1–C2 are inherited</w:t>
      </w:r>
      <w:r>
        <w:t xml:space="preserve"> </w:t>
      </w:r>
      <w:r>
        <w:t xml:space="preserve">from the companion theory preprint and restated here because every downstream claim stands on them; they are derived and numerically verified there, not in this paper. C3–C17 are this paper’s own claims.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Trust-vector dynamics converge to a stable alignment manifold under the stability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[DERIVED]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[SIMULATION]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companion theory preprint, §3.2 (Lyapunov); Sim 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analytically and numerically (symmetric leak-free limit; extensions preserve stability per branch)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Populations phase-lock toward PAS coherence at moderate coupling;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mean-field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[ANALOGY]</w:t>
            </w:r>
            <w:r>
              <w:t xml:space="preserve"> </w:t>
            </w:r>
            <w:r>
              <w:t xml:space="preserve">(functional form) +</w:t>
            </w:r>
            <w:r>
              <w:t xml:space="preserve"> </w:t>
            </w:r>
            <w:r>
              <w:t xml:space="preserve">[SIMULATION]</w:t>
            </w:r>
            <w:r>
              <w:t xml:space="preserve"> </w:t>
            </w:r>
            <w:r>
              <w:t xml:space="preserve">(behavior of the analogy in mean field; the threshold is derived within the Kuramoto model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companion theory preprint, §3.4 (Kuramoto); Sim 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in mean field;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restated as a reference value with assumptions, not a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Coupling produces collective coherence; isolation remains incoherent (Sim 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§3.6: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0.739</m:t>
              </m:r>
              <m:r>
                <m:rPr>
                  <m:sty m:val="p"/>
                </m:rPr>
                <m:t>±</m:t>
              </m:r>
              <m:r>
                <m:t>0.029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4.5</m:t>
              </m:r>
            </m:oMath>
            <w:r>
              <w:t xml:space="preserve">) vs. </w:t>
            </w:r>
            <m:oMath>
              <m:r>
                <m:t>0.040</m:t>
              </m:r>
              <m:r>
                <m:rPr>
                  <m:sty m:val="p"/>
                </m:rPr>
                <m:t>±</m:t>
              </m:r>
              <m:r>
                <m:t>0.001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at the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floor)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in silico (verification re-run); control baseline at the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floor under the stereographic phase map; pilot test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leakage degrades coherence monotonically (Sim P1b)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§3.6: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ℓ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surface;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0.709</m:t>
              </m:r>
              <m:r>
                <m:rPr>
                  <m:sty m:val="p"/>
                </m:rPr>
                <m:t>→</m:t>
              </m:r>
              <m:r>
                <m:t>0.041</m:t>
              </m:r>
            </m:oMath>
            <w:r>
              <w:t xml:space="preserve"> </w:t>
            </w:r>
            <w:r>
              <w:t xml:space="preserve">across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→</m:t>
              </m:r>
              <m:r>
                <m:t>0.9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Mechanism supported;</w:t>
            </w:r>
            <w:r>
              <w:t xml:space="preserve"> </w:t>
            </w:r>
            <w:r>
              <w:rPr>
                <w:b/>
                <w:bCs/>
              </w:rPr>
              <w:t xml:space="preserve">honest null</w:t>
            </w:r>
            <w:r>
              <w:t xml:space="preserve">: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0.7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4.5</m:t>
              </m:r>
            </m:oMath>
            <w:r>
              <w:t xml:space="preserve"> </w:t>
            </w:r>
            <w:r>
              <w:t xml:space="preserve">survives only within the band</w:t>
            </w:r>
            <w:r>
              <w:t xml:space="preserve"> </w:t>
            </w:r>
            <m:oMath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0.02</m:t>
              </m:r>
              <m:r>
                <m:rPr>
                  <m:sty m:val="p"/>
                </m:rPr>
                <m:t>,</m:t>
              </m:r>
              <m:r>
                <m:t>0.10</m:t>
              </m:r>
              <m:r>
                <m:rPr>
                  <m:sty m:val="p"/>
                </m:rPr>
                <m:t>]</m:t>
              </m:r>
            </m:oMath>
            <w:r>
              <w:t xml:space="preserve">; robust claim needs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ℓ</m:t>
              </m:r>
              <m:r>
                <m:rPr>
                  <m:sty m:val="p"/>
                </m:rPr>
                <m:t>≈</m:t>
              </m:r>
              <m:r>
                <m:t>0.22</m:t>
              </m:r>
              <m:r>
                <m:rPr>
                  <m:nor/>
                  <m:sty m:val="p"/>
                </m:rPr>
                <m:t>–</m:t>
              </m:r>
              <m:r>
                <m:t>0.28</m:t>
              </m:r>
            </m:oMath>
            <w:r>
              <w:t xml:space="preserve">) 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ℓ</m:t>
              </m:r>
              <m:r>
                <m:rPr>
                  <m:sty m:val="p"/>
                </m:rPr>
                <m:t>≈</m:t>
              </m:r>
              <m:r>
                <m:t>0.30</m:t>
              </m:r>
              <m:r>
                <m:rPr>
                  <m:nor/>
                  <m:sty m:val="p"/>
                </m:rPr>
                <m:t>–</m:t>
              </m:r>
              <m:r>
                <m:t>0.40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 isolation reduces single-breach conditional exposure by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98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(Sim 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[SIMULATION]</w:t>
            </w:r>
            <w:r>
              <w:t xml:space="preserve"> </w:t>
            </w:r>
            <w:r>
              <w:t xml:space="preserve">+ architectural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§3.6 Monte-Carlo breach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  <w:r>
              <w:t xml:space="preserve"> </w:t>
            </w:r>
            <w:r>
              <w:rPr>
                <w:i/>
                <w:iCs/>
              </w:rPr>
              <w:t xml:space="preserve">conditional on breach</w:t>
            </w:r>
            <w:r>
              <w:t xml:space="preserve">; expected-loss reframing with probability side in §3.9 (C14)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Per-event settlement scales at constant marginal cost; per-decision cost is $1–$100 at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events (Sim P3)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[SIMULATION]</w:t>
            </w:r>
            <w:r>
              <w:t xml:space="preserve"> </w:t>
            </w:r>
            <w:r>
              <w:t xml:space="preserve">of scaling form + frozen print 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§3.6; 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form supported; like-for-like marginal comparisons only;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98% reduction conditional (incumbent marginal query cost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$0.05/query)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Model-predicted (battery-derived) heterogeneity preserves collective coherence (Sim P4a)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§3.6 cross-layer seeded run,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0.759</m:t>
              </m:r>
              <m:r>
                <m:rPr>
                  <m:sty m:val="p"/>
                </m:rPr>
                <m:t>±</m:t>
              </m:r>
              <m:r>
                <m:t>0.024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Supported in silico (caveat recorded: phase dynamics are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-independent in the current ABM)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Model-predicted (battery-derived) heterogeneity leaves a detectable but practically negligible footprint (Sim P4b)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§3.6: battery-seeded energy distance 0.00021,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0.005</m:t>
              </m:r>
            </m:oMath>
            <w:r>
              <w:t xml:space="preserve">; lower-powered seeding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0.109</m:t>
              </m:r>
            </m:oMath>
            <w:r>
              <w:t xml:space="preserve"> </w:t>
            </w:r>
            <w:r>
              <w:t xml:space="preserve">(null)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Seeding variable shown non-inert, effect size negligible; the lower-powered null is preserved in the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Distortion-minimizing observation is achievable in production — with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, not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[HYPOTHESIS]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[DERIVED]</w:t>
            </w:r>
            <w:r>
              <w:t xml:space="preserve"> </w:t>
            </w:r>
            <w:r>
              <w:t xml:space="preserve">(OU limits) +</w:t>
            </w:r>
            <w:r>
              <w:t xml:space="preserve"> </w:t>
            </w:r>
            <w:r>
              <w:t xml:space="preserve">[SIMULATION]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 design argument;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battery (</w:t>
            </w:r>
            <m:oMath>
              <m:r>
                <m:rPr>
                  <m:sty m:val="p"/>
                </m:rPr>
                <m:t>×</m:t>
              </m:r>
              <m:r>
                <m:t>1.05</m:t>
              </m:r>
            </m:oMath>
            <w:r>
              <w:t xml:space="preserve"> </w:t>
            </w:r>
            <w:r>
              <w:t xml:space="preserve">inflation at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t>μ</m:t>
              </m:r>
            </m:oMath>
            <w:r>
              <w:t xml:space="preserve">); chilling-effects 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“Quantified minimization claimed (</w:t>
            </w:r>
            <m:oMath>
              <m:r>
                <m:t>ψ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 not</w:t>
            </w:r>
            <w:r>
              <w:t xml:space="preserve"> </w:t>
            </w:r>
            <w:r>
              <w:t xml:space="preserve">elimination; Campbell’s-law obligation stated for the protocol’s own metrics; field validation open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Bilateral validation is informationally symmetric; surveillance is one-directional (Sim P5)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§3.7, surrogate-corrected transfer entropy:</w:t>
            </w:r>
            <w:r>
              <w:t xml:space="preserve"> </w:t>
            </w:r>
            <m:oMath>
              <m:r>
                <m:t>0.0315</m:t>
              </m:r>
              <m:r>
                <m:rPr>
                  <m:sty m:val="p"/>
                </m:rPr>
                <m:t>±</m:t>
              </m:r>
              <m:r>
                <m:t>0.003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0.0283</m:t>
              </m:r>
              <m:r>
                <m:rPr>
                  <m:sty m:val="p"/>
                </m:rPr>
                <m:t>±</m:t>
              </m:r>
              <m:r>
                <m:t>0.002</m:t>
              </m:r>
            </m:oMath>
            <w:r>
              <w:t xml:space="preserve"> </w:t>
            </w:r>
            <w:r>
              <w:t xml:space="preserve">bits both directions; surveillance</w:t>
            </w:r>
            <w:r>
              <w:t xml:space="preserve"> </w:t>
            </w:r>
            <m:oMath>
              <m:r>
                <m:t>0.121</m:t>
              </m:r>
              <m:r>
                <m:rPr>
                  <m:sty m:val="p"/>
                </m:rPr>
                <m:t>±</m:t>
              </m:r>
              <m:r>
                <m:t>0.005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0.001</m:t>
              </m:r>
              <m:r>
                <m:rPr>
                  <m:sty m:val="p"/>
                </m:rPr>
                <m:t>±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Directions supported (all replicas on the correct side of the threshold); magnitudes floor-adjacent, so no ratio is claimed; per-replica CIs registered as a re-run requirement; the biased estimator is documented in §Q.3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 isolation bounds cascade reach by construction (Sim P6)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§3.7: zero-edge topology admits no propagation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cascade model applied to data custody (DebtRank is a category error there); no data-custody cascade literature exists — gap stated; quantitative security claim moved to C14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validation reduces adversarial-contract uptake by present-biased agents (Sim P7)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§3.7</w:t>
            </w:r>
            <w:r>
              <w:t xml:space="preserve"> </w:t>
            </w:r>
            <m:oMath>
              <m:r>
                <m:t>β</m:t>
              </m:r>
              <m:r>
                <m:t>δ</m:t>
              </m:r>
            </m:oMath>
            <w:r>
              <w:t xml:space="preserve">-agent battery: uptake</w:t>
            </w:r>
            <w:r>
              <w:t xml:space="preserve"> </w:t>
            </w:r>
            <m:oMath>
              <m:r>
                <m:t>0.725</m:t>
              </m:r>
              <m:r>
                <m:rPr>
                  <m:sty m:val="p"/>
                </m:rPr>
                <m:t>→</m:t>
              </m:r>
              <m:r>
                <m:t>0.284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Supported in silico at one salience setting; salience-parameter sensitivity analysis absent — stated limitation, re-run registered; field analogue is a pilot hypothesis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population model reproduces the heavy-tailed event-outcome stylized fact (Sim P5b)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§3.7, excess kurtosis 1.9 on L1 reallocations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Supported; measured on L1 reallocations (an on-simplex measure is identically zero, §Q.4)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Expected-loss security: per-tenant custody wins iff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t xml:space="preserve">; key/guardian loss is the same order as the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[SIMULATION]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[EMPIRICAL]</w:t>
            </w:r>
            <w:r>
              <w:t xml:space="preserve"> </w:t>
            </w:r>
            <w:r>
              <w:t xml:space="preserve">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§3.9: 15M/yr centralized (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) vs. 1.8M/yr per-tenant (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0.001</m:t>
              </m:r>
            </m:oMath>
            <w:r>
              <w:t xml:space="preserve">), 18.3M at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0.06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1.5</m:t>
              </m:r>
            </m:oMath>
            <w:r>
              <w:t xml:space="preserve">M/yr access loss at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Supported as a model with labeled assumptions; headline: variance reduction, not elimination; common-mode precedents cited (Slope, event-stream, Ledger Connect Kit, LastPass)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reputation attacks (Sybil, whitewashing, on-off) are structurally dominated under the protocol’s update rule (Sim P8)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§3.7, Supporting Document §R: linear Sybil cost; repair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whitewash 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≤</m:t>
              </m:r>
              <m:r>
                <m:t>8</m:t>
              </m:r>
            </m:oMath>
            <w:r>
              <w:t xml:space="preserve"> </w:t>
            </w:r>
            <w:r>
              <w:t xml:space="preserve">(tied 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 </w:t>
            </w:r>
            <w:r>
              <w:t xml:space="preserve">under the bare standing metric); on-off dominated under immediate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in silico; manufactured standing is cheap without attestation ($1.01/10 units unattested); real defense = attestation multiplier + rate-dependent wall-clock time floor (1.4 yr at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2/day;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0.55–1.1 yr at the model’s own high-standing rates, 0.73 yr at 3.76/day and 0.55 yr at 5/day); whitewash dominance 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 </w:t>
            </w:r>
            <w:r>
              <w:t xml:space="preserve">requires the §3.8 verifier-side fresh-record flag; rollups decouple honest cost; parallel-collusion caveat disclosed;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preset now explicit in specification; P8 verification re-run under the explicit preset pending (registered)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attestation proves presence/authenticity of signed events, not completeness; completeness rests on verifier policy (CT model), non-equivocation (CONIKS model), and counterparty co-signing (double-entry/PeerReview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[STANDARD]</w:t>
            </w:r>
            <w:r>
              <w:t xml:space="preserve"> </w:t>
            </w:r>
            <w:r>
              <w:t xml:space="preserve">+ design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§3.8;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with precise logical limits; opt-in aggregate-liability proof specified for cross-provider visibility (debt-stacking: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</m:oMath>
            <w:r>
              <w:t xml:space="preserve">$39M charge-offs); uptake is a pilot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Cold-start trap is real; a seeded score-independent event floor is a design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§3.10: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never converges; day-318 at 0.01/day vs. day-30 at 5/day (criterion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≥</m:t>
              </m:r>
              <m:r>
                <m:t>0.9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in silico (verification re-run); adopted as an architectural requirement; adoption-compounding claim conditioned on named preconditions</w:t>
            </w:r>
          </w:p>
        </w:tc>
      </w:tr>
    </w:tbl>
    <w:p>
      <w:pPr>
        <w:pStyle w:val="BodyText"/>
      </w:pPr>
      <w:r>
        <w:t xml:space="preserve">The claims table deliberately preserves the full evidential history —</w:t>
      </w:r>
      <w:r>
        <w:t xml:space="preserve"> </w:t>
      </w:r>
      <w:r>
        <w:t xml:space="preserve">C8’s null under the first seeding alongside support under the better-powered</w:t>
      </w:r>
      <w:r>
        <w:t xml:space="preserve"> </w:t>
      </w:r>
      <w:r>
        <w:t xml:space="preserve">one, the failed estimators inside C10 and C13, and the C4 honest</w:t>
      </w:r>
      <w:r>
        <w:t xml:space="preserve"> </w:t>
      </w:r>
      <w:r>
        <w:t xml:space="preserve">null. This is methodological: the claims table is the audit surface, and a</w:t>
      </w:r>
      <w:r>
        <w:t xml:space="preserve"> </w:t>
      </w:r>
      <w:r>
        <w:t xml:space="preserve">stack that reports only its successes cannot be audited.</w:t>
      </w:r>
    </w:p>
    <w:bookmarkEnd w:id="94"/>
    <w:bookmarkStart w:id="95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Trust measurement is infrastructure, and the incumbent infrastructure</w:t>
      </w:r>
      <w:r>
        <w:t xml:space="preserve"> </w:t>
      </w:r>
      <w:r>
        <w:t xml:space="preserve">centralizes custody, delays feedback, and distorts its subjects. The</w:t>
      </w:r>
      <w:r>
        <w:t xml:space="preserve"> </w:t>
      </w:r>
      <w:r>
        <w:t xml:space="preserve">Fresh Protocol specifies the alternative the theory calls for —</w:t>
      </w:r>
      <w:r>
        <w:t xml:space="preserve"> </w:t>
      </w:r>
      <w:r>
        <w:t xml:space="preserve">immediate, verifiable, user-owned validation — as a domain-agnostic</w:t>
      </w:r>
      <w:r>
        <w:t xml:space="preserve"> </w:t>
      </w:r>
      <w:r>
        <w:t xml:space="preserve">stack built from components whose individual performance is already</w:t>
      </w:r>
      <w:r>
        <w:t xml:space="preserve"> </w:t>
      </w:r>
      <w:r>
        <w:t xml:space="preserve">demonstrated. This revision has narrowed the claims to what the evidence</w:t>
      </w:r>
      <w:r>
        <w:t xml:space="preserve"> </w:t>
      </w:r>
      <w:r>
        <w:t xml:space="preserve">carries: coherence is produced by coupling and is fragile to observation</w:t>
      </w:r>
      <w:r>
        <w:t xml:space="preserve"> </w:t>
      </w:r>
      <w:r>
        <w:t xml:space="preserve">leakage at the current operating point; distribution caps blast radius</w:t>
      </w:r>
      <w:r>
        <w:t xml:space="preserve"> </w:t>
      </w:r>
      <w:r>
        <w:t xml:space="preserve">and reduces variance rather than eliminating expected loss; attestation</w:t>
      </w:r>
      <w:r>
        <w:t xml:space="preserve"> </w:t>
      </w:r>
      <w:r>
        <w:t xml:space="preserve">proves presence, and completeness is engineered through verifier policy</w:t>
      </w:r>
      <w:r>
        <w:t xml:space="preserve"> </w:t>
      </w:r>
      <w:r>
        <w:t xml:space="preserve">and counterparty co-signing rather than assumed from cryptography; the</w:t>
      </w:r>
      <w:r>
        <w:t xml:space="preserve"> </w:t>
      </w:r>
      <w:r>
        <w:t xml:space="preserve">protocol’s own measurement distorts, at a quantified floor; and the cost</w:t>
      </w:r>
      <w:r>
        <w:t xml:space="preserve"> </w:t>
      </w:r>
      <w:r>
        <w:t xml:space="preserve">advantage is a scaling form with like-for-like accounting, not a</w:t>
      </w:r>
      <w:r>
        <w:t xml:space="preserve"> </w:t>
      </w:r>
      <w:r>
        <w:t xml:space="preserve">headline multiplier. The protocol specifies no domain semantics; the</w:t>
      </w:r>
      <w:r>
        <w:t xml:space="preserve"> </w:t>
      </w:r>
      <w:r>
        <w:t xml:space="preserve">interpretation of any measured stream is assigned exclusively to</w:t>
      </w:r>
      <w:r>
        <w:t xml:space="preserve"> </w:t>
      </w:r>
      <w:r>
        <w:t xml:space="preserve">application-layer specifications.</w:t>
      </w:r>
    </w:p>
    <w:bookmarkEnd w:id="95"/>
    <w:bookmarkStart w:id="96" w:name="notes-on-the-record"/>
    <w:p>
      <w:pPr>
        <w:pStyle w:val="Heading1"/>
      </w:pPr>
      <w:r>
        <w:t xml:space="preserve">Notes on the record</w:t>
      </w:r>
    </w:p>
    <w:p>
      <w:pPr>
        <w:pStyle w:val="FirstParagraph"/>
      </w:pPr>
      <w:r>
        <w:rPr>
          <w:b/>
          <w:bCs/>
        </w:rPr>
        <w:t xml:space="preserve">Removed from the reference list:</w:t>
      </w:r>
      <w:r>
        <w:t xml:space="preserve"> </w:t>
      </w:r>
      <w:r>
        <w:t xml:space="preserve">Thomson Reuters Institute</w:t>
      </w:r>
      <w:r>
        <w:t xml:space="preserve"> </w:t>
      </w:r>
      <w:r>
        <w:t xml:space="preserve">(2023),</w:t>
      </w:r>
      <w:r>
        <w:t xml:space="preserve"> </w:t>
      </w:r>
      <w:r>
        <w:rPr>
          <w:i/>
          <w:iCs/>
        </w:rPr>
        <w:t xml:space="preserve">Trends in synthetic identity fraud</w:t>
      </w:r>
      <w:r>
        <w:t xml:space="preserve"> </w:t>
      </w:r>
      <w:r>
        <w:t xml:space="preserve">— the</w:t>
      </w:r>
      <w:r>
        <w:t xml:space="preserve"> </w:t>
      </w:r>
      <w:r>
        <w:t xml:space="preserve">“95% of</w:t>
      </w:r>
      <w:r>
        <w:t xml:space="preserve"> </w:t>
      </w:r>
      <w:r>
        <w:t xml:space="preserve">synthetic identities pass onboarding undetected”</w:t>
      </w:r>
      <w:r>
        <w:t xml:space="preserve"> </w:t>
      </w:r>
      <w:r>
        <w:t xml:space="preserve">figure attributed to</w:t>
      </w:r>
      <w:r>
        <w:t xml:space="preserve"> </w:t>
      </w:r>
      <w:r>
        <w:t xml:space="preserve">it could not be traced to any primary report, methodology, or date</w:t>
      </w:r>
      <w:r>
        <w:t xml:space="preserve"> </w:t>
      </w:r>
      <w:r>
        <w:t xml:space="preserve">(circular vendor citation); the claim is marked unverifiable in §1.1 and</w:t>
      </w:r>
      <w:r>
        <w:t xml:space="preserve"> </w:t>
      </w:r>
      <w:r>
        <w:t xml:space="preserve">replaced by the Federal Reserve white-paper series.</w:t>
      </w:r>
    </w:p>
    <w:p>
      <w:pPr>
        <w:pStyle w:val="BodyText"/>
      </w:pPr>
      <w:r>
        <w:t xml:space="preserve">Live benchmarks:</w:t>
      </w:r>
      <w:r>
        <w:t xml:space="preserve"> </w:t>
      </w:r>
      <w:r>
        <w:t xml:space="preserve">freshcredit.xyz/cost (versioned cost/speed/security comparisons —</w:t>
      </w:r>
      <w:r>
        <w:t xml:space="preserve"> </w:t>
      </w:r>
      <w:r>
        <w:t xml:space="preserve">supplementary tool; the print figures of §5.2 are canonical for this</w:t>
      </w:r>
      <w:r>
        <w:t xml:space="preserve"> </w:t>
      </w:r>
      <w:r>
        <w:t xml:space="preserve">paper’s claims). Simulated results are labeled as such wherever they</w:t>
      </w:r>
      <w:r>
        <w:t xml:space="preserve"> </w:t>
      </w:r>
      <w:r>
        <w:t xml:space="preserve">appear; no production performance is claimed.</w:t>
      </w:r>
    </w:p>
    <w:p>
      <w:pPr>
        <w:pStyle w:val="BodyText"/>
      </w:pPr>
      <w:r>
        <w:rPr>
          <w:b/>
          <w:bCs/>
        </w:rPr>
        <w:t xml:space="preserve">Epistemic labels used in this paper:</w:t>
      </w:r>
      <w:r>
        <w:t xml:space="preserve"> </w:t>
      </w:r>
      <w:r>
        <w:t xml:space="preserve">[</w:t>
      </w:r>
      <w:r>
        <w:t xml:space="preserve">DERIVED</w:t>
      </w:r>
      <w:r>
        <w:t xml:space="preserve">]</w:t>
      </w:r>
      <w:r>
        <w:t xml:space="preserve"> </w:t>
      </w:r>
      <w:r>
        <w:t xml:space="preserve">(follows</w:t>
      </w:r>
      <w:r>
        <w:t xml:space="preserve"> </w:t>
      </w:r>
      <w:r>
        <w:t xml:space="preserve">from stated assumptions),</w:t>
      </w:r>
      <w:r>
        <w:t xml:space="preserve"> </w:t>
      </w:r>
      <w:r>
        <w:t xml:space="preserve">[</w:t>
      </w:r>
      <w:r>
        <w:t xml:space="preserve">STANDARD</w:t>
      </w:r>
      <w:r>
        <w:t xml:space="preserve">]</w:t>
      </w:r>
      <w:r>
        <w:t xml:space="preserve"> </w:t>
      </w:r>
      <w:r>
        <w:t xml:space="preserve">(textbook results derived for</w:t>
      </w:r>
      <w:r>
        <w:t xml:space="preserve"> </w:t>
      </w:r>
      <w:r>
        <w:t xml:space="preserve">self-containment),</w:t>
      </w:r>
      <w:r>
        <w:t xml:space="preserve"> </w:t>
      </w:r>
      <w:r>
        <w:t xml:space="preserve">[</w:t>
      </w:r>
      <w:r>
        <w:t xml:space="preserve">ANALOGY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HOMOLOGY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EMPIRICAL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HYPOTHESIS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t xml:space="preserve">SIMULATION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Competing interests:</w:t>
      </w:r>
      <w:r>
        <w:t xml:space="preserve"> </w:t>
      </w:r>
      <w:r>
        <w:t xml:space="preserve">D.S. is the founder and a beneficiary of FreshCredit Inc. and the</w:t>
      </w:r>
      <w:r>
        <w:t xml:space="preserve"> </w:t>
      </w:r>
      <w:r>
        <w:t xml:space="preserve">founder of The FreshCredit Lab. FreshCredit Inc holds granted US utility</w:t>
      </w:r>
      <w:r>
        <w:t xml:space="preserve"> </w:t>
      </w:r>
      <w:r>
        <w:t xml:space="preserve">patents covering methods in three commercial verticals (finance,</w:t>
      </w:r>
      <w:r>
        <w:t xml:space="preserve"> </w:t>
      </w:r>
      <w:r>
        <w:t xml:space="preserve">commerce, and insurance): US 12,236,480 B2; US 12,293,410 B2; US</w:t>
      </w:r>
      <w:r>
        <w:t xml:space="preserve"> </w:t>
      </w:r>
      <w:r>
        <w:t xml:space="preserve">12,307,515 B2; US 12,293,411 B2 (grant statuses per public records;</w:t>
      </w:r>
      <w:r>
        <w:t xml:space="preserve"> </w:t>
      </w:r>
      <w:r>
        <w:t xml:space="preserve">recorded assignment to FreshCredit, April 4, 2025); the</w:t>
      </w:r>
      <w:r>
        <w:t xml:space="preserve"> </w:t>
      </w:r>
      <w:r>
        <w:t xml:space="preserve">underlying protocol is otherwise open. The patents list Devon Shigaki as</w:t>
      </w:r>
      <w:r>
        <w:t xml:space="preserve"> </w:t>
      </w:r>
      <w:r>
        <w:t xml:space="preserve">inventor/applicant. The theoretical results and the</w:t>
      </w:r>
      <w:r>
        <w:t xml:space="preserve"> </w:t>
      </w:r>
      <w:r>
        <w:t xml:space="preserve">patented methods overlap in composition; the author discloses this</w:t>
      </w:r>
      <w:r>
        <w:t xml:space="preserve"> </w:t>
      </w:r>
      <w:r>
        <w:t xml:space="preserve">overlap explicitly.</w:t>
      </w:r>
    </w:p>
    <w:p>
      <w:pPr>
        <w:pStyle w:val="BodyText"/>
      </w:pPr>
      <w:r>
        <w:rPr>
          <w:b/>
          <w:bCs/>
        </w:rPr>
        <w:t xml:space="preserve">Acknowledgments:</w:t>
      </w:r>
      <w:r>
        <w:t xml:space="preserve"> </w:t>
      </w:r>
      <w:r>
        <w:t xml:space="preserve">AI assistants (Kimi K3, Moonshot AI; Claude</w:t>
      </w:r>
      <w:r>
        <w:t xml:space="preserve"> </w:t>
      </w:r>
      <w:r>
        <w:t xml:space="preserve">Fable 5, Anthropic) contributed to validation, adversarial</w:t>
      </w:r>
      <w:r>
        <w:t xml:space="preserve"> </w:t>
      </w:r>
      <w:r>
        <w:t xml:space="preserve">review, and simulation code. All original ideas, claims, and conclusions are</w:t>
      </w:r>
      <w:r>
        <w:t xml:space="preserve"> </w:t>
      </w:r>
      <w:r>
        <w:t xml:space="preserve">the author’s own.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Simulation code, seeds, figures, and pre-registration documents are deposited at OSF (DOI: [insert]). The Supporting Document and Technical Appendix are in preparation (see collection index); until they are deposited, the frozen-criteria and protocol claims that cite them are self-attested. Benchmark figures cited in print are frozen snapshots; the</w:t>
      </w:r>
      <w:r>
        <w:t xml:space="preserve"> </w:t>
      </w:r>
      <w:r>
        <w:t xml:space="preserve">live calculator at freshcredit.xyz/cost is a supplementary tool, not a</w:t>
      </w:r>
      <w:r>
        <w:t xml:space="preserve"> </w:t>
      </w:r>
      <w:r>
        <w:t xml:space="preserve">reference.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none received; independent research.</w:t>
      </w:r>
      <w:r>
        <w:t xml:space="preserve"> </w:t>
      </w:r>
      <w:r>
        <w:rPr>
          <w:b/>
          <w:bCs/>
        </w:rPr>
        <w:t xml:space="preserve">Author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contributions:</w:t>
      </w:r>
      <w:r>
        <w:t xml:space="preserve"> </w:t>
      </w:r>
      <w:r>
        <w:t xml:space="preserve">D.S. is the sole author and is responsible for all</w:t>
      </w:r>
      <w:r>
        <w:t xml:space="preserve"> </w:t>
      </w:r>
      <w:r>
        <w:t xml:space="preserve">content.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48" Target="media/rId48.png" /><Relationship Type="http://schemas.openxmlformats.org/officeDocument/2006/relationships/image" Id="rId61" Target="media/rId61.png" /><Relationship Type="http://schemas.openxmlformats.org/officeDocument/2006/relationships/image" Id="rId57" Target="media/rId57.png" /><Relationship Type="http://schemas.openxmlformats.org/officeDocument/2006/relationships/image" Id="rId52" Target="media/rId52.png" /><Relationship Type="http://schemas.openxmlformats.org/officeDocument/2006/relationships/image" Id="rId80" Target="media/rId80.png" /><Relationship Type="http://schemas.openxmlformats.org/officeDocument/2006/relationships/image" Id="rId76" Target="media/rId76.png" /><Relationship Type="http://schemas.openxmlformats.org/officeDocument/2006/relationships/image" Id="rId71" Target="media/rId71.png" /><Relationship Type="http://schemas.openxmlformats.org/officeDocument/2006/relationships/image" Id="rId86" Target="media/rId86.png" /><Relationship Type="http://schemas.openxmlformats.org/officeDocument/2006/relationships/image" Id="rId28" Target="media/rId28.png" /><Relationship Type="http://schemas.openxmlformats.org/officeDocument/2006/relationships/image" Id="rId66" Target="media/rId66.png" /><Relationship Type="http://schemas.openxmlformats.org/officeDocument/2006/relationships/image" Id="rId22" Target="media/rId22.png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Fresh Protocol: A Decentralized Architecture for Trust Measurement and Validation</dc:title>
  <dc:creator>Devon Shigaki (ORCID: 0009-0003-8977-8010) The FreshCredit Lab — Independent Research Correspondence: freshcredit.xyz</dc:creator>
  <cp:keywords/>
  <dcterms:created xsi:type="dcterms:W3CDTF">2026-10-21T03:45:28Z</dcterms:created>
  <dcterms:modified xsi:type="dcterms:W3CDTF">2026-10-21T03:45:28Z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>Version 4.0 — October 2026</vt:lpwstr>
  </property>
</Properties>
</file>