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7" w:lineRule="auto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7" w:lineRule="auto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программной инженерии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31" w:lineRule="auto"/>
        <w:rPr/>
      </w:pP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73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Лабораторная работа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73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 «Основы алгоритмизации и программирования»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73" w:lineRule="auto"/>
        <w:ind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Отладка программ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7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7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7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7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73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73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1 курса 9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73" w:lineRule="auto"/>
        <w:jc w:val="right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Добринец Максим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 асс. Андронова М.В.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Минск, 2023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интерактивной отладки Шаг с обходом. Вызвать окно Контрольное значение 1, поместить туда имена переменных и проконтролировать их значения в процессе выполнения программы. В отчете представить результаты в окне Отладчика (окно Видимые и окно Контрольное значение 1). Для той же программы представить результаты в окнах Отладчика для интерактивной отладки Шаг с заходом.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111875" cy="309499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09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2933700" cy="151892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1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021013" cy="15240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01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919095" cy="157607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7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897188" cy="1571625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188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009900" cy="1395095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9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995295" cy="141414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41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131560" cy="824865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82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5: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7: </w:t>
      </w:r>
      <w:r w:rsidDel="00000000" w:rsidR="00000000" w:rsidRPr="00000000">
        <w:rPr>
          <w:sz w:val="28"/>
          <w:szCs w:val="28"/>
          <w:rtl w:val="0"/>
        </w:rPr>
        <w:t xml:space="preserve">Построить первые N натуральных чисел, делителями которых являются только числа 2, 3 и 5.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938520" cy="4048125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233420" cy="709295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70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971800" cy="14859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962275" cy="145732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966720" cy="1299845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29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009900" cy="1323975"/>
            <wp:effectExtent b="0" l="0" r="0" t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962275" cy="1381125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976245" cy="1376045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37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Доп. Задания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</w:t>
      </w:r>
      <w:r w:rsidDel="00000000" w:rsidR="00000000" w:rsidRPr="00000000">
        <w:rPr>
          <w:sz w:val="28"/>
          <w:szCs w:val="28"/>
          <w:rtl w:val="0"/>
        </w:rPr>
        <w:t xml:space="preserve"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 к. 121=11 ∙ 11, а 11 – простое число) 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867400" cy="2614295"/>
            <wp:effectExtent b="0" l="0" r="0" t="0"/>
            <wp:docPr id="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1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123940" cy="589280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8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</w:t>
      </w:r>
      <w:r w:rsidDel="00000000" w:rsidR="00000000" w:rsidRPr="00000000">
        <w:rPr>
          <w:sz w:val="28"/>
          <w:szCs w:val="28"/>
          <w:rtl w:val="0"/>
        </w:rPr>
        <w:t xml:space="preserve">Составить алгоритм, определяющий, сколько существует способов набора одного рубля при помощи монет достоинством 50 коп., 20 коп., 5 коп. и 2 коп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119495" cy="3924300"/>
            <wp:effectExtent b="0" l="0" r="0" t="0"/>
            <wp:docPr id="4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113780" cy="720090"/>
            <wp:effectExtent b="0" l="0" r="0" t="0"/>
            <wp:docPr id="4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72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  <w:r w:rsidDel="00000000" w:rsidR="00000000" w:rsidRPr="00000000">
        <w:rPr>
          <w:sz w:val="28"/>
          <w:szCs w:val="28"/>
          <w:rtl w:val="0"/>
        </w:rPr>
        <w:t xml:space="preserve">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 д. Сколько воды окажется в обоих сосудах после 12 переливаний?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116955" cy="2430780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43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113780" cy="940435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4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3" w:top="1133" w:left="170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.0" w:type="dxa"/>
        <w:left w:w="108.0" w:type="dxa"/>
        <w:bottom w:w="0.0" w:type="dxa"/>
        <w:right w:w="108.0" w:type="dxa"/>
      </w:tblCellMar>
    </w:tblPr>
    <w:trPr/>
    <w:tcPr/>
  </w:style>
  <w:style w:type="table" w:styleId="T1">
    <w:name w:val="Table Simple 1"/>
    <w:basedOn w:val="T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rPr/>
    <w:tc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2.png"/><Relationship Id="rId25" Type="http://schemas.openxmlformats.org/officeDocument/2006/relationships/image" Target="media/image19.png"/><Relationship Id="rId28" Type="http://schemas.openxmlformats.org/officeDocument/2006/relationships/image" Target="media/image10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19" Type="http://schemas.openxmlformats.org/officeDocument/2006/relationships/image" Target="media/image1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4hgz2d+WKp5FnRI1Ru8mSwBHQ==">CgMxLjAyCGguZ2pkZ3hzOAByITFEeU5EUEFyWGtZRk1oc21hOGNFVDhqMlUyWHJCbWp1dw==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