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97884"/>
          <w:sz w:val="16"/>
        </w:rPr>
        <w:t>CONTOSO GROUP  |  MOCK TRAINING DATA ONLY</w:t>
      </w:r>
    </w:p>
    <w:p>
      <w:pPr>
        <w:pStyle w:val="Title"/>
      </w:pPr>
      <w:r>
        <w:rPr>
          <w:color w:val="0B3D2E"/>
        </w:rPr>
        <w:t>Vendor Contract Review Notes</w:t>
      </w:r>
    </w:p>
    <w:p>
      <w:r>
        <w:rPr>
          <w:i/>
          <w:color w:val="697884"/>
          <w:sz w:val="22"/>
        </w:rPr>
        <w:t>Legal &amp; Compliance  |  Master Services Agreement - CloudWorks / Fabrikam data vendor</w:t>
      </w:r>
    </w:p>
    <w:p>
      <w:pPr>
        <w:pStyle w:val="Heading1"/>
      </w:pPr>
      <w:r>
        <w:rPr>
          <w:color w:val="0B3D2E"/>
        </w:rPr>
        <w:t>Summary</w:t>
      </w:r>
    </w:p>
    <w:p>
      <w:r>
        <w:t>These mock notes capture a first-pass review of a draft Master Services Agreement (MSA) between Contoso CloudWorks and a third-party data-enrichment vendor. Notes are indicative only and are not legal advice.</w:t>
      </w:r>
    </w:p>
    <w:p>
      <w:pPr>
        <w:pStyle w:val="Heading1"/>
      </w:pPr>
      <w:r>
        <w:rPr>
          <w:color w:val="0B3D2E"/>
        </w:rPr>
        <w:t>Key issues identified</w:t>
      </w:r>
    </w:p>
    <w:p>
      <w:pPr>
        <w:pStyle w:val="ListBullet"/>
      </w:pPr>
      <w:r>
        <w:t>Liability cap is set at 3 months of fees; Legal recommends 12 months given the data-processing scope.</w:t>
      </w:r>
    </w:p>
    <w:p>
      <w:pPr>
        <w:pStyle w:val="ListBullet"/>
      </w:pPr>
      <w:r>
        <w:t>Data-processing addendum does not name sub-processors; a sub-processor list and change-notice clause are required.</w:t>
      </w:r>
    </w:p>
    <w:p>
      <w:pPr>
        <w:pStyle w:val="ListBullet"/>
      </w:pPr>
      <w:r>
        <w:t>Termination-for-convenience notice is 90 days; Procurement prefers 30 days for a pilot term.</w:t>
      </w:r>
    </w:p>
    <w:p>
      <w:pPr>
        <w:pStyle w:val="ListBullet"/>
      </w:pPr>
      <w:r>
        <w:t>Governing law is left blank; standardize to the vendor-region template unless a business reason applies.</w:t>
      </w:r>
    </w:p>
    <w:p>
      <w:pPr>
        <w:pStyle w:val="ListBullet"/>
      </w:pPr>
      <w:r>
        <w:t>Auto-renewal is 24 months; reduce to 12 months with a 60-day opt-out window.</w:t>
      </w:r>
    </w:p>
    <w:p>
      <w:pPr>
        <w:pStyle w:val="Heading1"/>
      </w:pPr>
      <w:r>
        <w:rPr>
          <w:color w:val="0B3D2E"/>
        </w:rPr>
        <w:t>Risk ratings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Recommended position</w:t>
            </w:r>
          </w:p>
        </w:tc>
      </w:tr>
      <w:tr>
        <w:tc>
          <w:tcPr>
            <w:tcW w:type="dxa" w:w="2880"/>
          </w:tcPr>
          <w:p>
            <w:r>
              <w:t>Liability cap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Increase cap to 12 months of fees</w:t>
            </w:r>
          </w:p>
        </w:tc>
      </w:tr>
      <w:tr>
        <w:tc>
          <w:tcPr>
            <w:tcW w:type="dxa" w:w="2880"/>
          </w:tcPr>
          <w:p>
            <w:r>
              <w:t>Sub-processor transparency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named list + 30-day change notice</w:t>
            </w:r>
          </w:p>
        </w:tc>
      </w:tr>
      <w:tr>
        <w:tc>
          <w:tcPr>
            <w:tcW w:type="dxa" w:w="2880"/>
          </w:tcPr>
          <w:p>
            <w:r>
              <w:t>Termination notice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Reduce to 30 days for pilot</w:t>
            </w:r>
          </w:p>
        </w:tc>
      </w:tr>
      <w:tr>
        <w:tc>
          <w:tcPr>
            <w:tcW w:type="dxa" w:w="2880"/>
          </w:tcPr>
          <w:p>
            <w:r>
              <w:t>Auto-renewal term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12 months with 60-day opt-out</w:t>
            </w:r>
          </w:p>
        </w:tc>
      </w:tr>
      <w:tr>
        <w:tc>
          <w:tcPr>
            <w:tcW w:type="dxa" w:w="2880"/>
          </w:tcPr>
          <w:p>
            <w:r>
              <w:t>Governing law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Apply standard regional template</w:t>
            </w:r>
          </w:p>
        </w:tc>
      </w:tr>
    </w:tbl>
    <w:p>
      <w:pPr>
        <w:pStyle w:val="Heading1"/>
      </w:pPr>
      <w:r>
        <w:rPr>
          <w:color w:val="0B3D2E"/>
        </w:rPr>
        <w:t>Open questions</w:t>
      </w:r>
    </w:p>
    <w:p>
      <w:pPr>
        <w:pStyle w:val="ListBullet"/>
      </w:pPr>
      <w:r>
        <w:t>Does the vendor process any special-category or health-adjacent data for Contoso HealthCare?</w:t>
      </w:r>
    </w:p>
    <w:p>
      <w:pPr>
        <w:pStyle w:val="ListBullet"/>
      </w:pPr>
      <w:r>
        <w:t>Is a security assessment on file, or is one required before signature?</w:t>
      </w:r>
    </w:p>
    <w:p/>
    <w:p>
      <w:r>
        <w:rPr>
          <w:i/>
          <w:color w:val="697884"/>
          <w:sz w:val="16"/>
        </w:rPr>
        <w:t>Synthetic training material. No real Contoso Group confidential, personal, financial, or customer data is included. Verify all Copilot outputs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Tsui</dc:creator>
  <keywords/>
  <dc:description>generated by python-docx</dc:description>
  <lastModifiedBy>Wilson Tsui</lastModifiedBy>
  <revision>1</revision>
  <dcterms:created xsi:type="dcterms:W3CDTF">2026-08-24T09:29:44.7846749Z</dcterms:created>
  <dcterms:modified xsi:type="dcterms:W3CDTF">2026-08-24T09:29:44.7846749Z</dcterms:modified>
  <category/>
</coreProperties>
</file>