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Project Charter: Unified Customer View</w:t>
      </w:r>
    </w:p>
    <w:p>
      <w:r>
        <w:rPr>
          <w:i/>
          <w:color w:val="697884"/>
          <w:sz w:val="22"/>
        </w:rPr>
        <w:t>Cross-functional  |  Sponsored by Group Operations, Sales, Marketing, IT</w:t>
      </w:r>
    </w:p>
    <w:p>
      <w:pPr>
        <w:pStyle w:val="Heading1"/>
      </w:pPr>
      <w:r>
        <w:rPr>
          <w:color w:val="0B3D2E"/>
        </w:rPr>
        <w:t>Purpose</w:t>
      </w:r>
    </w:p>
    <w:p>
      <w:r>
        <w:t>The Unified Customer View (UCV) mock programme aims to give every Contoso Group business unit a single, consented view of customer interactions across sales, service, and marketing, improving personalization while respecting privacy rules that differ by industry.</w:t>
      </w:r>
    </w:p>
    <w:p>
      <w:pPr>
        <w:pStyle w:val="Heading1"/>
      </w:pPr>
      <w:r>
        <w:rPr>
          <w:color w:val="0B3D2E"/>
        </w:rPr>
        <w:t>Business problem</w:t>
      </w:r>
    </w:p>
    <w:p>
      <w:r>
        <w:t>Customer data is fragmented across business units and tools. Sales, Marketing, and Customer Service each hold partial records, causing duplicate outreach, inconsistent service, and weak reporting for leadership.</w:t>
      </w:r>
    </w:p>
    <w:p>
      <w:pPr>
        <w:pStyle w:val="Heading1"/>
      </w:pPr>
      <w:r>
        <w:rPr>
          <w:color w:val="0B3D2E"/>
        </w:rPr>
        <w:t>Objectives</w:t>
      </w:r>
    </w:p>
    <w:p>
      <w:pPr>
        <w:pStyle w:val="ListBullet"/>
      </w:pPr>
      <w:r>
        <w:t>Establish a consented, governed customer profile shared across business units.</w:t>
      </w:r>
    </w:p>
    <w:p>
      <w:pPr>
        <w:pStyle w:val="ListBullet"/>
      </w:pPr>
      <w:r>
        <w:t>Reduce duplicate outreach by 40%.</w:t>
      </w:r>
    </w:p>
    <w:p>
      <w:pPr>
        <w:pStyle w:val="ListBullet"/>
      </w:pPr>
      <w:r>
        <w:t>Cut average handling time in Customer Service by 15%.</w:t>
      </w:r>
    </w:p>
    <w:p>
      <w:pPr>
        <w:pStyle w:val="ListBullet"/>
      </w:pPr>
      <w:r>
        <w:t>Provide a leadership dashboard combining sales, service, and marketing signals.</w:t>
      </w:r>
    </w:p>
    <w:p>
      <w:pPr>
        <w:pStyle w:val="Heading1"/>
      </w:pPr>
      <w:r>
        <w:rPr>
          <w:color w:val="0B3D2E"/>
        </w:rPr>
        <w:t>Scope and deliverables</w:t>
      </w:r>
    </w:p>
    <w:p>
      <w:pPr>
        <w:pStyle w:val="ListBullet"/>
      </w:pPr>
      <w:r>
        <w:t>Data model and consent framework across the six business units.</w:t>
      </w:r>
    </w:p>
    <w:p>
      <w:pPr>
        <w:pStyle w:val="ListBullet"/>
      </w:pPr>
      <w:r>
        <w:t>Integration with Sales pipeline, Support tickets, and Marketing campaign systems.</w:t>
      </w:r>
    </w:p>
    <w:p>
      <w:pPr>
        <w:pStyle w:val="ListBullet"/>
      </w:pPr>
      <w:r>
        <w:t>Role-based access aligned to HealthCare and Financial regulatory requirements.</w:t>
      </w:r>
    </w:p>
    <w:p>
      <w:pPr>
        <w:pStyle w:val="ListBullet"/>
      </w:pPr>
      <w:r>
        <w:t>Executive dashboard and a knowledge agent for frontline staff.</w:t>
      </w:r>
    </w:p>
    <w:p>
      <w:pPr>
        <w:pStyle w:val="Heading1"/>
      </w:pPr>
      <w:r>
        <w:rPr>
          <w:color w:val="0B3D2E"/>
        </w:rPr>
        <w:t>Top risks</w:t>
      </w:r>
    </w:p>
    <w:p>
      <w:pPr>
        <w:pStyle w:val="ListBullet"/>
      </w:pPr>
      <w:r>
        <w:t>Differing privacy rules across industries may block a single shared schema.</w:t>
      </w:r>
    </w:p>
    <w:p>
      <w:pPr>
        <w:pStyle w:val="ListBullet"/>
      </w:pPr>
      <w:r>
        <w:t>Data quality in legacy systems is inconsistent.</w:t>
      </w:r>
    </w:p>
    <w:p>
      <w:pPr>
        <w:pStyle w:val="ListBullet"/>
      </w:pPr>
      <w:r>
        <w:t>Change fatigue across eight departments could slow adoption.</w:t>
      </w:r>
    </w:p>
    <w:p>
      <w:pPr>
        <w:pStyle w:val="ListBullet"/>
      </w:pPr>
      <w:r>
        <w:t>Regulatory approval in HealthCare and Financial may extend the timeline.</w:t>
      </w:r>
    </w:p>
    <w:p>
      <w:pPr>
        <w:pStyle w:val="Heading1"/>
      </w:pPr>
      <w:r>
        <w:rPr>
          <w:color w:val="0B3D2E"/>
        </w:rPr>
        <w:t>Decisions required</w:t>
      </w:r>
    </w:p>
    <w:p>
      <w:pPr>
        <w:pStyle w:val="ListBullet"/>
      </w:pPr>
      <w:r>
        <w:t>Confirm the data-owner for the shared customer schema.</w:t>
      </w:r>
    </w:p>
    <w:p>
      <w:pPr>
        <w:pStyle w:val="ListBullet"/>
      </w:pPr>
      <w:r>
        <w:t>Approve the consent framework before any integration work begins.</w:t>
      </w:r>
    </w:p>
    <w:p>
      <w:pPr>
        <w:pStyle w:val="ListBullet"/>
      </w:pPr>
      <w:r>
        <w:t>Agree the first two business units for the pilot.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2026-08-24T09:29:47.2477605Z</dcterms:created>
  <dcterms:modified xsi:type="dcterms:W3CDTF">2026-08-24T09:29:47.2477605Z</dcterms:modified>
  <category/>
</coreProperties>
</file>