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D99D863" wp14:textId="77777777">
      <w:pPr>
        <w:jc w:val="center"/>
      </w:pPr>
      <w:r>
        <w:rPr>
          <w:b/>
          <w:color w:val="0B3D2E"/>
          <w:sz w:val="48"/>
        </w:rPr>
        <w:t>Procurement Contract Review Notes</w:t>
      </w:r>
    </w:p>
    <w:p xmlns:wp14="http://schemas.microsoft.com/office/word/2010/wordml" w14:paraId="1CF92EC9" wp14:textId="77777777">
      <w:pPr>
        <w:jc w:val="center"/>
      </w:pPr>
      <w:r>
        <w:rPr>
          <w:color w:val="1F2933"/>
          <w:sz w:val="24"/>
        </w:rPr>
        <w:t>Source file for contract-risk extraction, table creation, supplier communication drafting and governance exercises.</w:t>
      </w:r>
    </w:p>
    <w:p xmlns:wp14="http://schemas.microsoft.com/office/word/2010/wordml" w14:paraId="672A6659" wp14:textId="77777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:rsidTr="32C30D1A" w14:paraId="3E9FB99B" wp14:textId="77777777">
        <w:tc>
          <w:tcPr>
            <w:tcW w:w="5184" w:type="dxa"/>
            <w:shd w:val="clear" w:color="auto" w:fill="0B3D2E"/>
            <w:tcMar/>
            <w:vAlign w:val="center"/>
            <w:shd w:fill="0B3D2E"/>
          </w:tcPr>
          <w:p w14:paraId="65A84D9C" wp14:textId="77777777">
            <w:r/>
            <w:r>
              <w:rPr>
                <w:b/>
                <w:color w:val="FFFFFF"/>
                <w:sz w:val="18"/>
              </w:rPr>
              <w:t>Document code</w:t>
            </w:r>
          </w:p>
        </w:tc>
        <w:tc>
          <w:tcPr>
            <w:tcW w:w="5184" w:type="dxa"/>
            <w:tcMar/>
            <w:vAlign w:val="center"/>
          </w:tcPr>
          <w:p w14:paraId="2FA47788" wp14:textId="77777777">
            <w:r/>
            <w:r>
              <w:rPr>
                <w:b w:val="0"/>
                <w:color w:val="000000"/>
                <w:sz w:val="18"/>
              </w:rPr>
              <w:t>WORD-03</w:t>
            </w:r>
          </w:p>
        </w:tc>
      </w:tr>
      <w:tr xmlns:wp14="http://schemas.microsoft.com/office/word/2010/wordml" w:rsidTr="32C30D1A" w14:paraId="7C619E0E" wp14:textId="77777777">
        <w:tc>
          <w:tcPr>
            <w:tcW w:w="5184" w:type="dxa"/>
            <w:shd w:val="clear" w:color="auto" w:fill="0B3D2E"/>
            <w:tcMar/>
            <w:vAlign w:val="center"/>
            <w:shd w:fill="0B3D2E"/>
          </w:tcPr>
          <w:p w14:paraId="1B0A7499" wp14:textId="77777777"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5184" w:type="dxa"/>
            <w:tcMar/>
            <w:vAlign w:val="center"/>
          </w:tcPr>
          <w:p w14:paraId="5E47CDBE" wp14:textId="77777777">
            <w:r/>
            <w:r>
              <w:rPr>
                <w:b w:val="0"/>
                <w:color w:val="000000"/>
                <w:sz w:val="18"/>
              </w:rPr>
              <w:t>Copilot for Microsoft 365 training participants</w:t>
            </w:r>
          </w:p>
        </w:tc>
      </w:tr>
      <w:tr xmlns:wp14="http://schemas.microsoft.com/office/word/2010/wordml" w:rsidTr="32C30D1A" w14:paraId="5E5A8A69" wp14:textId="77777777">
        <w:tc>
          <w:tcPr>
            <w:tcW w:w="5184" w:type="dxa"/>
            <w:shd w:val="clear" w:color="auto" w:fill="0B3D2E"/>
            <w:tcMar/>
            <w:vAlign w:val="center"/>
            <w:shd w:fill="0B3D2E"/>
          </w:tcPr>
          <w:p w14:paraId="730FDE5E" wp14:textId="77777777"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5184" w:type="dxa"/>
            <w:tcMar/>
            <w:vAlign w:val="center"/>
          </w:tcPr>
          <w:p w14:paraId="06BA0172" wp14:textId="77777777">
            <w:r/>
            <w:r>
              <w:rPr>
                <w:b w:val="0"/>
                <w:color w:val="000000"/>
                <w:sz w:val="18"/>
              </w:rPr>
              <w:t>Energy operations, Malaysia business context</w:t>
            </w:r>
          </w:p>
        </w:tc>
      </w:tr>
      <w:tr xmlns:wp14="http://schemas.microsoft.com/office/word/2010/wordml" w:rsidTr="32C30D1A" w14:paraId="71AD1ACA" wp14:textId="77777777">
        <w:tc>
          <w:tcPr>
            <w:tcW w:w="5184" w:type="dxa"/>
            <w:shd w:val="clear" w:color="auto" w:fill="0B3D2E"/>
            <w:tcMar/>
            <w:vAlign w:val="center"/>
            <w:shd w:fill="0B3D2E"/>
          </w:tcPr>
          <w:p w14:paraId="58391D2D" wp14:textId="77777777">
            <w:r/>
            <w:r>
              <w:rPr>
                <w:b/>
                <w:color w:val="FFFFFF"/>
                <w:sz w:val="18"/>
              </w:rPr>
              <w:t>Data status</w:t>
            </w:r>
          </w:p>
        </w:tc>
        <w:tc>
          <w:tcPr>
            <w:tcW w:w="5184" w:type="dxa"/>
            <w:tcMar/>
            <w:vAlign w:val="center"/>
          </w:tcPr>
          <w:p w14:paraId="04939394" wp14:textId="77777777">
            <w:r/>
            <w:r>
              <w:rPr>
                <w:b w:val="0"/>
                <w:color w:val="000000"/>
                <w:sz w:val="18"/>
              </w:rPr>
              <w:t>Synthetic mock content for class exercises</w:t>
            </w:r>
          </w:p>
        </w:tc>
      </w:tr>
    </w:tbl>
    <w:p w:rsidR="32C30D1A" w:rsidP="32C30D1A" w:rsidRDefault="32C30D1A" w14:paraId="65814F44" w14:textId="43E6ACF5">
      <w:pPr>
        <w:pStyle w:val="Normal"/>
      </w:pPr>
      <w:r w:rsidR="32C30D1A">
        <w:rPr/>
        <w:t>Synthetic training data only. No real Contoso Energy confidential information, logos, contracts, financials, employee records, or production data are included.</w:t>
      </w:r>
    </w:p>
    <w:p xmlns:wp14="http://schemas.microsoft.com/office/word/2010/wordml" w14:paraId="66D62F71" wp14:textId="77777777">
      <w:pPr>
        <w:pStyle w:val="Heading1"/>
      </w:pPr>
      <w:r>
        <w:t>Scenario Background</w:t>
      </w:r>
    </w:p>
    <w:p xmlns:wp14="http://schemas.microsoft.com/office/word/2010/wordml" w14:paraId="5261C84E" wp14:textId="77777777">
      <w:r>
        <w:t>ArcLight Services Sdn. Bhd. is a fictional supplier used only for training. The mock contract covers maintenance analytics support for a demonstration energy operations programme.</w:t>
      </w:r>
    </w:p>
    <w:p xmlns:wp14="http://schemas.microsoft.com/office/word/2010/wordml" w14:paraId="586C9ABD" wp14:textId="77777777">
      <w:pPr>
        <w:pStyle w:val="Heading1"/>
      </w:pPr>
      <w:r>
        <w:t>Commercial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0F8C1C41" wp14:textId="77777777">
        <w:tc>
          <w:tcPr>
            <w:tcW w:w="3456" w:type="dxa"/>
            <w:vAlign w:val="center"/>
            <w:shd w:fill="0B3D2E"/>
          </w:tcPr>
          <w:p w14:paraId="0204C76A" wp14:textId="77777777">
            <w:r/>
            <w:r>
              <w:rPr>
                <w:b/>
                <w:color w:val="FFFFFF"/>
                <w:sz w:val="18"/>
              </w:rPr>
              <w:t>Clause Area</w:t>
            </w:r>
          </w:p>
        </w:tc>
        <w:tc>
          <w:tcPr>
            <w:tcW w:w="3456" w:type="dxa"/>
            <w:vAlign w:val="center"/>
            <w:shd w:fill="0B3D2E"/>
          </w:tcPr>
          <w:p w14:paraId="112B8D3A" wp14:textId="77777777">
            <w:r/>
            <w:r>
              <w:rPr>
                <w:b/>
                <w:color w:val="FFFFFF"/>
                <w:sz w:val="18"/>
              </w:rPr>
              <w:t>Mock Term</w:t>
            </w:r>
          </w:p>
        </w:tc>
        <w:tc>
          <w:tcPr>
            <w:tcW w:w="3456" w:type="dxa"/>
            <w:vAlign w:val="center"/>
            <w:shd w:fill="0B3D2E"/>
          </w:tcPr>
          <w:p w14:paraId="66E1775C" wp14:textId="77777777">
            <w:r/>
            <w:r>
              <w:rPr>
                <w:b/>
                <w:color w:val="FFFFFF"/>
                <w:sz w:val="18"/>
              </w:rPr>
              <w:t>Review Concern</w:t>
            </w:r>
          </w:p>
        </w:tc>
      </w:tr>
      <w:tr xmlns:wp14="http://schemas.microsoft.com/office/word/2010/wordml" w14:paraId="381C0AAC" wp14:textId="77777777">
        <w:tc>
          <w:tcPr>
            <w:tcW w:w="3456" w:type="dxa"/>
            <w:vAlign w:val="center"/>
            <w:shd w:fill="EAF7F1"/>
          </w:tcPr>
          <w:p w14:paraId="237DF444" wp14:textId="77777777">
            <w:r/>
            <w:r>
              <w:rPr>
                <w:b w:val="0"/>
                <w:color w:val="000000"/>
                <w:sz w:val="18"/>
              </w:rPr>
              <w:t>Service scope</w:t>
            </w:r>
          </w:p>
        </w:tc>
        <w:tc>
          <w:tcPr>
            <w:tcW w:w="3456" w:type="dxa"/>
            <w:vAlign w:val="center"/>
          </w:tcPr>
          <w:p w14:paraId="5FBF40DD" wp14:textId="77777777">
            <w:r/>
            <w:r>
              <w:rPr>
                <w:b w:val="0"/>
                <w:color w:val="000000"/>
                <w:sz w:val="18"/>
              </w:rPr>
              <w:t>Analytics support and monthly performance reporting</w:t>
            </w:r>
          </w:p>
        </w:tc>
        <w:tc>
          <w:tcPr>
            <w:tcW w:w="3456" w:type="dxa"/>
            <w:vAlign w:val="center"/>
          </w:tcPr>
          <w:p w14:paraId="26A7CFEB" wp14:textId="77777777">
            <w:r/>
            <w:r>
              <w:rPr>
                <w:b w:val="0"/>
                <w:color w:val="000000"/>
                <w:sz w:val="18"/>
              </w:rPr>
              <w:t>Scope may not define emergency requests clearly</w:t>
            </w:r>
          </w:p>
        </w:tc>
      </w:tr>
      <w:tr xmlns:wp14="http://schemas.microsoft.com/office/word/2010/wordml" w14:paraId="7439D5AE" wp14:textId="77777777">
        <w:tc>
          <w:tcPr>
            <w:tcW w:w="3456" w:type="dxa"/>
            <w:vAlign w:val="center"/>
            <w:shd w:fill="EAF7F1"/>
          </w:tcPr>
          <w:p w14:paraId="4BCA1C84" wp14:textId="77777777">
            <w:r/>
            <w:r>
              <w:rPr>
                <w:b w:val="0"/>
                <w:color w:val="000000"/>
                <w:sz w:val="18"/>
              </w:rPr>
              <w:t>Payment</w:t>
            </w:r>
          </w:p>
        </w:tc>
        <w:tc>
          <w:tcPr>
            <w:tcW w:w="3456" w:type="dxa"/>
            <w:vAlign w:val="center"/>
          </w:tcPr>
          <w:p w14:paraId="0C7676FE" wp14:textId="77777777">
            <w:r/>
            <w:r>
              <w:rPr>
                <w:b w:val="0"/>
                <w:color w:val="000000"/>
                <w:sz w:val="18"/>
              </w:rPr>
              <w:t>Monthly fixed fee with change request pricing</w:t>
            </w:r>
          </w:p>
        </w:tc>
        <w:tc>
          <w:tcPr>
            <w:tcW w:w="3456" w:type="dxa"/>
            <w:vAlign w:val="center"/>
          </w:tcPr>
          <w:p w14:paraId="2FEB208C" wp14:textId="77777777">
            <w:r/>
            <w:r>
              <w:rPr>
                <w:b w:val="0"/>
                <w:color w:val="000000"/>
                <w:sz w:val="18"/>
              </w:rPr>
              <w:t>Change request pricing needs approval threshold</w:t>
            </w:r>
          </w:p>
        </w:tc>
      </w:tr>
      <w:tr xmlns:wp14="http://schemas.microsoft.com/office/word/2010/wordml" w14:paraId="28DCC173" wp14:textId="77777777">
        <w:tc>
          <w:tcPr>
            <w:tcW w:w="3456" w:type="dxa"/>
            <w:vAlign w:val="center"/>
            <w:shd w:fill="EAF7F1"/>
          </w:tcPr>
          <w:p w14:paraId="21980DC7" wp14:textId="77777777">
            <w:r/>
            <w:r>
              <w:rPr>
                <w:b w:val="0"/>
                <w:color w:val="000000"/>
                <w:sz w:val="18"/>
              </w:rPr>
              <w:t>Service level</w:t>
            </w:r>
          </w:p>
        </w:tc>
        <w:tc>
          <w:tcPr>
            <w:tcW w:w="3456" w:type="dxa"/>
            <w:vAlign w:val="center"/>
          </w:tcPr>
          <w:p w14:paraId="445C5D93" wp14:textId="77777777">
            <w:r/>
            <w:r>
              <w:rPr>
                <w:b w:val="0"/>
                <w:color w:val="000000"/>
                <w:sz w:val="18"/>
              </w:rPr>
              <w:t>Initial response within two business days</w:t>
            </w:r>
          </w:p>
        </w:tc>
        <w:tc>
          <w:tcPr>
            <w:tcW w:w="3456" w:type="dxa"/>
            <w:vAlign w:val="center"/>
          </w:tcPr>
          <w:p w14:paraId="5BA81DD8" wp14:textId="77777777">
            <w:r/>
            <w:r>
              <w:rPr>
                <w:b w:val="0"/>
                <w:color w:val="000000"/>
                <w:sz w:val="18"/>
              </w:rPr>
              <w:t>Critical issue response is not differentiated</w:t>
            </w:r>
          </w:p>
        </w:tc>
      </w:tr>
      <w:tr xmlns:wp14="http://schemas.microsoft.com/office/word/2010/wordml" w14:paraId="3141BC3C" wp14:textId="77777777">
        <w:tc>
          <w:tcPr>
            <w:tcW w:w="3456" w:type="dxa"/>
            <w:vAlign w:val="center"/>
            <w:shd w:fill="EAF7F1"/>
          </w:tcPr>
          <w:p w14:paraId="614F9C04" wp14:textId="77777777">
            <w:r/>
            <w:r>
              <w:rPr>
                <w:b w:val="0"/>
                <w:color w:val="000000"/>
                <w:sz w:val="18"/>
              </w:rPr>
              <w:t>Data handling</w:t>
            </w:r>
          </w:p>
        </w:tc>
        <w:tc>
          <w:tcPr>
            <w:tcW w:w="3456" w:type="dxa"/>
            <w:vAlign w:val="center"/>
          </w:tcPr>
          <w:p w14:paraId="17716683" wp14:textId="77777777">
            <w:r/>
            <w:r>
              <w:rPr>
                <w:b w:val="0"/>
                <w:color w:val="000000"/>
                <w:sz w:val="18"/>
              </w:rPr>
              <w:t>Supplier receives exported synthetic maintenance data</w:t>
            </w:r>
          </w:p>
        </w:tc>
        <w:tc>
          <w:tcPr>
            <w:tcW w:w="3456" w:type="dxa"/>
            <w:vAlign w:val="center"/>
          </w:tcPr>
          <w:p w14:paraId="6D642D9C" wp14:textId="77777777">
            <w:r/>
            <w:r>
              <w:rPr>
                <w:b w:val="0"/>
                <w:color w:val="000000"/>
                <w:sz w:val="18"/>
              </w:rPr>
              <w:t>Data classification and deletion wording should be stronger</w:t>
            </w:r>
          </w:p>
        </w:tc>
      </w:tr>
      <w:tr xmlns:wp14="http://schemas.microsoft.com/office/word/2010/wordml" w14:paraId="6C3678D4" wp14:textId="77777777">
        <w:tc>
          <w:tcPr>
            <w:tcW w:w="3456" w:type="dxa"/>
            <w:vAlign w:val="center"/>
            <w:shd w:fill="EAF7F1"/>
          </w:tcPr>
          <w:p w14:paraId="3E59248B" wp14:textId="77777777">
            <w:r/>
            <w:r>
              <w:rPr>
                <w:b w:val="0"/>
                <w:color w:val="000000"/>
                <w:sz w:val="18"/>
              </w:rPr>
              <w:t>Termination</w:t>
            </w:r>
          </w:p>
        </w:tc>
        <w:tc>
          <w:tcPr>
            <w:tcW w:w="3456" w:type="dxa"/>
            <w:vAlign w:val="center"/>
          </w:tcPr>
          <w:p w14:paraId="71E1CEE4" wp14:textId="77777777">
            <w:r/>
            <w:r>
              <w:rPr>
                <w:b w:val="0"/>
                <w:color w:val="000000"/>
                <w:sz w:val="18"/>
              </w:rPr>
              <w:t>30 days notice by either party</w:t>
            </w:r>
          </w:p>
        </w:tc>
        <w:tc>
          <w:tcPr>
            <w:tcW w:w="3456" w:type="dxa"/>
            <w:vAlign w:val="center"/>
          </w:tcPr>
          <w:p w14:paraId="5F087CC1" wp14:textId="77777777">
            <w:r/>
            <w:r>
              <w:rPr>
                <w:b w:val="0"/>
                <w:color w:val="000000"/>
                <w:sz w:val="18"/>
              </w:rPr>
              <w:t>Transition assistance is not specified</w:t>
            </w:r>
          </w:p>
        </w:tc>
      </w:tr>
    </w:tbl>
    <w:p xmlns:wp14="http://schemas.microsoft.com/office/word/2010/wordml" w14:paraId="1584F5F3" wp14:textId="77777777">
      <w:pPr>
        <w:pStyle w:val="Heading1"/>
      </w:pPr>
      <w:r>
        <w:t>Questions for Legal and Procurement</w:t>
      </w:r>
    </w:p>
    <w:p xmlns:wp14="http://schemas.microsoft.com/office/word/2010/wordml" w14:paraId="0D7595BC" wp14:textId="77777777">
      <w:pPr>
        <w:pStyle w:val="ListBullet"/>
      </w:pPr>
      <w:r>
        <w:t>Should the supplier be required to delete all exported data after contract completion?</w:t>
      </w:r>
    </w:p>
    <w:p xmlns:wp14="http://schemas.microsoft.com/office/word/2010/wordml" w14:paraId="1E3293F4" wp14:textId="77777777">
      <w:pPr>
        <w:pStyle w:val="ListBullet"/>
      </w:pPr>
      <w:r>
        <w:t>Should critical operational requests have a shorter response expectation?</w:t>
      </w:r>
    </w:p>
    <w:p xmlns:wp14="http://schemas.microsoft.com/office/word/2010/wordml" w14:paraId="1737947D" wp14:textId="77777777">
      <w:pPr>
        <w:pStyle w:val="ListBullet"/>
      </w:pPr>
      <w:r>
        <w:t>Should change requests require written approval above RM25,000?</w:t>
      </w:r>
    </w:p>
    <w:p xmlns:wp14="http://schemas.microsoft.com/office/word/2010/wordml" w14:paraId="73A8EDFC" wp14:textId="77777777">
      <w:pPr>
        <w:pStyle w:val="ListBullet"/>
      </w:pPr>
      <w:r>
        <w:t>Should the contract include a right-to-audit clause for data handling controls?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32C30D1A" w:rsidP="32C30D1A" w:rsidRDefault="32C30D1A" w14:paraId="58B66A12" w14:textId="44F3DA62">
    <w:pPr>
      <w:pStyle w:val="Footer"/>
    </w:pPr>
    <w:r w:rsidRPr="32C30D1A" w:rsidR="32C30D1A">
      <w:rPr>
        <w:color w:val="5A5A5A"/>
        <w:sz w:val="14"/>
        <w:szCs w:val="14"/>
      </w:rPr>
      <w:t>Synthetic training data only. No real Contoso Energy confidential information, logos, contracts, financials, employee records, or production data are included.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32C30D1A" w:rsidP="32C30D1A" w:rsidRDefault="32C30D1A" w14:paraId="0F69A4CD" w14:textId="6A11489D">
    <w:pPr>
      <w:pStyle w:val="Header"/>
    </w:pPr>
    <w:r w:rsidRPr="32C30D1A" w:rsidR="32C30D1A">
      <w:rPr>
        <w:color w:val="1F2933"/>
        <w:sz w:val="16"/>
        <w:szCs w:val="16"/>
      </w:rPr>
      <w:t>Contoso Energy Mock Training | WORD-03 | Mock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C3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6982D19-D145-429D-B492-1A45A3BA3E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B3D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" w:hAnsi="Aptos" w:asciiTheme="majorHAnsi" w:hAnsiTheme="majorHAnsi" w:eastAsiaTheme="majorEastAsia" w:cstheme="majorBidi"/>
      <w:b/>
      <w:bCs/>
      <w:color w:val="007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" w:hAnsi="Aptos" w:asciiTheme="majorHAnsi" w:hAnsiTheme="majorHAnsi" w:eastAsiaTheme="majorEastAsia" w:cstheme="majorBidi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0B3D2E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Wilson Tsui</lastModifiedBy>
  <revision>2</revision>
  <dcterms:created xsi:type="dcterms:W3CDTF">2013-12-23T23:15:00.0000000Z</dcterms:created>
  <dcterms:modified xsi:type="dcterms:W3CDTF">2026-07-23T05:11:16.4285162Z</dcterms:modified>
  <category/>
</coreProperties>
</file>