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1598FF" wp14:paraId="281E1138" wp14:textId="61A22F77">
      <w:pPr>
        <w:pStyle w:val="Normal"/>
        <w:widowControl w:val="0"/>
        <w:spacing w:after="0" w:afterAutospacing="off" w:line="240" w:lineRule="auto"/>
        <w:jc w:val="center"/>
        <w:rPr>
          <w:b w:val="1"/>
          <w:bCs w:val="1"/>
          <w:noProof w:val="0"/>
          <w:sz w:val="56"/>
          <w:szCs w:val="56"/>
          <w:lang w:val="pt-BR"/>
        </w:rPr>
      </w:pPr>
      <w:r w:rsidRPr="341598FF" w:rsidR="20EA62C6">
        <w:rPr>
          <w:b w:val="1"/>
          <w:bCs w:val="1"/>
          <w:noProof w:val="0"/>
          <w:sz w:val="56"/>
          <w:szCs w:val="56"/>
          <w:lang w:val="pt-BR"/>
        </w:rPr>
        <w:t>Contratos de Trabalho e Diversidade</w:t>
      </w:r>
    </w:p>
    <w:p xmlns:wp14="http://schemas.microsoft.com/office/word/2010/wordml" w:rsidP="341598FF" wp14:paraId="21D38A54" wp14:textId="4ED0C04A">
      <w:pPr>
        <w:pStyle w:val="Normal"/>
        <w:widowControl w:val="0"/>
        <w:spacing w:after="0" w:afterAutospacing="off" w:line="240" w:lineRule="auto"/>
        <w:jc w:val="center"/>
        <w:rPr>
          <w:i w:val="1"/>
          <w:iCs w:val="1"/>
          <w:noProof w:val="0"/>
          <w:sz w:val="180"/>
          <w:szCs w:val="180"/>
          <w:lang w:val="pt-BR"/>
        </w:rPr>
      </w:pPr>
      <w:r w:rsidRPr="341598FF" w:rsidR="20EA62C6">
        <w:rPr>
          <w:i w:val="1"/>
          <w:iCs w:val="1"/>
          <w:noProof w:val="0"/>
          <w:sz w:val="48"/>
          <w:szCs w:val="48"/>
          <w:lang w:val="pt-BR"/>
        </w:rPr>
        <w:t>Estratégias para inclusão sustentável</w:t>
      </w:r>
    </w:p>
    <w:p xmlns:wp14="http://schemas.microsoft.com/office/word/2010/wordml" w:rsidP="341598FF" wp14:paraId="5AD7314C" wp14:textId="3F8B4DF1">
      <w:pPr>
        <w:pStyle w:val="Normal"/>
        <w:rPr>
          <w:noProof w:val="0"/>
          <w:lang w:val="pt-BR"/>
        </w:rPr>
      </w:pPr>
    </w:p>
    <w:p xmlns:wp14="http://schemas.microsoft.com/office/word/2010/wordml" w:rsidP="341598FF" wp14:paraId="35A16CF3" wp14:textId="5A0AD109">
      <w:pPr>
        <w:pStyle w:val="Normal"/>
        <w:rPr>
          <w:noProof w:val="0"/>
          <w:lang w:val="pt-BR"/>
        </w:rPr>
      </w:pPr>
    </w:p>
    <w:p xmlns:wp14="http://schemas.microsoft.com/office/word/2010/wordml" w:rsidP="341598FF" wp14:paraId="02AE1708" wp14:textId="429D0064">
      <w:pPr>
        <w:pStyle w:val="Normal"/>
        <w:rPr>
          <w:noProof w:val="0"/>
          <w:lang w:val="pt-BR"/>
        </w:rPr>
      </w:pPr>
    </w:p>
    <w:p xmlns:wp14="http://schemas.microsoft.com/office/word/2010/wordml" w:rsidP="341598FF" wp14:paraId="50FD30BE" wp14:textId="6570835E">
      <w:pPr>
        <w:pStyle w:val="Normal"/>
        <w:rPr>
          <w:noProof w:val="0"/>
          <w:lang w:val="pt-BR"/>
        </w:rPr>
      </w:pPr>
    </w:p>
    <w:p xmlns:wp14="http://schemas.microsoft.com/office/word/2010/wordml" w:rsidP="341598FF" wp14:paraId="0D3D8EB5" wp14:textId="7B058C6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6C92DE60">
        <w:rPr>
          <w:noProof w:val="0"/>
          <w:lang w:val="pt-BR"/>
        </w:rPr>
        <w:t>Steisilly</w:t>
      </w:r>
      <w:r w:rsidRPr="341598FF" w:rsidR="6C92DE60">
        <w:rPr>
          <w:noProof w:val="0"/>
          <w:lang w:val="pt-BR"/>
        </w:rPr>
        <w:t xml:space="preserve"> Teixeira de Oliveira, Drielly</w:t>
      </w:r>
    </w:p>
    <w:p xmlns:wp14="http://schemas.microsoft.com/office/word/2010/wordml" w:rsidP="341598FF" wp14:paraId="5D800481" wp14:textId="1DBF3D47">
      <w:pPr>
        <w:pStyle w:val="Normal"/>
        <w:widowControl w:val="0"/>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6C92DE60">
        <w:rPr>
          <w:noProof w:val="0"/>
          <w:lang w:val="pt-BR"/>
        </w:rPr>
        <w:t xml:space="preserve">Estudante de Gestão de Recursos Humanos </w:t>
      </w:r>
    </w:p>
    <w:p xmlns:wp14="http://schemas.microsoft.com/office/word/2010/wordml" w:rsidP="341598FF" wp14:paraId="5F1CC05A" wp14:textId="4992ABF4">
      <w:pPr>
        <w:pStyle w:val="Normal"/>
        <w:widowControl w:val="0"/>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6C92DE60">
        <w:rPr>
          <w:noProof w:val="0"/>
          <w:lang w:val="pt-BR"/>
        </w:rPr>
        <w:t>Faculdade Anhanguera – Campus Marte</w:t>
      </w:r>
    </w:p>
    <w:p xmlns:wp14="http://schemas.microsoft.com/office/word/2010/wordml" w:rsidP="341598FF" wp14:paraId="16E56578" wp14:textId="6E6106AE">
      <w:pPr>
        <w:pStyle w:val="Normal"/>
        <w:widowControl w:val="0"/>
        <w:rPr>
          <w:noProof w:val="0"/>
          <w:lang w:val="pt-BR"/>
        </w:rPr>
      </w:pPr>
    </w:p>
    <w:p xmlns:wp14="http://schemas.microsoft.com/office/word/2010/wordml" w:rsidP="341598FF" wp14:paraId="54B6F593" wp14:textId="2208902A">
      <w:pPr>
        <w:pStyle w:val="Normal"/>
        <w:rPr>
          <w:noProof w:val="0"/>
          <w:lang w:val="pt-BR"/>
        </w:rPr>
      </w:pPr>
    </w:p>
    <w:p xmlns:wp14="http://schemas.microsoft.com/office/word/2010/wordml" w:rsidP="341598FF" wp14:paraId="19A445E1" wp14:textId="73327155">
      <w:pPr>
        <w:pStyle w:val="Normal"/>
        <w:rPr>
          <w:noProof w:val="0"/>
          <w:lang w:val="pt-BR"/>
        </w:rPr>
      </w:pPr>
    </w:p>
    <w:p xmlns:wp14="http://schemas.microsoft.com/office/word/2010/wordml" w:rsidP="341598FF" wp14:paraId="3A5240E8" wp14:textId="2E72393F">
      <w:pPr>
        <w:pStyle w:val="Normal"/>
        <w:rPr>
          <w:noProof w:val="0"/>
          <w:lang w:val="pt-BR"/>
        </w:rPr>
      </w:pPr>
    </w:p>
    <w:p xmlns:wp14="http://schemas.microsoft.com/office/word/2010/wordml" w:rsidP="341598FF" wp14:paraId="4BA995F7" wp14:textId="36E06E99">
      <w:pPr>
        <w:pStyle w:val="Normal"/>
        <w:rPr>
          <w:noProof w:val="0"/>
          <w:lang w:val="pt-BR"/>
        </w:rPr>
      </w:pPr>
    </w:p>
    <w:p xmlns:wp14="http://schemas.microsoft.com/office/word/2010/wordml" w:rsidP="341598FF" wp14:paraId="19E05516" wp14:textId="40E55337">
      <w:pPr>
        <w:pStyle w:val="Normal"/>
        <w:rPr>
          <w:noProof w:val="0"/>
          <w:lang w:val="pt-BR"/>
        </w:rPr>
      </w:pPr>
    </w:p>
    <w:p xmlns:wp14="http://schemas.microsoft.com/office/word/2010/wordml" w:rsidP="341598FF" wp14:paraId="7C23D1AE" wp14:textId="1D5FCCF2">
      <w:pPr>
        <w:pStyle w:val="Normal"/>
        <w:rPr>
          <w:noProof w:val="0"/>
          <w:lang w:val="pt-BR"/>
        </w:rPr>
      </w:pPr>
    </w:p>
    <w:p xmlns:wp14="http://schemas.microsoft.com/office/word/2010/wordml" w:rsidP="341598FF" wp14:paraId="60959B38" wp14:textId="4D7A408B">
      <w:pPr>
        <w:pStyle w:val="Normal"/>
        <w:rPr>
          <w:noProof w:val="0"/>
          <w:lang w:val="pt-BR"/>
        </w:rPr>
      </w:pPr>
    </w:p>
    <w:p xmlns:wp14="http://schemas.microsoft.com/office/word/2010/wordml" w:rsidP="341598FF" wp14:paraId="5DA87566" wp14:textId="66DAF474">
      <w:pPr>
        <w:pStyle w:val="Normal"/>
        <w:rPr>
          <w:noProof w:val="0"/>
          <w:lang w:val="pt-BR"/>
        </w:rPr>
      </w:pPr>
    </w:p>
    <w:p xmlns:wp14="http://schemas.microsoft.com/office/word/2010/wordml" w:rsidP="341598FF" wp14:paraId="342ED83F" wp14:textId="0B33F827">
      <w:pPr>
        <w:pStyle w:val="Normal"/>
        <w:rPr>
          <w:noProof w:val="0"/>
          <w:lang w:val="pt-BR"/>
        </w:rPr>
      </w:pPr>
    </w:p>
    <w:p xmlns:wp14="http://schemas.microsoft.com/office/word/2010/wordml" w:rsidP="341598FF" wp14:paraId="5484B342" wp14:textId="470E658A">
      <w:pPr>
        <w:pStyle w:val="Normal"/>
        <w:rPr>
          <w:noProof w:val="0"/>
          <w:lang w:val="pt-BR"/>
        </w:rPr>
      </w:pPr>
    </w:p>
    <w:p xmlns:wp14="http://schemas.microsoft.com/office/word/2010/wordml" w:rsidP="341598FF" wp14:paraId="6D1826D0" wp14:textId="3308E9E3">
      <w:pPr>
        <w:pStyle w:val="Normal"/>
        <w:rPr>
          <w:noProof w:val="0"/>
          <w:lang w:val="pt-BR"/>
        </w:rPr>
      </w:pPr>
    </w:p>
    <w:p xmlns:wp14="http://schemas.microsoft.com/office/word/2010/wordml" w:rsidP="341598FF" wp14:paraId="4152E174" wp14:textId="24165739">
      <w:pPr>
        <w:pStyle w:val="Normal"/>
        <w:rPr>
          <w:noProof w:val="0"/>
          <w:lang w:val="pt-BR"/>
        </w:rPr>
      </w:pPr>
    </w:p>
    <w:p xmlns:wp14="http://schemas.microsoft.com/office/word/2010/wordml" w:rsidP="341598FF" wp14:paraId="0E344D3A" wp14:textId="45D0A281">
      <w:pPr>
        <w:pStyle w:val="Normal"/>
        <w:rPr>
          <w:noProof w:val="0"/>
          <w:lang w:val="pt-BR"/>
        </w:rPr>
      </w:pPr>
    </w:p>
    <w:p xmlns:wp14="http://schemas.microsoft.com/office/word/2010/wordml" w:rsidP="341598FF" wp14:paraId="050B1256" wp14:textId="2446B91E">
      <w:pPr>
        <w:pStyle w:val="Normal"/>
        <w:rPr>
          <w:noProof w:val="0"/>
          <w:lang w:val="pt-BR"/>
        </w:rPr>
      </w:pPr>
    </w:p>
    <w:p xmlns:wp14="http://schemas.microsoft.com/office/word/2010/wordml" w:rsidP="341598FF" wp14:paraId="7B0A73C0" wp14:textId="576B7105">
      <w:pPr>
        <w:pStyle w:val="Normal"/>
        <w:rPr>
          <w:noProof w:val="0"/>
          <w:lang w:val="pt-BR"/>
        </w:rPr>
      </w:pPr>
    </w:p>
    <w:p xmlns:wp14="http://schemas.microsoft.com/office/word/2010/wordml" w:rsidP="341598FF" wp14:paraId="075FBD4D" wp14:textId="077A92D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6C92DE60">
        <w:rPr>
          <w:noProof w:val="0"/>
          <w:lang w:val="pt-BR"/>
        </w:rPr>
        <w:t>São Paulo/SP</w:t>
      </w:r>
    </w:p>
    <w:p xmlns:wp14="http://schemas.microsoft.com/office/word/2010/wordml" w:rsidP="341598FF" wp14:paraId="4F6BE876" wp14:textId="061CDB0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6C92DE60">
        <w:rPr>
          <w:noProof w:val="0"/>
          <w:lang w:val="pt-BR"/>
        </w:rPr>
        <w:t>2026</w:t>
      </w:r>
    </w:p>
    <w:p xmlns:wp14="http://schemas.microsoft.com/office/word/2010/wordml" w:rsidP="341598FF" wp14:paraId="54A3A5B5" wp14:textId="213E352B">
      <w:pPr>
        <w:pStyle w:val="Normal"/>
        <w:jc w:val="right"/>
      </w:pPr>
      <w:r w:rsidRPr="341598FF" w:rsidR="4F9D5AF5">
        <w:rPr>
          <w:noProof w:val="0"/>
          <w:lang w:val="pt-BR"/>
        </w:rPr>
        <w:t>Resumo</w:t>
      </w:r>
    </w:p>
    <w:p xmlns:wp14="http://schemas.microsoft.com/office/word/2010/wordml" w:rsidP="341598FF" wp14:paraId="57EB0821" wp14:textId="0983D6EC">
      <w:pPr>
        <w:pStyle w:val="Normal"/>
        <w:jc w:val="both"/>
        <w:rPr>
          <w:noProof w:val="0"/>
          <w:lang w:val="pt-BR"/>
        </w:rPr>
      </w:pPr>
    </w:p>
    <w:p xmlns:wp14="http://schemas.microsoft.com/office/word/2010/wordml" w:rsidP="341598FF" wp14:paraId="7449D258" wp14:textId="2A965177">
      <w:pPr>
        <w:pStyle w:val="Normal"/>
        <w:jc w:val="both"/>
      </w:pPr>
      <w:r w:rsidRPr="341598FF" w:rsidR="4F9D5AF5">
        <w:rPr>
          <w:noProof w:val="0"/>
          <w:lang w:val="pt-BR"/>
        </w:rPr>
        <w:t>Este artigo apresenta uma análise aprofundada dos contratos de trabalho sob a ótica da diversidade e da inclusão sustentável, explorando como diferentes modalidades – indeterminados, determinados, intermitentes e de estágio – impactam áreas críticas como compliance regulatório, retorno sobre investimento (ROI) e programas de equidade corporativa. A obra busca oferecer uma visão prática e fundamentada para gestores de Recursos Humanos e estudantes universitários, destacando benchmarks nacionais e internacionais, frameworks de inclusão contratual e matrizes de impacto social que auxiliam na escolha do modelo mais adequado às estratégias de diversidade.</w:t>
      </w:r>
    </w:p>
    <w:p xmlns:wp14="http://schemas.microsoft.com/office/word/2010/wordml" w:rsidP="341598FF" wp14:paraId="1EC2859B" wp14:textId="2AA198B9">
      <w:pPr>
        <w:pStyle w:val="Normal"/>
        <w:jc w:val="both"/>
        <w:rPr>
          <w:noProof w:val="0"/>
          <w:lang w:val="pt-BR"/>
        </w:rPr>
      </w:pPr>
      <w:r w:rsidRPr="341598FF" w:rsidR="4F9D5AF5">
        <w:rPr>
          <w:noProof w:val="0"/>
          <w:lang w:val="pt-BR"/>
        </w:rPr>
        <w:t>Além</w:t>
      </w:r>
      <w:r w:rsidRPr="341598FF" w:rsidR="4F9D5AF5">
        <w:rPr>
          <w:noProof w:val="0"/>
          <w:lang w:val="pt-BR"/>
        </w:rPr>
        <w:t xml:space="preserve"> de discutir aspectos legais e financeiros, o artigo enfatiza o papel dos contratos na retenção de talentos, na produtividade organizacional e na reputação institucional, integrando indicadores ESG (Environmental, Social and Governance) às práticas de gestão de pessoas. O objetivo é fornecer uma referência clara, acessível e aplicada que contribua para a tomada de decisão estratégica, fortalecendo a atuação do RH como agente de transformação e sustentabilidade nas organizações.</w:t>
      </w:r>
    </w:p>
    <w:p xmlns:wp14="http://schemas.microsoft.com/office/word/2010/wordml" w:rsidP="341598FF" wp14:paraId="5B5C0AA1" wp14:textId="2839EF1E">
      <w:pPr>
        <w:pStyle w:val="Normal"/>
        <w:jc w:val="both"/>
        <w:rPr>
          <w:noProof w:val="0"/>
          <w:lang w:val="pt-BR"/>
        </w:rPr>
      </w:pPr>
    </w:p>
    <w:p xmlns:wp14="http://schemas.microsoft.com/office/word/2010/wordml" w:rsidP="341598FF" wp14:paraId="7FC50464" wp14:textId="5DA4CF25">
      <w:pPr>
        <w:pStyle w:val="Normal"/>
        <w:jc w:val="both"/>
        <w:rPr>
          <w:noProof w:val="0"/>
          <w:lang w:val="pt-BR"/>
        </w:rPr>
      </w:pPr>
    </w:p>
    <w:p xmlns:wp14="http://schemas.microsoft.com/office/word/2010/wordml" w:rsidP="341598FF" wp14:paraId="3B8AC0F5" wp14:textId="08234FA9">
      <w:pPr>
        <w:pStyle w:val="Normal"/>
        <w:jc w:val="right"/>
      </w:pPr>
      <w:r w:rsidRPr="341598FF" w:rsidR="4F9D5AF5">
        <w:rPr>
          <w:noProof w:val="0"/>
          <w:lang w:val="pt-BR"/>
        </w:rPr>
        <w:t xml:space="preserve"> Abstract</w:t>
      </w:r>
    </w:p>
    <w:p xmlns:wp14="http://schemas.microsoft.com/office/word/2010/wordml" w:rsidP="341598FF" wp14:paraId="244B7BED" wp14:textId="551468A8">
      <w:pPr>
        <w:pStyle w:val="Normal"/>
        <w:jc w:val="both"/>
        <w:rPr>
          <w:noProof w:val="0"/>
          <w:lang w:val="pt-BR"/>
        </w:rPr>
      </w:pPr>
    </w:p>
    <w:p xmlns:wp14="http://schemas.microsoft.com/office/word/2010/wordml" w:rsidP="341598FF" wp14:paraId="54E551E3" wp14:textId="6CCAFDB7">
      <w:pPr>
        <w:pStyle w:val="Normal"/>
        <w:jc w:val="both"/>
        <w:rPr>
          <w:noProof w:val="0"/>
          <w:lang w:val="pt-BR"/>
        </w:rPr>
      </w:pPr>
      <w:r w:rsidRPr="341598FF" w:rsidR="4F9D5AF5">
        <w:rPr>
          <w:noProof w:val="0"/>
          <w:lang w:val="pt-BR"/>
        </w:rPr>
        <w:t>Thi</w:t>
      </w:r>
      <w:r w:rsidRPr="341598FF" w:rsidR="4F9D5AF5">
        <w:rPr>
          <w:noProof w:val="0"/>
          <w:lang w:val="pt-BR"/>
        </w:rPr>
        <w:t>s articl</w:t>
      </w:r>
      <w:r w:rsidRPr="341598FF" w:rsidR="4F9D5AF5">
        <w:rPr>
          <w:noProof w:val="0"/>
          <w:lang w:val="pt-BR"/>
        </w:rPr>
        <w:t>e</w:t>
      </w:r>
      <w:r w:rsidRPr="341598FF" w:rsidR="4F9D5AF5">
        <w:rPr>
          <w:noProof w:val="0"/>
          <w:lang w:val="pt-BR"/>
        </w:rPr>
        <w:t xml:space="preserve"> p</w:t>
      </w:r>
      <w:r w:rsidRPr="341598FF" w:rsidR="4F9D5AF5">
        <w:rPr>
          <w:noProof w:val="0"/>
          <w:lang w:val="pt-BR"/>
        </w:rPr>
        <w:t>r</w:t>
      </w:r>
      <w:r w:rsidRPr="341598FF" w:rsidR="4F9D5AF5">
        <w:rPr>
          <w:noProof w:val="0"/>
          <w:lang w:val="pt-BR"/>
        </w:rPr>
        <w:t xml:space="preserve">ovides an </w:t>
      </w:r>
      <w:r w:rsidRPr="341598FF" w:rsidR="4F9D5AF5">
        <w:rPr>
          <w:noProof w:val="0"/>
          <w:lang w:val="pt-BR"/>
        </w:rPr>
        <w:t>in-dept</w:t>
      </w:r>
      <w:r w:rsidRPr="341598FF" w:rsidR="4F9D5AF5">
        <w:rPr>
          <w:noProof w:val="0"/>
          <w:lang w:val="pt-BR"/>
        </w:rPr>
        <w:t>h a</w:t>
      </w:r>
      <w:r w:rsidRPr="341598FF" w:rsidR="4F9D5AF5">
        <w:rPr>
          <w:noProof w:val="0"/>
          <w:lang w:val="pt-BR"/>
        </w:rPr>
        <w:t xml:space="preserve">nalysis of </w:t>
      </w:r>
      <w:r w:rsidRPr="341598FF" w:rsidR="4F9D5AF5">
        <w:rPr>
          <w:noProof w:val="0"/>
          <w:lang w:val="pt-BR"/>
        </w:rPr>
        <w:t>employm</w:t>
      </w:r>
      <w:r w:rsidRPr="341598FF" w:rsidR="4F9D5AF5">
        <w:rPr>
          <w:noProof w:val="0"/>
          <w:lang w:val="pt-BR"/>
        </w:rPr>
        <w:t>en</w:t>
      </w:r>
      <w:r w:rsidRPr="341598FF" w:rsidR="4F9D5AF5">
        <w:rPr>
          <w:noProof w:val="0"/>
          <w:lang w:val="pt-BR"/>
        </w:rPr>
        <w:t>t c</w:t>
      </w:r>
      <w:r w:rsidRPr="341598FF" w:rsidR="4F9D5AF5">
        <w:rPr>
          <w:noProof w:val="0"/>
          <w:lang w:val="pt-BR"/>
        </w:rPr>
        <w:t>o</w:t>
      </w:r>
      <w:r w:rsidRPr="341598FF" w:rsidR="4F9D5AF5">
        <w:rPr>
          <w:noProof w:val="0"/>
          <w:lang w:val="pt-BR"/>
        </w:rPr>
        <w:t>ntracts</w:t>
      </w:r>
      <w:r w:rsidRPr="341598FF" w:rsidR="4F9D5AF5">
        <w:rPr>
          <w:noProof w:val="0"/>
          <w:lang w:val="pt-BR"/>
        </w:rPr>
        <w:t xml:space="preserve"> </w:t>
      </w:r>
      <w:r w:rsidRPr="341598FF" w:rsidR="4F9D5AF5">
        <w:rPr>
          <w:noProof w:val="0"/>
          <w:lang w:val="pt-BR"/>
        </w:rPr>
        <w:t>from the p</w:t>
      </w:r>
      <w:r w:rsidRPr="341598FF" w:rsidR="4F9D5AF5">
        <w:rPr>
          <w:noProof w:val="0"/>
          <w:lang w:val="pt-BR"/>
        </w:rPr>
        <w:t>e</w:t>
      </w:r>
      <w:r w:rsidRPr="341598FF" w:rsidR="4F9D5AF5">
        <w:rPr>
          <w:noProof w:val="0"/>
          <w:lang w:val="pt-BR"/>
        </w:rPr>
        <w:t>rsp</w:t>
      </w:r>
      <w:r w:rsidRPr="341598FF" w:rsidR="4F9D5AF5">
        <w:rPr>
          <w:noProof w:val="0"/>
          <w:lang w:val="pt-BR"/>
        </w:rPr>
        <w:t>ective</w:t>
      </w:r>
      <w:r w:rsidRPr="341598FF" w:rsidR="4F9D5AF5">
        <w:rPr>
          <w:noProof w:val="0"/>
          <w:lang w:val="pt-BR"/>
        </w:rPr>
        <w:t xml:space="preserve"> o</w:t>
      </w:r>
      <w:r w:rsidRPr="341598FF" w:rsidR="4F9D5AF5">
        <w:rPr>
          <w:noProof w:val="0"/>
          <w:lang w:val="pt-BR"/>
        </w:rPr>
        <w:t>f</w:t>
      </w:r>
      <w:r w:rsidRPr="341598FF" w:rsidR="4F9D5AF5">
        <w:rPr>
          <w:noProof w:val="0"/>
          <w:lang w:val="pt-BR"/>
        </w:rPr>
        <w:t xml:space="preserve"> diversit</w:t>
      </w:r>
      <w:r w:rsidRPr="341598FF" w:rsidR="4F9D5AF5">
        <w:rPr>
          <w:noProof w:val="0"/>
          <w:lang w:val="pt-BR"/>
        </w:rPr>
        <w:t>y an</w:t>
      </w:r>
      <w:r w:rsidRPr="341598FF" w:rsidR="4F9D5AF5">
        <w:rPr>
          <w:noProof w:val="0"/>
          <w:lang w:val="pt-BR"/>
        </w:rPr>
        <w:t>d sust</w:t>
      </w:r>
      <w:r w:rsidRPr="341598FF" w:rsidR="4F9D5AF5">
        <w:rPr>
          <w:noProof w:val="0"/>
          <w:lang w:val="pt-BR"/>
        </w:rPr>
        <w:t>a</w:t>
      </w:r>
      <w:r w:rsidRPr="341598FF" w:rsidR="4F9D5AF5">
        <w:rPr>
          <w:noProof w:val="0"/>
          <w:lang w:val="pt-BR"/>
        </w:rPr>
        <w:t>inable in</w:t>
      </w:r>
      <w:r w:rsidRPr="341598FF" w:rsidR="4F9D5AF5">
        <w:rPr>
          <w:noProof w:val="0"/>
          <w:lang w:val="pt-BR"/>
        </w:rPr>
        <w:t>cl</w:t>
      </w:r>
      <w:r w:rsidRPr="341598FF" w:rsidR="4F9D5AF5">
        <w:rPr>
          <w:noProof w:val="0"/>
          <w:lang w:val="pt-BR"/>
        </w:rPr>
        <w:t>usion, explori</w:t>
      </w:r>
      <w:r w:rsidRPr="341598FF" w:rsidR="4F9D5AF5">
        <w:rPr>
          <w:noProof w:val="0"/>
          <w:lang w:val="pt-BR"/>
        </w:rPr>
        <w:t>n</w:t>
      </w:r>
      <w:r w:rsidRPr="341598FF" w:rsidR="4F9D5AF5">
        <w:rPr>
          <w:noProof w:val="0"/>
          <w:lang w:val="pt-BR"/>
        </w:rPr>
        <w:t>g how differ</w:t>
      </w:r>
      <w:r w:rsidRPr="341598FF" w:rsidR="4F9D5AF5">
        <w:rPr>
          <w:noProof w:val="0"/>
          <w:lang w:val="pt-BR"/>
        </w:rPr>
        <w:t>en</w:t>
      </w:r>
      <w:r w:rsidRPr="341598FF" w:rsidR="4F9D5AF5">
        <w:rPr>
          <w:noProof w:val="0"/>
          <w:lang w:val="pt-BR"/>
        </w:rPr>
        <w:t>t m</w:t>
      </w:r>
      <w:r w:rsidRPr="341598FF" w:rsidR="4F9D5AF5">
        <w:rPr>
          <w:noProof w:val="0"/>
          <w:lang w:val="pt-BR"/>
        </w:rPr>
        <w:t>o</w:t>
      </w:r>
      <w:r w:rsidRPr="341598FF" w:rsidR="4F9D5AF5">
        <w:rPr>
          <w:noProof w:val="0"/>
          <w:lang w:val="pt-BR"/>
        </w:rPr>
        <w:t>dalities – in</w:t>
      </w:r>
      <w:r w:rsidRPr="341598FF" w:rsidR="4F9D5AF5">
        <w:rPr>
          <w:noProof w:val="0"/>
          <w:lang w:val="pt-BR"/>
        </w:rPr>
        <w:t>d</w:t>
      </w:r>
      <w:r w:rsidRPr="341598FF" w:rsidR="4F9D5AF5">
        <w:rPr>
          <w:noProof w:val="0"/>
          <w:lang w:val="pt-BR"/>
        </w:rPr>
        <w:t>efinite, f</w:t>
      </w:r>
      <w:r w:rsidRPr="341598FF" w:rsidR="4F9D5AF5">
        <w:rPr>
          <w:noProof w:val="0"/>
          <w:lang w:val="pt-BR"/>
        </w:rPr>
        <w:t>ix</w:t>
      </w:r>
      <w:r w:rsidRPr="341598FF" w:rsidR="4F9D5AF5">
        <w:rPr>
          <w:noProof w:val="0"/>
          <w:lang w:val="pt-BR"/>
        </w:rPr>
        <w:t>ed-term, in</w:t>
      </w:r>
      <w:r w:rsidRPr="341598FF" w:rsidR="4F9D5AF5">
        <w:rPr>
          <w:noProof w:val="0"/>
          <w:lang w:val="pt-BR"/>
        </w:rPr>
        <w:t xml:space="preserve">termittent, and internship </w:t>
      </w:r>
      <w:r w:rsidRPr="341598FF" w:rsidR="4F9D5AF5">
        <w:rPr>
          <w:noProof w:val="0"/>
          <w:lang w:val="pt-BR"/>
        </w:rPr>
        <w:t>c</w:t>
      </w:r>
      <w:r w:rsidRPr="341598FF" w:rsidR="4F9D5AF5">
        <w:rPr>
          <w:noProof w:val="0"/>
          <w:lang w:val="pt-BR"/>
        </w:rPr>
        <w:t>ont</w:t>
      </w:r>
      <w:r w:rsidRPr="341598FF" w:rsidR="4F9D5AF5">
        <w:rPr>
          <w:noProof w:val="0"/>
          <w:lang w:val="pt-BR"/>
        </w:rPr>
        <w:t>racts</w:t>
      </w:r>
      <w:r w:rsidRPr="341598FF" w:rsidR="4F9D5AF5">
        <w:rPr>
          <w:noProof w:val="0"/>
          <w:lang w:val="pt-BR"/>
        </w:rPr>
        <w:t xml:space="preserve"> – </w:t>
      </w:r>
      <w:r w:rsidRPr="341598FF" w:rsidR="4F9D5AF5">
        <w:rPr>
          <w:noProof w:val="0"/>
          <w:lang w:val="pt-BR"/>
        </w:rPr>
        <w:t>affec</w:t>
      </w:r>
      <w:r w:rsidRPr="341598FF" w:rsidR="4F9D5AF5">
        <w:rPr>
          <w:noProof w:val="0"/>
          <w:lang w:val="pt-BR"/>
        </w:rPr>
        <w:t>t</w:t>
      </w:r>
      <w:r w:rsidRPr="341598FF" w:rsidR="4F9D5AF5">
        <w:rPr>
          <w:noProof w:val="0"/>
          <w:lang w:val="pt-BR"/>
        </w:rPr>
        <w:t xml:space="preserve"> </w:t>
      </w:r>
      <w:r w:rsidRPr="341598FF" w:rsidR="4F9D5AF5">
        <w:rPr>
          <w:noProof w:val="0"/>
          <w:lang w:val="pt-BR"/>
        </w:rPr>
        <w:t>critical</w:t>
      </w:r>
      <w:r w:rsidRPr="341598FF" w:rsidR="4F9D5AF5">
        <w:rPr>
          <w:noProof w:val="0"/>
          <w:lang w:val="pt-BR"/>
        </w:rPr>
        <w:t xml:space="preserve"> </w:t>
      </w:r>
      <w:r w:rsidRPr="341598FF" w:rsidR="4F9D5AF5">
        <w:rPr>
          <w:noProof w:val="0"/>
          <w:lang w:val="pt-BR"/>
        </w:rPr>
        <w:t>area</w:t>
      </w:r>
      <w:r w:rsidRPr="341598FF" w:rsidR="4F9D5AF5">
        <w:rPr>
          <w:noProof w:val="0"/>
          <w:lang w:val="pt-BR"/>
        </w:rPr>
        <w:t>s</w:t>
      </w:r>
      <w:r w:rsidRPr="341598FF" w:rsidR="4F9D5AF5">
        <w:rPr>
          <w:noProof w:val="0"/>
          <w:lang w:val="pt-BR"/>
        </w:rPr>
        <w:t xml:space="preserve"> </w:t>
      </w:r>
      <w:r w:rsidRPr="341598FF" w:rsidR="4F9D5AF5">
        <w:rPr>
          <w:noProof w:val="0"/>
          <w:lang w:val="pt-BR"/>
        </w:rPr>
        <w:t>such</w:t>
      </w:r>
      <w:r w:rsidRPr="341598FF" w:rsidR="4F9D5AF5">
        <w:rPr>
          <w:noProof w:val="0"/>
          <w:lang w:val="pt-BR"/>
        </w:rPr>
        <w:t xml:space="preserve"> </w:t>
      </w:r>
      <w:r w:rsidRPr="341598FF" w:rsidR="4F9D5AF5">
        <w:rPr>
          <w:noProof w:val="0"/>
          <w:lang w:val="pt-BR"/>
        </w:rPr>
        <w:t xml:space="preserve">as </w:t>
      </w:r>
      <w:r w:rsidRPr="341598FF" w:rsidR="4F9D5AF5">
        <w:rPr>
          <w:noProof w:val="0"/>
          <w:lang w:val="pt-BR"/>
        </w:rPr>
        <w:t>regulator</w:t>
      </w:r>
      <w:r w:rsidRPr="341598FF" w:rsidR="4F9D5AF5">
        <w:rPr>
          <w:noProof w:val="0"/>
          <w:lang w:val="pt-BR"/>
        </w:rPr>
        <w:t>y</w:t>
      </w:r>
      <w:r w:rsidRPr="341598FF" w:rsidR="4F9D5AF5">
        <w:rPr>
          <w:noProof w:val="0"/>
          <w:lang w:val="pt-BR"/>
        </w:rPr>
        <w:t xml:space="preserve"> complia</w:t>
      </w:r>
      <w:r w:rsidRPr="341598FF" w:rsidR="4F9D5AF5">
        <w:rPr>
          <w:noProof w:val="0"/>
          <w:lang w:val="pt-BR"/>
        </w:rPr>
        <w:t xml:space="preserve">nce, </w:t>
      </w:r>
      <w:r w:rsidRPr="341598FF" w:rsidR="4F9D5AF5">
        <w:rPr>
          <w:noProof w:val="0"/>
          <w:lang w:val="pt-BR"/>
        </w:rPr>
        <w:t>r</w:t>
      </w:r>
      <w:r w:rsidRPr="341598FF" w:rsidR="4F9D5AF5">
        <w:rPr>
          <w:noProof w:val="0"/>
          <w:lang w:val="pt-BR"/>
        </w:rPr>
        <w:t>etu</w:t>
      </w:r>
      <w:r w:rsidRPr="341598FF" w:rsidR="4F9D5AF5">
        <w:rPr>
          <w:noProof w:val="0"/>
          <w:lang w:val="pt-BR"/>
        </w:rPr>
        <w:t>rn</w:t>
      </w:r>
      <w:r w:rsidRPr="341598FF" w:rsidR="4F9D5AF5">
        <w:rPr>
          <w:noProof w:val="0"/>
          <w:lang w:val="pt-BR"/>
        </w:rPr>
        <w:t xml:space="preserve"> </w:t>
      </w:r>
      <w:r w:rsidRPr="341598FF" w:rsidR="4F9D5AF5">
        <w:rPr>
          <w:noProof w:val="0"/>
          <w:lang w:val="pt-BR"/>
        </w:rPr>
        <w:t>on</w:t>
      </w:r>
      <w:r w:rsidRPr="341598FF" w:rsidR="4F9D5AF5">
        <w:rPr>
          <w:noProof w:val="0"/>
          <w:lang w:val="pt-BR"/>
        </w:rPr>
        <w:t xml:space="preserve"> </w:t>
      </w:r>
      <w:r w:rsidRPr="341598FF" w:rsidR="4F9D5AF5">
        <w:rPr>
          <w:noProof w:val="0"/>
          <w:lang w:val="pt-BR"/>
        </w:rPr>
        <w:t>investment</w:t>
      </w:r>
      <w:r w:rsidRPr="341598FF" w:rsidR="4F9D5AF5">
        <w:rPr>
          <w:noProof w:val="0"/>
          <w:lang w:val="pt-BR"/>
        </w:rPr>
        <w:t xml:space="preserve"> (ROI), </w:t>
      </w:r>
      <w:r w:rsidRPr="341598FF" w:rsidR="4F9D5AF5">
        <w:rPr>
          <w:noProof w:val="0"/>
          <w:lang w:val="pt-BR"/>
        </w:rPr>
        <w:t>and</w:t>
      </w:r>
      <w:r w:rsidRPr="341598FF" w:rsidR="4F9D5AF5">
        <w:rPr>
          <w:noProof w:val="0"/>
          <w:lang w:val="pt-BR"/>
        </w:rPr>
        <w:t xml:space="preserve"> </w:t>
      </w:r>
      <w:r w:rsidRPr="341598FF" w:rsidR="4F9D5AF5">
        <w:rPr>
          <w:noProof w:val="0"/>
          <w:lang w:val="pt-BR"/>
        </w:rPr>
        <w:t>corporate</w:t>
      </w:r>
      <w:r w:rsidRPr="341598FF" w:rsidR="4F9D5AF5">
        <w:rPr>
          <w:noProof w:val="0"/>
          <w:lang w:val="pt-BR"/>
        </w:rPr>
        <w:t xml:space="preserve"> </w:t>
      </w:r>
      <w:r w:rsidRPr="341598FF" w:rsidR="4F9D5AF5">
        <w:rPr>
          <w:noProof w:val="0"/>
          <w:lang w:val="pt-BR"/>
        </w:rPr>
        <w:t>equity</w:t>
      </w:r>
      <w:r w:rsidRPr="341598FF" w:rsidR="4F9D5AF5">
        <w:rPr>
          <w:noProof w:val="0"/>
          <w:lang w:val="pt-BR"/>
        </w:rPr>
        <w:t xml:space="preserve"> </w:t>
      </w:r>
      <w:r w:rsidRPr="341598FF" w:rsidR="4F9D5AF5">
        <w:rPr>
          <w:noProof w:val="0"/>
          <w:lang w:val="pt-BR"/>
        </w:rPr>
        <w:t>programs</w:t>
      </w:r>
      <w:r w:rsidRPr="341598FF" w:rsidR="4F9D5AF5">
        <w:rPr>
          <w:noProof w:val="0"/>
          <w:lang w:val="pt-BR"/>
        </w:rPr>
        <w:t xml:space="preserve">. It </w:t>
      </w:r>
      <w:r w:rsidRPr="341598FF" w:rsidR="4F9D5AF5">
        <w:rPr>
          <w:noProof w:val="0"/>
          <w:lang w:val="pt-BR"/>
        </w:rPr>
        <w:t>offers</w:t>
      </w:r>
      <w:r w:rsidRPr="341598FF" w:rsidR="4F9D5AF5">
        <w:rPr>
          <w:noProof w:val="0"/>
          <w:lang w:val="pt-BR"/>
        </w:rPr>
        <w:t xml:space="preserve"> a </w:t>
      </w:r>
      <w:r w:rsidRPr="341598FF" w:rsidR="4F9D5AF5">
        <w:rPr>
          <w:noProof w:val="0"/>
          <w:lang w:val="pt-BR"/>
        </w:rPr>
        <w:t>practical</w:t>
      </w:r>
      <w:r w:rsidRPr="341598FF" w:rsidR="4F9D5AF5">
        <w:rPr>
          <w:noProof w:val="0"/>
          <w:lang w:val="pt-BR"/>
        </w:rPr>
        <w:t xml:space="preserve"> </w:t>
      </w:r>
      <w:r w:rsidRPr="341598FF" w:rsidR="4F9D5AF5">
        <w:rPr>
          <w:noProof w:val="0"/>
          <w:lang w:val="pt-BR"/>
        </w:rPr>
        <w:t>and</w:t>
      </w:r>
      <w:r w:rsidRPr="341598FF" w:rsidR="4F9D5AF5">
        <w:rPr>
          <w:noProof w:val="0"/>
          <w:lang w:val="pt-BR"/>
        </w:rPr>
        <w:t xml:space="preserve"> </w:t>
      </w:r>
      <w:r w:rsidRPr="341598FF" w:rsidR="4F9D5AF5">
        <w:rPr>
          <w:noProof w:val="0"/>
          <w:lang w:val="pt-BR"/>
        </w:rPr>
        <w:t>well-founded</w:t>
      </w:r>
      <w:r w:rsidRPr="341598FF" w:rsidR="4F9D5AF5">
        <w:rPr>
          <w:noProof w:val="0"/>
          <w:lang w:val="pt-BR"/>
        </w:rPr>
        <w:t xml:space="preserve"> perspective for </w:t>
      </w:r>
      <w:r w:rsidRPr="341598FF" w:rsidR="4F9D5AF5">
        <w:rPr>
          <w:noProof w:val="0"/>
          <w:lang w:val="pt-BR"/>
        </w:rPr>
        <w:t>Human</w:t>
      </w:r>
      <w:r w:rsidRPr="341598FF" w:rsidR="4F9D5AF5">
        <w:rPr>
          <w:noProof w:val="0"/>
          <w:lang w:val="pt-BR"/>
        </w:rPr>
        <w:t xml:space="preserve"> </w:t>
      </w:r>
      <w:r w:rsidRPr="341598FF" w:rsidR="4F9D5AF5">
        <w:rPr>
          <w:noProof w:val="0"/>
          <w:lang w:val="pt-BR"/>
        </w:rPr>
        <w:t>Resources</w:t>
      </w:r>
      <w:r w:rsidRPr="341598FF" w:rsidR="4F9D5AF5">
        <w:rPr>
          <w:noProof w:val="0"/>
          <w:lang w:val="pt-BR"/>
        </w:rPr>
        <w:t xml:space="preserve"> managers </w:t>
      </w:r>
      <w:r w:rsidRPr="341598FF" w:rsidR="4F9D5AF5">
        <w:rPr>
          <w:noProof w:val="0"/>
          <w:lang w:val="pt-BR"/>
        </w:rPr>
        <w:t>and</w:t>
      </w:r>
      <w:r w:rsidRPr="341598FF" w:rsidR="4F9D5AF5">
        <w:rPr>
          <w:noProof w:val="0"/>
          <w:lang w:val="pt-BR"/>
        </w:rPr>
        <w:t xml:space="preserve"> </w:t>
      </w:r>
      <w:r w:rsidRPr="341598FF" w:rsidR="4F9D5AF5">
        <w:rPr>
          <w:noProof w:val="0"/>
          <w:lang w:val="pt-BR"/>
        </w:rPr>
        <w:t>university</w:t>
      </w:r>
      <w:r w:rsidRPr="341598FF" w:rsidR="4F9D5AF5">
        <w:rPr>
          <w:noProof w:val="0"/>
          <w:lang w:val="pt-BR"/>
        </w:rPr>
        <w:t xml:space="preserve"> </w:t>
      </w:r>
      <w:r w:rsidRPr="341598FF" w:rsidR="4F9D5AF5">
        <w:rPr>
          <w:noProof w:val="0"/>
          <w:lang w:val="pt-BR"/>
        </w:rPr>
        <w:t>students</w:t>
      </w:r>
      <w:r w:rsidRPr="341598FF" w:rsidR="4F9D5AF5">
        <w:rPr>
          <w:noProof w:val="0"/>
          <w:lang w:val="pt-BR"/>
        </w:rPr>
        <w:t xml:space="preserve">, </w:t>
      </w:r>
      <w:r w:rsidRPr="341598FF" w:rsidR="4F9D5AF5">
        <w:rPr>
          <w:noProof w:val="0"/>
          <w:lang w:val="pt-BR"/>
        </w:rPr>
        <w:t>highlighting</w:t>
      </w:r>
      <w:r w:rsidRPr="341598FF" w:rsidR="4F9D5AF5">
        <w:rPr>
          <w:noProof w:val="0"/>
          <w:lang w:val="pt-BR"/>
        </w:rPr>
        <w:t xml:space="preserve"> </w:t>
      </w:r>
      <w:r w:rsidRPr="341598FF" w:rsidR="4F9D5AF5">
        <w:rPr>
          <w:noProof w:val="0"/>
          <w:lang w:val="pt-BR"/>
        </w:rPr>
        <w:t>national</w:t>
      </w:r>
      <w:r w:rsidRPr="341598FF" w:rsidR="4F9D5AF5">
        <w:rPr>
          <w:noProof w:val="0"/>
          <w:lang w:val="pt-BR"/>
        </w:rPr>
        <w:t xml:space="preserve"> </w:t>
      </w:r>
      <w:r w:rsidRPr="341598FF" w:rsidR="4F9D5AF5">
        <w:rPr>
          <w:noProof w:val="0"/>
          <w:lang w:val="pt-BR"/>
        </w:rPr>
        <w:t>and</w:t>
      </w:r>
      <w:r w:rsidRPr="341598FF" w:rsidR="4F9D5AF5">
        <w:rPr>
          <w:noProof w:val="0"/>
          <w:lang w:val="pt-BR"/>
        </w:rPr>
        <w:t xml:space="preserve"> </w:t>
      </w:r>
      <w:r w:rsidRPr="341598FF" w:rsidR="4F9D5AF5">
        <w:rPr>
          <w:noProof w:val="0"/>
          <w:lang w:val="pt-BR"/>
        </w:rPr>
        <w:t>international</w:t>
      </w:r>
      <w:r w:rsidRPr="341598FF" w:rsidR="4F9D5AF5">
        <w:rPr>
          <w:noProof w:val="0"/>
          <w:lang w:val="pt-BR"/>
        </w:rPr>
        <w:t xml:space="preserve"> benchmarks, </w:t>
      </w:r>
      <w:r w:rsidRPr="341598FF" w:rsidR="4F9D5AF5">
        <w:rPr>
          <w:noProof w:val="0"/>
          <w:lang w:val="pt-BR"/>
        </w:rPr>
        <w:t>contractual</w:t>
      </w:r>
      <w:r w:rsidRPr="341598FF" w:rsidR="4F9D5AF5">
        <w:rPr>
          <w:noProof w:val="0"/>
          <w:lang w:val="pt-BR"/>
        </w:rPr>
        <w:t xml:space="preserve"> </w:t>
      </w:r>
      <w:r w:rsidRPr="341598FF" w:rsidR="4F9D5AF5">
        <w:rPr>
          <w:noProof w:val="0"/>
          <w:lang w:val="pt-BR"/>
        </w:rPr>
        <w:t>inclusion</w:t>
      </w:r>
      <w:r w:rsidRPr="341598FF" w:rsidR="4F9D5AF5">
        <w:rPr>
          <w:noProof w:val="0"/>
          <w:lang w:val="pt-BR"/>
        </w:rPr>
        <w:t xml:space="preserve"> frameworks, </w:t>
      </w:r>
      <w:r w:rsidRPr="341598FF" w:rsidR="4F9D5AF5">
        <w:rPr>
          <w:noProof w:val="0"/>
          <w:lang w:val="pt-BR"/>
        </w:rPr>
        <w:t>and</w:t>
      </w:r>
      <w:r w:rsidRPr="341598FF" w:rsidR="4F9D5AF5">
        <w:rPr>
          <w:noProof w:val="0"/>
          <w:lang w:val="pt-BR"/>
        </w:rPr>
        <w:t xml:space="preserve"> social </w:t>
      </w:r>
      <w:r w:rsidRPr="341598FF" w:rsidR="4F9D5AF5">
        <w:rPr>
          <w:noProof w:val="0"/>
          <w:lang w:val="pt-BR"/>
        </w:rPr>
        <w:t>impact</w:t>
      </w:r>
      <w:r w:rsidRPr="341598FF" w:rsidR="4F9D5AF5">
        <w:rPr>
          <w:noProof w:val="0"/>
          <w:lang w:val="pt-BR"/>
        </w:rPr>
        <w:t xml:space="preserve"> </w:t>
      </w:r>
      <w:r w:rsidRPr="341598FF" w:rsidR="4F9D5AF5">
        <w:rPr>
          <w:noProof w:val="0"/>
          <w:lang w:val="pt-BR"/>
        </w:rPr>
        <w:t>matrices</w:t>
      </w:r>
      <w:r w:rsidRPr="341598FF" w:rsidR="4F9D5AF5">
        <w:rPr>
          <w:noProof w:val="0"/>
          <w:lang w:val="pt-BR"/>
        </w:rPr>
        <w:t xml:space="preserve"> </w:t>
      </w:r>
      <w:r w:rsidRPr="341598FF" w:rsidR="4F9D5AF5">
        <w:rPr>
          <w:noProof w:val="0"/>
          <w:lang w:val="pt-BR"/>
        </w:rPr>
        <w:t>that</w:t>
      </w:r>
      <w:r w:rsidRPr="341598FF" w:rsidR="4F9D5AF5">
        <w:rPr>
          <w:noProof w:val="0"/>
          <w:lang w:val="pt-BR"/>
        </w:rPr>
        <w:t xml:space="preserve"> </w:t>
      </w:r>
      <w:r w:rsidRPr="341598FF" w:rsidR="4F9D5AF5">
        <w:rPr>
          <w:noProof w:val="0"/>
          <w:lang w:val="pt-BR"/>
        </w:rPr>
        <w:t>support</w:t>
      </w:r>
      <w:r w:rsidRPr="341598FF" w:rsidR="4F9D5AF5">
        <w:rPr>
          <w:noProof w:val="0"/>
          <w:lang w:val="pt-BR"/>
        </w:rPr>
        <w:t xml:space="preserve"> </w:t>
      </w:r>
      <w:r w:rsidRPr="341598FF" w:rsidR="4F9D5AF5">
        <w:rPr>
          <w:noProof w:val="0"/>
          <w:lang w:val="pt-BR"/>
        </w:rPr>
        <w:t>the</w:t>
      </w:r>
      <w:r w:rsidRPr="341598FF" w:rsidR="4F9D5AF5">
        <w:rPr>
          <w:noProof w:val="0"/>
          <w:lang w:val="pt-BR"/>
        </w:rPr>
        <w:t xml:space="preserve"> </w:t>
      </w:r>
      <w:r w:rsidRPr="341598FF" w:rsidR="4F9D5AF5">
        <w:rPr>
          <w:noProof w:val="0"/>
          <w:lang w:val="pt-BR"/>
        </w:rPr>
        <w:t>selection</w:t>
      </w:r>
      <w:r w:rsidRPr="341598FF" w:rsidR="4F9D5AF5">
        <w:rPr>
          <w:noProof w:val="0"/>
          <w:lang w:val="pt-BR"/>
        </w:rPr>
        <w:t xml:space="preserve"> </w:t>
      </w:r>
      <w:r w:rsidRPr="341598FF" w:rsidR="4F9D5AF5">
        <w:rPr>
          <w:noProof w:val="0"/>
          <w:lang w:val="pt-BR"/>
        </w:rPr>
        <w:t>of</w:t>
      </w:r>
      <w:r w:rsidRPr="341598FF" w:rsidR="4F9D5AF5">
        <w:rPr>
          <w:noProof w:val="0"/>
          <w:lang w:val="pt-BR"/>
        </w:rPr>
        <w:t xml:space="preserve"> </w:t>
      </w:r>
      <w:r w:rsidRPr="341598FF" w:rsidR="4F9D5AF5">
        <w:rPr>
          <w:noProof w:val="0"/>
          <w:lang w:val="pt-BR"/>
        </w:rPr>
        <w:t>the</w:t>
      </w:r>
      <w:r w:rsidRPr="341598FF" w:rsidR="4F9D5AF5">
        <w:rPr>
          <w:noProof w:val="0"/>
          <w:lang w:val="pt-BR"/>
        </w:rPr>
        <w:t xml:space="preserve"> </w:t>
      </w:r>
      <w:r w:rsidRPr="341598FF" w:rsidR="4F9D5AF5">
        <w:rPr>
          <w:noProof w:val="0"/>
          <w:lang w:val="pt-BR"/>
        </w:rPr>
        <w:t>most</w:t>
      </w:r>
      <w:r w:rsidRPr="341598FF" w:rsidR="4F9D5AF5">
        <w:rPr>
          <w:noProof w:val="0"/>
          <w:lang w:val="pt-BR"/>
        </w:rPr>
        <w:t xml:space="preserve"> </w:t>
      </w:r>
      <w:r w:rsidRPr="341598FF" w:rsidR="4F9D5AF5">
        <w:rPr>
          <w:noProof w:val="0"/>
          <w:lang w:val="pt-BR"/>
        </w:rPr>
        <w:t>appropriate</w:t>
      </w:r>
      <w:r w:rsidRPr="341598FF" w:rsidR="4F9D5AF5">
        <w:rPr>
          <w:noProof w:val="0"/>
          <w:lang w:val="pt-BR"/>
        </w:rPr>
        <w:t xml:space="preserve"> model for </w:t>
      </w:r>
      <w:r w:rsidRPr="341598FF" w:rsidR="4F9D5AF5">
        <w:rPr>
          <w:noProof w:val="0"/>
          <w:lang w:val="pt-BR"/>
        </w:rPr>
        <w:t>diversity</w:t>
      </w:r>
      <w:r w:rsidRPr="341598FF" w:rsidR="4F9D5AF5">
        <w:rPr>
          <w:noProof w:val="0"/>
          <w:lang w:val="pt-BR"/>
        </w:rPr>
        <w:t xml:space="preserve"> </w:t>
      </w:r>
      <w:r w:rsidRPr="341598FF" w:rsidR="4F9D5AF5">
        <w:rPr>
          <w:noProof w:val="0"/>
          <w:lang w:val="pt-BR"/>
        </w:rPr>
        <w:t>strategies</w:t>
      </w:r>
      <w:r w:rsidRPr="341598FF" w:rsidR="4F9D5AF5">
        <w:rPr>
          <w:noProof w:val="0"/>
          <w:lang w:val="pt-BR"/>
        </w:rPr>
        <w:t>.</w:t>
      </w:r>
    </w:p>
    <w:p xmlns:wp14="http://schemas.microsoft.com/office/word/2010/wordml" w:rsidP="341598FF" wp14:paraId="21EDBD6E" wp14:textId="481F4698">
      <w:pPr>
        <w:pStyle w:val="Normal"/>
        <w:jc w:val="both"/>
        <w:rPr>
          <w:noProof w:val="0"/>
          <w:lang w:val="pt-BR"/>
        </w:rPr>
      </w:pPr>
      <w:r w:rsidRPr="341598FF" w:rsidR="4F9D5AF5">
        <w:rPr>
          <w:noProof w:val="0"/>
          <w:lang w:val="pt-BR"/>
        </w:rPr>
        <w:t>In ad</w:t>
      </w:r>
      <w:r w:rsidRPr="341598FF" w:rsidR="4F9D5AF5">
        <w:rPr>
          <w:noProof w:val="0"/>
          <w:lang w:val="pt-BR"/>
        </w:rPr>
        <w:t>di</w:t>
      </w:r>
      <w:r w:rsidRPr="341598FF" w:rsidR="4F9D5AF5">
        <w:rPr>
          <w:noProof w:val="0"/>
          <w:lang w:val="pt-BR"/>
        </w:rPr>
        <w:t>t</w:t>
      </w:r>
      <w:r w:rsidRPr="341598FF" w:rsidR="4F9D5AF5">
        <w:rPr>
          <w:noProof w:val="0"/>
          <w:lang w:val="pt-BR"/>
        </w:rPr>
        <w:t>io</w:t>
      </w:r>
      <w:r w:rsidRPr="341598FF" w:rsidR="4F9D5AF5">
        <w:rPr>
          <w:noProof w:val="0"/>
          <w:lang w:val="pt-BR"/>
        </w:rPr>
        <w:t>n</w:t>
      </w:r>
      <w:r w:rsidRPr="341598FF" w:rsidR="4F9D5AF5">
        <w:rPr>
          <w:noProof w:val="0"/>
          <w:lang w:val="pt-BR"/>
        </w:rPr>
        <w:t xml:space="preserve"> </w:t>
      </w:r>
      <w:r w:rsidRPr="341598FF" w:rsidR="4F9D5AF5">
        <w:rPr>
          <w:noProof w:val="0"/>
          <w:lang w:val="pt-BR"/>
        </w:rPr>
        <w:t>to</w:t>
      </w:r>
      <w:r w:rsidRPr="341598FF" w:rsidR="4F9D5AF5">
        <w:rPr>
          <w:noProof w:val="0"/>
          <w:lang w:val="pt-BR"/>
        </w:rPr>
        <w:t xml:space="preserve"> </w:t>
      </w:r>
      <w:r w:rsidRPr="341598FF" w:rsidR="4F9D5AF5">
        <w:rPr>
          <w:noProof w:val="0"/>
          <w:lang w:val="pt-BR"/>
        </w:rPr>
        <w:t>a</w:t>
      </w:r>
      <w:r w:rsidRPr="341598FF" w:rsidR="4F9D5AF5">
        <w:rPr>
          <w:noProof w:val="0"/>
          <w:lang w:val="pt-BR"/>
        </w:rPr>
        <w:t>d</w:t>
      </w:r>
      <w:r w:rsidRPr="341598FF" w:rsidR="4F9D5AF5">
        <w:rPr>
          <w:noProof w:val="0"/>
          <w:lang w:val="pt-BR"/>
        </w:rPr>
        <w:t>dres</w:t>
      </w:r>
      <w:r w:rsidRPr="341598FF" w:rsidR="4F9D5AF5">
        <w:rPr>
          <w:noProof w:val="0"/>
          <w:lang w:val="pt-BR"/>
        </w:rPr>
        <w:t>s</w:t>
      </w:r>
      <w:r w:rsidRPr="341598FF" w:rsidR="4F9D5AF5">
        <w:rPr>
          <w:noProof w:val="0"/>
          <w:lang w:val="pt-BR"/>
        </w:rPr>
        <w:t>i</w:t>
      </w:r>
      <w:r w:rsidRPr="341598FF" w:rsidR="4F9D5AF5">
        <w:rPr>
          <w:noProof w:val="0"/>
          <w:lang w:val="pt-BR"/>
        </w:rPr>
        <w:t>n</w:t>
      </w:r>
      <w:r w:rsidRPr="341598FF" w:rsidR="4F9D5AF5">
        <w:rPr>
          <w:noProof w:val="0"/>
          <w:lang w:val="pt-BR"/>
        </w:rPr>
        <w:t>g</w:t>
      </w:r>
      <w:r w:rsidRPr="341598FF" w:rsidR="4F9D5AF5">
        <w:rPr>
          <w:noProof w:val="0"/>
          <w:lang w:val="pt-BR"/>
        </w:rPr>
        <w:t xml:space="preserve"> </w:t>
      </w:r>
      <w:r w:rsidRPr="341598FF" w:rsidR="4F9D5AF5">
        <w:rPr>
          <w:noProof w:val="0"/>
          <w:lang w:val="pt-BR"/>
        </w:rPr>
        <w:t>l</w:t>
      </w:r>
      <w:r w:rsidRPr="341598FF" w:rsidR="4F9D5AF5">
        <w:rPr>
          <w:noProof w:val="0"/>
          <w:lang w:val="pt-BR"/>
        </w:rPr>
        <w:t>ega</w:t>
      </w:r>
      <w:r w:rsidRPr="341598FF" w:rsidR="4F9D5AF5">
        <w:rPr>
          <w:noProof w:val="0"/>
          <w:lang w:val="pt-BR"/>
        </w:rPr>
        <w:t xml:space="preserve">l </w:t>
      </w:r>
      <w:r w:rsidRPr="341598FF" w:rsidR="4F9D5AF5">
        <w:rPr>
          <w:noProof w:val="0"/>
          <w:lang w:val="pt-BR"/>
        </w:rPr>
        <w:t xml:space="preserve">and </w:t>
      </w:r>
      <w:r w:rsidRPr="341598FF" w:rsidR="4F9D5AF5">
        <w:rPr>
          <w:noProof w:val="0"/>
          <w:lang w:val="pt-BR"/>
        </w:rPr>
        <w:t>fin</w:t>
      </w:r>
      <w:r w:rsidRPr="341598FF" w:rsidR="4F9D5AF5">
        <w:rPr>
          <w:noProof w:val="0"/>
          <w:lang w:val="pt-BR"/>
        </w:rPr>
        <w:t>anci</w:t>
      </w:r>
      <w:r w:rsidRPr="341598FF" w:rsidR="4F9D5AF5">
        <w:rPr>
          <w:noProof w:val="0"/>
          <w:lang w:val="pt-BR"/>
        </w:rPr>
        <w:t>a</w:t>
      </w:r>
      <w:r w:rsidRPr="341598FF" w:rsidR="4F9D5AF5">
        <w:rPr>
          <w:noProof w:val="0"/>
          <w:lang w:val="pt-BR"/>
        </w:rPr>
        <w:t>l a</w:t>
      </w:r>
      <w:r w:rsidRPr="341598FF" w:rsidR="4F9D5AF5">
        <w:rPr>
          <w:noProof w:val="0"/>
          <w:lang w:val="pt-BR"/>
        </w:rPr>
        <w:t>spects, t</w:t>
      </w:r>
      <w:r w:rsidRPr="341598FF" w:rsidR="4F9D5AF5">
        <w:rPr>
          <w:noProof w:val="0"/>
          <w:lang w:val="pt-BR"/>
        </w:rPr>
        <w:t>he article emphasizes the role of contracts in talen</w:t>
      </w:r>
      <w:r w:rsidRPr="341598FF" w:rsidR="4F9D5AF5">
        <w:rPr>
          <w:noProof w:val="0"/>
          <w:lang w:val="pt-BR"/>
        </w:rPr>
        <w:t>t r</w:t>
      </w:r>
      <w:r w:rsidRPr="341598FF" w:rsidR="4F9D5AF5">
        <w:rPr>
          <w:noProof w:val="0"/>
          <w:lang w:val="pt-BR"/>
        </w:rPr>
        <w:t>etention, organizati</w:t>
      </w:r>
      <w:r w:rsidRPr="341598FF" w:rsidR="4F9D5AF5">
        <w:rPr>
          <w:noProof w:val="0"/>
          <w:lang w:val="pt-BR"/>
        </w:rPr>
        <w:t>onal produc</w:t>
      </w:r>
      <w:r w:rsidRPr="341598FF" w:rsidR="4F9D5AF5">
        <w:rPr>
          <w:noProof w:val="0"/>
          <w:lang w:val="pt-BR"/>
        </w:rPr>
        <w:t>tivity, and institutional reputation, integrating ESG (Environmental, Social and Go</w:t>
      </w:r>
      <w:r w:rsidRPr="341598FF" w:rsidR="4F9D5AF5">
        <w:rPr>
          <w:noProof w:val="0"/>
          <w:lang w:val="pt-BR"/>
        </w:rPr>
        <w:t>v</w:t>
      </w:r>
      <w:r w:rsidRPr="341598FF" w:rsidR="4F9D5AF5">
        <w:rPr>
          <w:noProof w:val="0"/>
          <w:lang w:val="pt-BR"/>
        </w:rPr>
        <w:t>er</w:t>
      </w:r>
      <w:r w:rsidRPr="341598FF" w:rsidR="4F9D5AF5">
        <w:rPr>
          <w:noProof w:val="0"/>
          <w:lang w:val="pt-BR"/>
        </w:rPr>
        <w:t>nance) in</w:t>
      </w:r>
      <w:r w:rsidRPr="341598FF" w:rsidR="4F9D5AF5">
        <w:rPr>
          <w:noProof w:val="0"/>
          <w:lang w:val="pt-BR"/>
        </w:rPr>
        <w:t>dicators into people mana</w:t>
      </w:r>
      <w:r w:rsidRPr="341598FF" w:rsidR="4F9D5AF5">
        <w:rPr>
          <w:noProof w:val="0"/>
          <w:lang w:val="pt-BR"/>
        </w:rPr>
        <w:t>gement prac</w:t>
      </w:r>
      <w:r w:rsidRPr="341598FF" w:rsidR="4F9D5AF5">
        <w:rPr>
          <w:noProof w:val="0"/>
          <w:lang w:val="pt-BR"/>
        </w:rPr>
        <w:t xml:space="preserve">tices. The aim </w:t>
      </w:r>
      <w:r w:rsidRPr="341598FF" w:rsidR="4F9D5AF5">
        <w:rPr>
          <w:noProof w:val="0"/>
          <w:lang w:val="pt-BR"/>
        </w:rPr>
        <w:t>is</w:t>
      </w:r>
      <w:r w:rsidRPr="341598FF" w:rsidR="4F9D5AF5">
        <w:rPr>
          <w:noProof w:val="0"/>
          <w:lang w:val="pt-BR"/>
        </w:rPr>
        <w:t xml:space="preserve"> </w:t>
      </w:r>
      <w:r w:rsidRPr="341598FF" w:rsidR="4F9D5AF5">
        <w:rPr>
          <w:noProof w:val="0"/>
          <w:lang w:val="pt-BR"/>
        </w:rPr>
        <w:t>to</w:t>
      </w:r>
      <w:r w:rsidRPr="341598FF" w:rsidR="4F9D5AF5">
        <w:rPr>
          <w:noProof w:val="0"/>
          <w:lang w:val="pt-BR"/>
        </w:rPr>
        <w:t xml:space="preserve"> </w:t>
      </w:r>
      <w:r w:rsidRPr="341598FF" w:rsidR="4F9D5AF5">
        <w:rPr>
          <w:noProof w:val="0"/>
          <w:lang w:val="pt-BR"/>
        </w:rPr>
        <w:t>deliver</w:t>
      </w:r>
      <w:r w:rsidRPr="341598FF" w:rsidR="4F9D5AF5">
        <w:rPr>
          <w:noProof w:val="0"/>
          <w:lang w:val="pt-BR"/>
        </w:rPr>
        <w:t xml:space="preserve"> a </w:t>
      </w:r>
      <w:r w:rsidRPr="341598FF" w:rsidR="4F9D5AF5">
        <w:rPr>
          <w:noProof w:val="0"/>
          <w:lang w:val="pt-BR"/>
        </w:rPr>
        <w:t>clear</w:t>
      </w:r>
      <w:r w:rsidRPr="341598FF" w:rsidR="4F9D5AF5">
        <w:rPr>
          <w:noProof w:val="0"/>
          <w:lang w:val="pt-BR"/>
        </w:rPr>
        <w:t xml:space="preserve">, </w:t>
      </w:r>
      <w:r w:rsidRPr="341598FF" w:rsidR="4F9D5AF5">
        <w:rPr>
          <w:noProof w:val="0"/>
          <w:lang w:val="pt-BR"/>
        </w:rPr>
        <w:t>accessible</w:t>
      </w:r>
      <w:r w:rsidRPr="341598FF" w:rsidR="4F9D5AF5">
        <w:rPr>
          <w:noProof w:val="0"/>
          <w:lang w:val="pt-BR"/>
        </w:rPr>
        <w:t>,</w:t>
      </w:r>
      <w:r w:rsidRPr="341598FF" w:rsidR="4F9D5AF5">
        <w:rPr>
          <w:noProof w:val="0"/>
          <w:lang w:val="pt-BR"/>
        </w:rPr>
        <w:t xml:space="preserve"> </w:t>
      </w:r>
      <w:r w:rsidRPr="341598FF" w:rsidR="4F9D5AF5">
        <w:rPr>
          <w:noProof w:val="0"/>
          <w:lang w:val="pt-BR"/>
        </w:rPr>
        <w:t>and</w:t>
      </w:r>
      <w:r w:rsidRPr="341598FF" w:rsidR="4F9D5AF5">
        <w:rPr>
          <w:noProof w:val="0"/>
          <w:lang w:val="pt-BR"/>
        </w:rPr>
        <w:t xml:space="preserve"> </w:t>
      </w:r>
      <w:r w:rsidRPr="341598FF" w:rsidR="4F9D5AF5">
        <w:rPr>
          <w:noProof w:val="0"/>
          <w:lang w:val="pt-BR"/>
        </w:rPr>
        <w:t>applied</w:t>
      </w:r>
      <w:r w:rsidRPr="341598FF" w:rsidR="4F9D5AF5">
        <w:rPr>
          <w:noProof w:val="0"/>
          <w:lang w:val="pt-BR"/>
        </w:rPr>
        <w:t xml:space="preserve"> </w:t>
      </w:r>
      <w:r w:rsidRPr="341598FF" w:rsidR="4F9D5AF5">
        <w:rPr>
          <w:noProof w:val="0"/>
          <w:lang w:val="pt-BR"/>
        </w:rPr>
        <w:t>reference</w:t>
      </w:r>
      <w:r w:rsidRPr="341598FF" w:rsidR="4F9D5AF5">
        <w:rPr>
          <w:noProof w:val="0"/>
          <w:lang w:val="pt-BR"/>
        </w:rPr>
        <w:t xml:space="preserve"> </w:t>
      </w:r>
      <w:r w:rsidRPr="341598FF" w:rsidR="4F9D5AF5">
        <w:rPr>
          <w:noProof w:val="0"/>
          <w:lang w:val="pt-BR"/>
        </w:rPr>
        <w:t>that</w:t>
      </w:r>
      <w:r w:rsidRPr="341598FF" w:rsidR="4F9D5AF5">
        <w:rPr>
          <w:noProof w:val="0"/>
          <w:lang w:val="pt-BR"/>
        </w:rPr>
        <w:t xml:space="preserve"> </w:t>
      </w:r>
      <w:r w:rsidRPr="341598FF" w:rsidR="4F9D5AF5">
        <w:rPr>
          <w:noProof w:val="0"/>
          <w:lang w:val="pt-BR"/>
        </w:rPr>
        <w:t>contributes</w:t>
      </w:r>
      <w:r w:rsidRPr="341598FF" w:rsidR="4F9D5AF5">
        <w:rPr>
          <w:noProof w:val="0"/>
          <w:lang w:val="pt-BR"/>
        </w:rPr>
        <w:t xml:space="preserve"> </w:t>
      </w:r>
      <w:r w:rsidRPr="341598FF" w:rsidR="4F9D5AF5">
        <w:rPr>
          <w:noProof w:val="0"/>
          <w:lang w:val="pt-BR"/>
        </w:rPr>
        <w:t>to</w:t>
      </w:r>
      <w:r w:rsidRPr="341598FF" w:rsidR="4F9D5AF5">
        <w:rPr>
          <w:noProof w:val="0"/>
          <w:lang w:val="pt-BR"/>
        </w:rPr>
        <w:t xml:space="preserve"> </w:t>
      </w:r>
      <w:r w:rsidRPr="341598FF" w:rsidR="4F9D5AF5">
        <w:rPr>
          <w:noProof w:val="0"/>
          <w:lang w:val="pt-BR"/>
        </w:rPr>
        <w:t>strategic</w:t>
      </w:r>
      <w:r w:rsidRPr="341598FF" w:rsidR="4F9D5AF5">
        <w:rPr>
          <w:noProof w:val="0"/>
          <w:lang w:val="pt-BR"/>
        </w:rPr>
        <w:t xml:space="preserve"> </w:t>
      </w:r>
      <w:r w:rsidRPr="341598FF" w:rsidR="4F9D5AF5">
        <w:rPr>
          <w:noProof w:val="0"/>
          <w:lang w:val="pt-BR"/>
        </w:rPr>
        <w:t>decision</w:t>
      </w:r>
      <w:r w:rsidRPr="341598FF" w:rsidR="4F9D5AF5">
        <w:rPr>
          <w:noProof w:val="0"/>
          <w:lang w:val="pt-BR"/>
        </w:rPr>
        <w:t xml:space="preserve">-making, </w:t>
      </w:r>
      <w:r w:rsidRPr="341598FF" w:rsidR="4F9D5AF5">
        <w:rPr>
          <w:noProof w:val="0"/>
          <w:lang w:val="pt-BR"/>
        </w:rPr>
        <w:t>strengthening</w:t>
      </w:r>
      <w:r w:rsidRPr="341598FF" w:rsidR="4F9D5AF5">
        <w:rPr>
          <w:noProof w:val="0"/>
          <w:lang w:val="pt-BR"/>
        </w:rPr>
        <w:t xml:space="preserve"> </w:t>
      </w:r>
      <w:r w:rsidRPr="341598FF" w:rsidR="4F9D5AF5">
        <w:rPr>
          <w:noProof w:val="0"/>
          <w:lang w:val="pt-BR"/>
        </w:rPr>
        <w:t>HR’s</w:t>
      </w:r>
      <w:r w:rsidRPr="341598FF" w:rsidR="4F9D5AF5">
        <w:rPr>
          <w:noProof w:val="0"/>
          <w:lang w:val="pt-BR"/>
        </w:rPr>
        <w:t xml:space="preserve"> ro</w:t>
      </w:r>
      <w:r w:rsidRPr="341598FF" w:rsidR="4F9D5AF5">
        <w:rPr>
          <w:noProof w:val="0"/>
          <w:lang w:val="pt-BR"/>
        </w:rPr>
        <w:t xml:space="preserve">le as </w:t>
      </w:r>
      <w:r w:rsidRPr="341598FF" w:rsidR="4F9D5AF5">
        <w:rPr>
          <w:noProof w:val="0"/>
          <w:lang w:val="pt-BR"/>
        </w:rPr>
        <w:t>an</w:t>
      </w:r>
      <w:r w:rsidRPr="341598FF" w:rsidR="4F9D5AF5">
        <w:rPr>
          <w:noProof w:val="0"/>
          <w:lang w:val="pt-BR"/>
        </w:rPr>
        <w:t xml:space="preserve"> </w:t>
      </w:r>
      <w:r w:rsidRPr="341598FF" w:rsidR="4F9D5AF5">
        <w:rPr>
          <w:noProof w:val="0"/>
          <w:lang w:val="pt-BR"/>
        </w:rPr>
        <w:t>agent</w:t>
      </w:r>
      <w:r w:rsidRPr="341598FF" w:rsidR="4F9D5AF5">
        <w:rPr>
          <w:noProof w:val="0"/>
          <w:lang w:val="pt-BR"/>
        </w:rPr>
        <w:t xml:space="preserve"> </w:t>
      </w:r>
      <w:r w:rsidRPr="341598FF" w:rsidR="4F9D5AF5">
        <w:rPr>
          <w:noProof w:val="0"/>
          <w:lang w:val="pt-BR"/>
        </w:rPr>
        <w:t>of</w:t>
      </w:r>
      <w:r w:rsidRPr="341598FF" w:rsidR="4F9D5AF5">
        <w:rPr>
          <w:noProof w:val="0"/>
          <w:lang w:val="pt-BR"/>
        </w:rPr>
        <w:t xml:space="preserve"> </w:t>
      </w:r>
      <w:r w:rsidRPr="341598FF" w:rsidR="4F9D5AF5">
        <w:rPr>
          <w:noProof w:val="0"/>
          <w:lang w:val="pt-BR"/>
        </w:rPr>
        <w:t>transfo</w:t>
      </w:r>
      <w:r w:rsidRPr="341598FF" w:rsidR="4F9D5AF5">
        <w:rPr>
          <w:noProof w:val="0"/>
          <w:lang w:val="pt-BR"/>
        </w:rPr>
        <w:t>rmation</w:t>
      </w:r>
      <w:r w:rsidRPr="341598FF" w:rsidR="4F9D5AF5">
        <w:rPr>
          <w:noProof w:val="0"/>
          <w:lang w:val="pt-BR"/>
        </w:rPr>
        <w:t xml:space="preserve"> </w:t>
      </w:r>
      <w:r w:rsidRPr="341598FF" w:rsidR="4F9D5AF5">
        <w:rPr>
          <w:noProof w:val="0"/>
          <w:lang w:val="pt-BR"/>
        </w:rPr>
        <w:t>and</w:t>
      </w:r>
      <w:r w:rsidRPr="341598FF" w:rsidR="4F9D5AF5">
        <w:rPr>
          <w:noProof w:val="0"/>
          <w:lang w:val="pt-BR"/>
        </w:rPr>
        <w:t xml:space="preserve"> </w:t>
      </w:r>
      <w:r w:rsidRPr="341598FF" w:rsidR="4F9D5AF5">
        <w:rPr>
          <w:noProof w:val="0"/>
          <w:lang w:val="pt-BR"/>
        </w:rPr>
        <w:t>sustainability</w:t>
      </w:r>
      <w:r w:rsidRPr="341598FF" w:rsidR="4F9D5AF5">
        <w:rPr>
          <w:noProof w:val="0"/>
          <w:lang w:val="pt-BR"/>
        </w:rPr>
        <w:t xml:space="preserve"> </w:t>
      </w:r>
      <w:r w:rsidRPr="341598FF" w:rsidR="4F9D5AF5">
        <w:rPr>
          <w:noProof w:val="0"/>
          <w:lang w:val="pt-BR"/>
        </w:rPr>
        <w:t>within</w:t>
      </w:r>
      <w:r w:rsidRPr="341598FF" w:rsidR="4F9D5AF5">
        <w:rPr>
          <w:noProof w:val="0"/>
          <w:lang w:val="pt-BR"/>
        </w:rPr>
        <w:t xml:space="preserve"> </w:t>
      </w:r>
      <w:r w:rsidRPr="341598FF" w:rsidR="4F9D5AF5">
        <w:rPr>
          <w:noProof w:val="0"/>
          <w:lang w:val="pt-BR"/>
        </w:rPr>
        <w:t>organizations</w:t>
      </w:r>
      <w:r w:rsidRPr="341598FF" w:rsidR="4F9D5AF5">
        <w:rPr>
          <w:noProof w:val="0"/>
          <w:lang w:val="pt-BR"/>
        </w:rPr>
        <w:t>.</w:t>
      </w:r>
    </w:p>
    <w:p xmlns:wp14="http://schemas.microsoft.com/office/word/2010/wordml" wp14:paraId="2667698C" wp14:textId="7ED94AE5"/>
    <w:p xmlns:wp14="http://schemas.microsoft.com/office/word/2010/wordml" wp14:paraId="5130D317" wp14:textId="483E76B5"/>
    <w:p xmlns:wp14="http://schemas.microsoft.com/office/word/2010/wordml" w:rsidP="341598FF" wp14:paraId="1218FEF3" wp14:textId="7BFFB0F7">
      <w:pPr>
        <w:pStyle w:val="Normal"/>
        <w:jc w:val="right"/>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7F35FD07">
        <w:rPr>
          <w:noProof w:val="0"/>
          <w:lang w:val="pt-BR"/>
        </w:rPr>
        <w:t>Sobre a Autora</w:t>
      </w:r>
    </w:p>
    <w:p xmlns:wp14="http://schemas.microsoft.com/office/word/2010/wordml" w:rsidP="341598FF" wp14:paraId="22EF8119" wp14:textId="11CF5C4E">
      <w:pPr>
        <w:pStyle w:val="Normal"/>
        <w:jc w:val="both"/>
        <w:rPr>
          <w:noProof w:val="0"/>
          <w:lang w:val="pt-BR"/>
        </w:rPr>
      </w:pPr>
    </w:p>
    <w:p xmlns:wp14="http://schemas.microsoft.com/office/word/2010/wordml" w:rsidP="341598FF" wp14:paraId="7DC50130" wp14:textId="316ABF43">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7F35FD07">
        <w:rPr>
          <w:noProof w:val="0"/>
          <w:lang w:val="pt-BR"/>
        </w:rPr>
        <w:t>Drielly</w:t>
      </w:r>
      <w:r w:rsidRPr="341598FF" w:rsidR="7F35FD07">
        <w:rPr>
          <w:noProof w:val="0"/>
          <w:lang w:val="pt-BR"/>
        </w:rPr>
        <w:t xml:space="preserve"> </w:t>
      </w:r>
      <w:r w:rsidRPr="341598FF" w:rsidR="7F35FD07">
        <w:rPr>
          <w:noProof w:val="0"/>
          <w:lang w:val="pt-BR"/>
        </w:rPr>
        <w:t>Steisilly</w:t>
      </w:r>
      <w:r w:rsidRPr="341598FF" w:rsidR="7F35FD07">
        <w:rPr>
          <w:noProof w:val="0"/>
          <w:lang w:val="pt-BR"/>
        </w:rPr>
        <w:t xml:space="preserve"> Teixeira de Oliveira é estudante de Gestã</w:t>
      </w:r>
      <w:r w:rsidRPr="341598FF" w:rsidR="7F35FD07">
        <w:rPr>
          <w:noProof w:val="0"/>
          <w:lang w:val="pt-BR"/>
        </w:rPr>
        <w:t xml:space="preserve">o de </w:t>
      </w:r>
      <w:r w:rsidRPr="341598FF" w:rsidR="7F35FD07">
        <w:rPr>
          <w:noProof w:val="0"/>
          <w:lang w:val="pt-BR"/>
        </w:rPr>
        <w:t>Re</w:t>
      </w:r>
      <w:r w:rsidRPr="341598FF" w:rsidR="7F35FD07">
        <w:rPr>
          <w:noProof w:val="0"/>
          <w:lang w:val="pt-BR"/>
        </w:rPr>
        <w:t>cursos Hum</w:t>
      </w:r>
      <w:r w:rsidRPr="341598FF" w:rsidR="7F35FD07">
        <w:rPr>
          <w:noProof w:val="0"/>
          <w:lang w:val="pt-BR"/>
        </w:rPr>
        <w:t>anos p</w:t>
      </w:r>
      <w:r w:rsidRPr="341598FF" w:rsidR="7F35FD07">
        <w:rPr>
          <w:noProof w:val="0"/>
          <w:lang w:val="pt-BR"/>
        </w:rPr>
        <w:t>ela</w:t>
      </w:r>
      <w:r w:rsidRPr="341598FF" w:rsidR="7F35FD07">
        <w:rPr>
          <w:noProof w:val="0"/>
          <w:lang w:val="pt-BR"/>
        </w:rPr>
        <w:t xml:space="preserve"> Faculdade Anhanguera, em São Paulo/SP. Com 19 anos, já possui formação técnica em Recursos Humanos pela ETEC de Itaquaquecetuba e experiência prática em atendimento ao cliente e suporte administrativo. Seu foco acadêmico e profissional está voltado para o Departamento Pessoal e Folha de Pagamento, com aprofundamento em legislação trabalhista, </w:t>
      </w:r>
      <w:r w:rsidRPr="341598FF" w:rsidR="7F35FD07">
        <w:rPr>
          <w:noProof w:val="0"/>
          <w:lang w:val="pt-BR"/>
        </w:rPr>
        <w:t>eSocial</w:t>
      </w:r>
      <w:r w:rsidRPr="341598FF" w:rsidR="7F35FD07">
        <w:rPr>
          <w:noProof w:val="0"/>
          <w:lang w:val="pt-BR"/>
        </w:rPr>
        <w:t xml:space="preserve"> e rotinas administrativas. </w:t>
      </w:r>
    </w:p>
    <w:p xmlns:wp14="http://schemas.microsoft.com/office/word/2010/wordml" w:rsidP="341598FF" wp14:paraId="75082F3D" wp14:textId="4AB9452C">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7F35FD07">
        <w:rPr>
          <w:noProof w:val="0"/>
          <w:lang w:val="pt-BR"/>
        </w:rPr>
        <w:t>Driell</w:t>
      </w:r>
      <w:r w:rsidRPr="341598FF" w:rsidR="7F35FD07">
        <w:rPr>
          <w:noProof w:val="0"/>
          <w:lang w:val="pt-BR"/>
        </w:rPr>
        <w:t>y</w:t>
      </w:r>
      <w:r w:rsidRPr="341598FF" w:rsidR="7F35FD07">
        <w:rPr>
          <w:noProof w:val="0"/>
          <w:lang w:val="pt-BR"/>
        </w:rPr>
        <w:t xml:space="preserve"> s</w:t>
      </w:r>
      <w:r w:rsidRPr="341598FF" w:rsidR="7F35FD07">
        <w:rPr>
          <w:noProof w:val="0"/>
          <w:lang w:val="pt-BR"/>
        </w:rPr>
        <w:t>e destaca pela liderança em projetos acadêmicos, como a coordenação da “Semana do Gestor”, e pela busca constante de atualização em cursos complementares, incluindo especialização em Departamento Pessoal. Jovem profissional comprometida, ética e em constante desenvolvimento, tem como objetivo contribuir para organizações por meio de uma atuação estratégica e precisa na área de Recursos Humanos.</w:t>
      </w:r>
    </w:p>
    <w:p xmlns:wp14="http://schemas.microsoft.com/office/word/2010/wordml" w:rsidP="341598FF" wp14:paraId="5FD26577" wp14:textId="4B95C164">
      <w:pPr>
        <w:pStyle w:val="Normal"/>
        <w:jc w:val="both"/>
        <w:rPr>
          <w:noProof w:val="0"/>
          <w:lang w:val="pt-BR"/>
        </w:rPr>
      </w:pPr>
    </w:p>
    <w:p xmlns:wp14="http://schemas.microsoft.com/office/word/2010/wordml" w:rsidP="341598FF" wp14:paraId="38C17C78" wp14:textId="4A699019">
      <w:pPr>
        <w:pStyle w:val="Normal"/>
        <w:jc w:val="both"/>
        <w:rPr>
          <w:noProof w:val="0"/>
          <w:lang w:val="pt-BR"/>
        </w:rPr>
      </w:pPr>
    </w:p>
    <w:p xmlns:wp14="http://schemas.microsoft.com/office/word/2010/wordml" w:rsidP="341598FF" wp14:paraId="089076A8" wp14:textId="4CE331EE">
      <w:pPr>
        <w:pStyle w:val="Normal"/>
        <w:jc w:val="both"/>
        <w:rPr>
          <w:noProof w:val="0"/>
          <w:lang w:val="pt-BR"/>
        </w:rPr>
      </w:pPr>
    </w:p>
    <w:p xmlns:wp14="http://schemas.microsoft.com/office/word/2010/wordml" w:rsidP="341598FF" wp14:paraId="654E9579" wp14:textId="2DC5CA28">
      <w:pPr>
        <w:pStyle w:val="Normal"/>
        <w:jc w:val="right"/>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0C4BEEE4">
        <w:rPr>
          <w:noProof w:val="0"/>
          <w:lang w:val="pt-BR"/>
        </w:rPr>
        <w:t>A</w:t>
      </w:r>
      <w:r w:rsidRPr="341598FF" w:rsidR="0C4BEEE4">
        <w:rPr>
          <w:noProof w:val="0"/>
          <w:lang w:val="pt-BR"/>
        </w:rPr>
        <w:t>bout</w:t>
      </w:r>
      <w:r w:rsidRPr="341598FF" w:rsidR="0C4BEEE4">
        <w:rPr>
          <w:noProof w:val="0"/>
          <w:lang w:val="pt-BR"/>
        </w:rPr>
        <w:t xml:space="preserve"> </w:t>
      </w:r>
      <w:r w:rsidRPr="341598FF" w:rsidR="0C4BEEE4">
        <w:rPr>
          <w:noProof w:val="0"/>
          <w:lang w:val="pt-BR"/>
        </w:rPr>
        <w:t>th</w:t>
      </w:r>
      <w:r w:rsidRPr="341598FF" w:rsidR="0C4BEEE4">
        <w:rPr>
          <w:noProof w:val="0"/>
          <w:lang w:val="pt-BR"/>
        </w:rPr>
        <w:t>e</w:t>
      </w:r>
      <w:r w:rsidRPr="341598FF" w:rsidR="0C4BEEE4">
        <w:rPr>
          <w:noProof w:val="0"/>
          <w:lang w:val="pt-BR"/>
        </w:rPr>
        <w:t xml:space="preserve"> </w:t>
      </w:r>
      <w:r w:rsidRPr="341598FF" w:rsidR="0C4BEEE4">
        <w:rPr>
          <w:noProof w:val="0"/>
          <w:lang w:val="pt-BR"/>
        </w:rPr>
        <w:t>Author</w:t>
      </w:r>
      <w:r w:rsidRPr="341598FF" w:rsidR="0C4BEEE4">
        <w:rPr>
          <w:noProof w:val="0"/>
          <w:lang w:val="pt-BR"/>
        </w:rPr>
        <w:t xml:space="preserve"> </w:t>
      </w:r>
    </w:p>
    <w:p xmlns:wp14="http://schemas.microsoft.com/office/word/2010/wordml" w:rsidP="341598FF" wp14:paraId="044CECC1" wp14:textId="0FDB0012">
      <w:pPr>
        <w:pStyle w:val="Normal"/>
        <w:jc w:val="both"/>
      </w:pPr>
      <w:r w:rsidRPr="341598FF" w:rsidR="0C4BEEE4">
        <w:rPr>
          <w:noProof w:val="0"/>
          <w:lang w:val="pt-BR"/>
        </w:rPr>
        <w:t xml:space="preserve"> </w:t>
      </w:r>
    </w:p>
    <w:p xmlns:wp14="http://schemas.microsoft.com/office/word/2010/wordml" w:rsidP="341598FF" wp14:paraId="2FED7772" wp14:textId="2CA9E685">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341598FF" w:rsidR="0C4BEEE4">
        <w:rPr>
          <w:noProof w:val="0"/>
          <w:lang w:val="en-US"/>
        </w:rPr>
        <w:t xml:space="preserve"> </w:t>
      </w:r>
      <w:r w:rsidRPr="341598FF" w:rsidR="0C4BEEE4">
        <w:rPr>
          <w:noProof w:val="0"/>
          <w:lang w:val="en-US"/>
        </w:rPr>
        <w:t>Driell</w:t>
      </w:r>
      <w:r w:rsidRPr="341598FF" w:rsidR="0C4BEEE4">
        <w:rPr>
          <w:noProof w:val="0"/>
          <w:lang w:val="en-US"/>
        </w:rPr>
        <w:t>y</w:t>
      </w:r>
      <w:r w:rsidRPr="341598FF" w:rsidR="0C4BEEE4">
        <w:rPr>
          <w:noProof w:val="0"/>
          <w:lang w:val="en-US"/>
        </w:rPr>
        <w:t xml:space="preserve"> </w:t>
      </w:r>
      <w:r w:rsidRPr="341598FF" w:rsidR="0C4BEEE4">
        <w:rPr>
          <w:noProof w:val="0"/>
          <w:lang w:val="en-US"/>
        </w:rPr>
        <w:t>Steisilly</w:t>
      </w:r>
      <w:r w:rsidRPr="341598FF" w:rsidR="0C4BEEE4">
        <w:rPr>
          <w:noProof w:val="0"/>
          <w:lang w:val="en-US"/>
        </w:rPr>
        <w:t xml:space="preserve"> Teixeira de Oliveira </w:t>
      </w:r>
      <w:r w:rsidRPr="341598FF" w:rsidR="0C4BEEE4">
        <w:rPr>
          <w:noProof w:val="0"/>
          <w:lang w:val="en-US"/>
        </w:rPr>
        <w:t>is</w:t>
      </w:r>
      <w:r w:rsidRPr="341598FF" w:rsidR="0C4BEEE4">
        <w:rPr>
          <w:noProof w:val="0"/>
          <w:lang w:val="en-US"/>
        </w:rPr>
        <w:t xml:space="preserve"> a </w:t>
      </w:r>
      <w:r w:rsidRPr="341598FF" w:rsidR="0C4BEEE4">
        <w:rPr>
          <w:noProof w:val="0"/>
          <w:lang w:val="en-US"/>
        </w:rPr>
        <w:t>Human</w:t>
      </w:r>
      <w:r w:rsidRPr="341598FF" w:rsidR="0C4BEEE4">
        <w:rPr>
          <w:noProof w:val="0"/>
          <w:lang w:val="en-US"/>
        </w:rPr>
        <w:t xml:space="preserve"> </w:t>
      </w:r>
      <w:r w:rsidRPr="341598FF" w:rsidR="0C4BEEE4">
        <w:rPr>
          <w:noProof w:val="0"/>
          <w:lang w:val="en-US"/>
        </w:rPr>
        <w:t>Resources</w:t>
      </w:r>
      <w:r w:rsidRPr="341598FF" w:rsidR="0C4BEEE4">
        <w:rPr>
          <w:noProof w:val="0"/>
          <w:lang w:val="en-US"/>
        </w:rPr>
        <w:t xml:space="preserve"> Management </w:t>
      </w:r>
      <w:r w:rsidRPr="341598FF" w:rsidR="0C4BEEE4">
        <w:rPr>
          <w:noProof w:val="0"/>
          <w:lang w:val="en-US"/>
        </w:rPr>
        <w:t>student</w:t>
      </w:r>
      <w:r w:rsidRPr="341598FF" w:rsidR="0C4BEEE4">
        <w:rPr>
          <w:noProof w:val="0"/>
          <w:lang w:val="en-US"/>
        </w:rPr>
        <w:t xml:space="preserve"> </w:t>
      </w:r>
      <w:r w:rsidRPr="341598FF" w:rsidR="0C4BEEE4">
        <w:rPr>
          <w:noProof w:val="0"/>
          <w:lang w:val="en-US"/>
        </w:rPr>
        <w:t>at</w:t>
      </w:r>
      <w:r w:rsidRPr="341598FF" w:rsidR="0C4BEEE4">
        <w:rPr>
          <w:noProof w:val="0"/>
          <w:lang w:val="en-US"/>
        </w:rPr>
        <w:t xml:space="preserve"> </w:t>
      </w:r>
      <w:r w:rsidRPr="341598FF" w:rsidR="0C4BEEE4">
        <w:rPr>
          <w:noProof w:val="0"/>
          <w:lang w:val="en-US"/>
        </w:rPr>
        <w:t>Faculdade</w:t>
      </w:r>
      <w:r w:rsidRPr="341598FF" w:rsidR="0C4BEEE4">
        <w:rPr>
          <w:noProof w:val="0"/>
          <w:lang w:val="en-US"/>
        </w:rPr>
        <w:t xml:space="preserve"> Anhanguera, São Paulo/SP. At 19 </w:t>
      </w:r>
      <w:r w:rsidRPr="341598FF" w:rsidR="0C4BEEE4">
        <w:rPr>
          <w:noProof w:val="0"/>
          <w:lang w:val="en-US"/>
        </w:rPr>
        <w:t>years</w:t>
      </w:r>
      <w:r w:rsidRPr="341598FF" w:rsidR="0C4BEEE4">
        <w:rPr>
          <w:noProof w:val="0"/>
          <w:lang w:val="en-US"/>
        </w:rPr>
        <w:t xml:space="preserve"> </w:t>
      </w:r>
      <w:r w:rsidRPr="341598FF" w:rsidR="0C4BEEE4">
        <w:rPr>
          <w:noProof w:val="0"/>
          <w:lang w:val="en-US"/>
        </w:rPr>
        <w:t>old</w:t>
      </w:r>
      <w:r w:rsidRPr="341598FF" w:rsidR="0C4BEEE4">
        <w:rPr>
          <w:noProof w:val="0"/>
          <w:lang w:val="en-US"/>
        </w:rPr>
        <w:t xml:space="preserve">, </w:t>
      </w:r>
      <w:r w:rsidRPr="341598FF" w:rsidR="0C4BEEE4">
        <w:rPr>
          <w:noProof w:val="0"/>
          <w:lang w:val="en-US"/>
        </w:rPr>
        <w:t>she</w:t>
      </w:r>
      <w:r w:rsidRPr="341598FF" w:rsidR="0C4BEEE4">
        <w:rPr>
          <w:noProof w:val="0"/>
          <w:lang w:val="en-US"/>
        </w:rPr>
        <w:t xml:space="preserve"> </w:t>
      </w:r>
      <w:r w:rsidRPr="341598FF" w:rsidR="0C4BEEE4">
        <w:rPr>
          <w:noProof w:val="0"/>
          <w:lang w:val="en-US"/>
        </w:rPr>
        <w:t>already</w:t>
      </w:r>
      <w:r w:rsidRPr="341598FF" w:rsidR="0C4BEEE4">
        <w:rPr>
          <w:noProof w:val="0"/>
          <w:lang w:val="en-US"/>
        </w:rPr>
        <w:t xml:space="preserve"> </w:t>
      </w:r>
      <w:r w:rsidRPr="341598FF" w:rsidR="0C4BEEE4">
        <w:rPr>
          <w:noProof w:val="0"/>
          <w:lang w:val="en-US"/>
        </w:rPr>
        <w:t>holds</w:t>
      </w:r>
      <w:r w:rsidRPr="341598FF" w:rsidR="0C4BEEE4">
        <w:rPr>
          <w:noProof w:val="0"/>
          <w:lang w:val="en-US"/>
        </w:rPr>
        <w:t xml:space="preserve"> a </w:t>
      </w:r>
      <w:r w:rsidRPr="341598FF" w:rsidR="0C4BEEE4">
        <w:rPr>
          <w:noProof w:val="0"/>
          <w:lang w:val="en-US"/>
        </w:rPr>
        <w:t>technical</w:t>
      </w:r>
      <w:r w:rsidRPr="341598FF" w:rsidR="0C4BEEE4">
        <w:rPr>
          <w:noProof w:val="0"/>
          <w:lang w:val="en-US"/>
        </w:rPr>
        <w:t xml:space="preserve"> </w:t>
      </w:r>
      <w:r w:rsidRPr="341598FF" w:rsidR="0C4BEEE4">
        <w:rPr>
          <w:noProof w:val="0"/>
          <w:lang w:val="en-US"/>
        </w:rPr>
        <w:t>degree</w:t>
      </w:r>
      <w:r w:rsidRPr="341598FF" w:rsidR="0C4BEEE4">
        <w:rPr>
          <w:noProof w:val="0"/>
          <w:lang w:val="en-US"/>
        </w:rPr>
        <w:t xml:space="preserve"> in </w:t>
      </w:r>
      <w:r w:rsidRPr="341598FF" w:rsidR="0C4BEEE4">
        <w:rPr>
          <w:noProof w:val="0"/>
          <w:lang w:val="en-US"/>
        </w:rPr>
        <w:t>Human</w:t>
      </w:r>
      <w:r w:rsidRPr="341598FF" w:rsidR="0C4BEEE4">
        <w:rPr>
          <w:noProof w:val="0"/>
          <w:lang w:val="en-US"/>
        </w:rPr>
        <w:t xml:space="preserve"> </w:t>
      </w:r>
      <w:r w:rsidRPr="341598FF" w:rsidR="0C4BEEE4">
        <w:rPr>
          <w:noProof w:val="0"/>
          <w:lang w:val="en-US"/>
        </w:rPr>
        <w:t>Resources</w:t>
      </w:r>
      <w:r w:rsidRPr="341598FF" w:rsidR="0C4BEEE4">
        <w:rPr>
          <w:noProof w:val="0"/>
          <w:lang w:val="en-US"/>
        </w:rPr>
        <w:t xml:space="preserve"> </w:t>
      </w:r>
      <w:r w:rsidRPr="341598FF" w:rsidR="0C4BEEE4">
        <w:rPr>
          <w:noProof w:val="0"/>
          <w:lang w:val="en-US"/>
        </w:rPr>
        <w:t>from</w:t>
      </w:r>
      <w:r w:rsidRPr="341598FF" w:rsidR="0C4BEEE4">
        <w:rPr>
          <w:noProof w:val="0"/>
          <w:lang w:val="en-US"/>
        </w:rPr>
        <w:t xml:space="preserve"> ETEC </w:t>
      </w:r>
      <w:r w:rsidRPr="341598FF" w:rsidR="0C4BEEE4">
        <w:rPr>
          <w:noProof w:val="0"/>
          <w:lang w:val="en-US"/>
        </w:rPr>
        <w:t>Itaquaquecetuba</w:t>
      </w:r>
      <w:r w:rsidRPr="341598FF" w:rsidR="0C4BEEE4">
        <w:rPr>
          <w:noProof w:val="0"/>
          <w:lang w:val="en-US"/>
        </w:rPr>
        <w:t xml:space="preserve"> </w:t>
      </w:r>
      <w:r w:rsidRPr="341598FF" w:rsidR="0C4BEEE4">
        <w:rPr>
          <w:noProof w:val="0"/>
          <w:lang w:val="en-US"/>
        </w:rPr>
        <w:t>and</w:t>
      </w:r>
      <w:r w:rsidRPr="341598FF" w:rsidR="0C4BEEE4">
        <w:rPr>
          <w:noProof w:val="0"/>
          <w:lang w:val="en-US"/>
        </w:rPr>
        <w:t xml:space="preserve"> </w:t>
      </w:r>
      <w:r w:rsidRPr="341598FF" w:rsidR="0C4BEEE4">
        <w:rPr>
          <w:noProof w:val="0"/>
          <w:lang w:val="en-US"/>
        </w:rPr>
        <w:t>has</w:t>
      </w:r>
      <w:r w:rsidRPr="341598FF" w:rsidR="0C4BEEE4">
        <w:rPr>
          <w:noProof w:val="0"/>
          <w:lang w:val="en-US"/>
        </w:rPr>
        <w:t xml:space="preserve"> </w:t>
      </w:r>
      <w:r w:rsidRPr="341598FF" w:rsidR="0C4BEEE4">
        <w:rPr>
          <w:noProof w:val="0"/>
          <w:lang w:val="en-US"/>
        </w:rPr>
        <w:t>pra</w:t>
      </w:r>
      <w:r w:rsidRPr="341598FF" w:rsidR="0C4BEEE4">
        <w:rPr>
          <w:noProof w:val="0"/>
          <w:lang w:val="en-US"/>
        </w:rPr>
        <w:t>ctical</w:t>
      </w:r>
      <w:r w:rsidRPr="341598FF" w:rsidR="0C4BEEE4">
        <w:rPr>
          <w:noProof w:val="0"/>
          <w:lang w:val="en-US"/>
        </w:rPr>
        <w:t xml:space="preserve"> </w:t>
      </w:r>
      <w:r w:rsidRPr="341598FF" w:rsidR="0C4BEEE4">
        <w:rPr>
          <w:noProof w:val="0"/>
          <w:lang w:val="en-US"/>
        </w:rPr>
        <w:t>ex</w:t>
      </w:r>
      <w:r w:rsidRPr="341598FF" w:rsidR="0C4BEEE4">
        <w:rPr>
          <w:noProof w:val="0"/>
          <w:lang w:val="en-US"/>
        </w:rPr>
        <w:t>perience</w:t>
      </w:r>
      <w:r w:rsidRPr="341598FF" w:rsidR="0C4BEEE4">
        <w:rPr>
          <w:noProof w:val="0"/>
          <w:lang w:val="en-US"/>
        </w:rPr>
        <w:t xml:space="preserve"> in </w:t>
      </w:r>
      <w:r w:rsidRPr="341598FF" w:rsidR="0C4BEEE4">
        <w:rPr>
          <w:noProof w:val="0"/>
          <w:lang w:val="en-US"/>
        </w:rPr>
        <w:t>customer</w:t>
      </w:r>
      <w:r w:rsidRPr="341598FF" w:rsidR="0C4BEEE4">
        <w:rPr>
          <w:noProof w:val="0"/>
          <w:lang w:val="en-US"/>
        </w:rPr>
        <w:t xml:space="preserve"> </w:t>
      </w:r>
      <w:r w:rsidRPr="341598FF" w:rsidR="0C4BEEE4">
        <w:rPr>
          <w:noProof w:val="0"/>
          <w:lang w:val="en-US"/>
        </w:rPr>
        <w:t>service</w:t>
      </w:r>
      <w:r w:rsidRPr="341598FF" w:rsidR="0C4BEEE4">
        <w:rPr>
          <w:noProof w:val="0"/>
          <w:lang w:val="en-US"/>
        </w:rPr>
        <w:t xml:space="preserve"> </w:t>
      </w:r>
      <w:r w:rsidRPr="341598FF" w:rsidR="0C4BEEE4">
        <w:rPr>
          <w:noProof w:val="0"/>
          <w:lang w:val="en-US"/>
        </w:rPr>
        <w:t>and</w:t>
      </w:r>
      <w:r w:rsidRPr="341598FF" w:rsidR="0C4BEEE4">
        <w:rPr>
          <w:noProof w:val="0"/>
          <w:lang w:val="en-US"/>
        </w:rPr>
        <w:t xml:space="preserve"> </w:t>
      </w:r>
      <w:r w:rsidRPr="341598FF" w:rsidR="0C4BEEE4">
        <w:rPr>
          <w:noProof w:val="0"/>
          <w:lang w:val="en-US"/>
        </w:rPr>
        <w:t>administrative</w:t>
      </w:r>
      <w:r w:rsidRPr="341598FF" w:rsidR="0C4BEEE4">
        <w:rPr>
          <w:noProof w:val="0"/>
          <w:lang w:val="en-US"/>
        </w:rPr>
        <w:t xml:space="preserve"> </w:t>
      </w:r>
      <w:r w:rsidRPr="341598FF" w:rsidR="0C4BEEE4">
        <w:rPr>
          <w:noProof w:val="0"/>
          <w:lang w:val="en-US"/>
        </w:rPr>
        <w:t>support</w:t>
      </w:r>
      <w:r w:rsidRPr="341598FF" w:rsidR="0C4BEEE4">
        <w:rPr>
          <w:noProof w:val="0"/>
          <w:lang w:val="en-US"/>
        </w:rPr>
        <w:t xml:space="preserve">. </w:t>
      </w:r>
      <w:r w:rsidRPr="341598FF" w:rsidR="0C4BEEE4">
        <w:rPr>
          <w:noProof w:val="0"/>
          <w:lang w:val="en-US"/>
        </w:rPr>
        <w:t>Her</w:t>
      </w:r>
      <w:r w:rsidRPr="341598FF" w:rsidR="0C4BEEE4">
        <w:rPr>
          <w:noProof w:val="0"/>
          <w:lang w:val="en-US"/>
        </w:rPr>
        <w:t xml:space="preserve"> </w:t>
      </w:r>
      <w:r w:rsidRPr="341598FF" w:rsidR="0C4BEEE4">
        <w:rPr>
          <w:noProof w:val="0"/>
          <w:lang w:val="en-US"/>
        </w:rPr>
        <w:t>academic</w:t>
      </w:r>
      <w:r w:rsidRPr="341598FF" w:rsidR="0C4BEEE4">
        <w:rPr>
          <w:noProof w:val="0"/>
          <w:lang w:val="en-US"/>
        </w:rPr>
        <w:t xml:space="preserve"> </w:t>
      </w:r>
      <w:r w:rsidRPr="341598FF" w:rsidR="0C4BEEE4">
        <w:rPr>
          <w:noProof w:val="0"/>
          <w:lang w:val="en-US"/>
        </w:rPr>
        <w:t>and</w:t>
      </w:r>
      <w:r w:rsidRPr="341598FF" w:rsidR="0C4BEEE4">
        <w:rPr>
          <w:noProof w:val="0"/>
          <w:lang w:val="en-US"/>
        </w:rPr>
        <w:t xml:space="preserve"> professional </w:t>
      </w:r>
      <w:r w:rsidRPr="341598FF" w:rsidR="0C4BEEE4">
        <w:rPr>
          <w:noProof w:val="0"/>
          <w:lang w:val="en-US"/>
        </w:rPr>
        <w:t>focus</w:t>
      </w:r>
      <w:r w:rsidRPr="341598FF" w:rsidR="0C4BEEE4">
        <w:rPr>
          <w:noProof w:val="0"/>
          <w:lang w:val="en-US"/>
        </w:rPr>
        <w:t xml:space="preserve"> </w:t>
      </w:r>
      <w:r w:rsidRPr="341598FF" w:rsidR="0C4BEEE4">
        <w:rPr>
          <w:noProof w:val="0"/>
          <w:lang w:val="en-US"/>
        </w:rPr>
        <w:t>is</w:t>
      </w:r>
      <w:r w:rsidRPr="341598FF" w:rsidR="0C4BEEE4">
        <w:rPr>
          <w:noProof w:val="0"/>
          <w:lang w:val="en-US"/>
        </w:rPr>
        <w:t xml:space="preserve"> </w:t>
      </w:r>
      <w:r w:rsidRPr="341598FF" w:rsidR="0C4BEEE4">
        <w:rPr>
          <w:noProof w:val="0"/>
          <w:lang w:val="en-US"/>
        </w:rPr>
        <w:t>on</w:t>
      </w:r>
      <w:r w:rsidRPr="341598FF" w:rsidR="0C4BEEE4">
        <w:rPr>
          <w:noProof w:val="0"/>
          <w:lang w:val="en-US"/>
        </w:rPr>
        <w:t xml:space="preserve"> </w:t>
      </w:r>
      <w:r w:rsidRPr="341598FF" w:rsidR="0C4BEEE4">
        <w:rPr>
          <w:noProof w:val="0"/>
          <w:lang w:val="en-US"/>
        </w:rPr>
        <w:t>Payroll</w:t>
      </w:r>
      <w:r w:rsidRPr="341598FF" w:rsidR="0C4BEEE4">
        <w:rPr>
          <w:noProof w:val="0"/>
          <w:lang w:val="en-US"/>
        </w:rPr>
        <w:t xml:space="preserve"> </w:t>
      </w:r>
      <w:r w:rsidRPr="341598FF" w:rsidR="0C4BEEE4">
        <w:rPr>
          <w:noProof w:val="0"/>
          <w:lang w:val="en-US"/>
        </w:rPr>
        <w:t>and</w:t>
      </w:r>
      <w:r w:rsidRPr="341598FF" w:rsidR="0C4BEEE4">
        <w:rPr>
          <w:noProof w:val="0"/>
          <w:lang w:val="en-US"/>
        </w:rPr>
        <w:t xml:space="preserve"> </w:t>
      </w:r>
      <w:r w:rsidRPr="341598FF" w:rsidR="0C4BEEE4">
        <w:rPr>
          <w:noProof w:val="0"/>
          <w:lang w:val="en-US"/>
        </w:rPr>
        <w:t>Personnel</w:t>
      </w:r>
      <w:r w:rsidRPr="341598FF" w:rsidR="0C4BEEE4">
        <w:rPr>
          <w:noProof w:val="0"/>
          <w:lang w:val="en-US"/>
        </w:rPr>
        <w:t xml:space="preserve"> </w:t>
      </w:r>
      <w:r w:rsidRPr="341598FF" w:rsidR="0C4BEEE4">
        <w:rPr>
          <w:noProof w:val="0"/>
          <w:lang w:val="en-US"/>
        </w:rPr>
        <w:t>Department</w:t>
      </w:r>
      <w:r w:rsidRPr="341598FF" w:rsidR="0C4BEEE4">
        <w:rPr>
          <w:noProof w:val="0"/>
          <w:lang w:val="en-US"/>
        </w:rPr>
        <w:t xml:space="preserve">, </w:t>
      </w:r>
      <w:r w:rsidRPr="341598FF" w:rsidR="0C4BEEE4">
        <w:rPr>
          <w:noProof w:val="0"/>
          <w:lang w:val="en-US"/>
        </w:rPr>
        <w:t>with</w:t>
      </w:r>
      <w:r w:rsidRPr="341598FF" w:rsidR="0C4BEEE4">
        <w:rPr>
          <w:noProof w:val="0"/>
          <w:lang w:val="en-US"/>
        </w:rPr>
        <w:t xml:space="preserve"> </w:t>
      </w:r>
      <w:r w:rsidRPr="341598FF" w:rsidR="0C4BEEE4">
        <w:rPr>
          <w:noProof w:val="0"/>
          <w:lang w:val="en-US"/>
        </w:rPr>
        <w:t>specialization</w:t>
      </w:r>
      <w:r w:rsidRPr="341598FF" w:rsidR="0C4BEEE4">
        <w:rPr>
          <w:noProof w:val="0"/>
          <w:lang w:val="en-US"/>
        </w:rPr>
        <w:t xml:space="preserve"> in labor </w:t>
      </w:r>
      <w:r w:rsidRPr="341598FF" w:rsidR="0C4BEEE4">
        <w:rPr>
          <w:noProof w:val="0"/>
          <w:lang w:val="en-US"/>
        </w:rPr>
        <w:t>legislation</w:t>
      </w:r>
      <w:r w:rsidRPr="341598FF" w:rsidR="0C4BEEE4">
        <w:rPr>
          <w:noProof w:val="0"/>
          <w:lang w:val="en-US"/>
        </w:rPr>
        <w:t xml:space="preserve">, </w:t>
      </w:r>
      <w:r w:rsidRPr="341598FF" w:rsidR="0C4BEEE4">
        <w:rPr>
          <w:noProof w:val="0"/>
          <w:lang w:val="en-US"/>
        </w:rPr>
        <w:t>eSocial</w:t>
      </w:r>
      <w:r w:rsidRPr="341598FF" w:rsidR="0C4BEEE4">
        <w:rPr>
          <w:noProof w:val="0"/>
          <w:lang w:val="en-US"/>
        </w:rPr>
        <w:t xml:space="preserve">, </w:t>
      </w:r>
      <w:r w:rsidRPr="341598FF" w:rsidR="0C4BEEE4">
        <w:rPr>
          <w:noProof w:val="0"/>
          <w:lang w:val="en-US"/>
        </w:rPr>
        <w:t>and</w:t>
      </w:r>
      <w:r w:rsidRPr="341598FF" w:rsidR="0C4BEEE4">
        <w:rPr>
          <w:noProof w:val="0"/>
          <w:lang w:val="en-US"/>
        </w:rPr>
        <w:t xml:space="preserve"> </w:t>
      </w:r>
      <w:r w:rsidRPr="341598FF" w:rsidR="0C4BEEE4">
        <w:rPr>
          <w:noProof w:val="0"/>
          <w:lang w:val="en-US"/>
        </w:rPr>
        <w:t>administrative</w:t>
      </w:r>
      <w:r w:rsidRPr="341598FF" w:rsidR="0C4BEEE4">
        <w:rPr>
          <w:noProof w:val="0"/>
          <w:lang w:val="en-US"/>
        </w:rPr>
        <w:t xml:space="preserve"> </w:t>
      </w:r>
      <w:r w:rsidRPr="341598FF" w:rsidR="0C4BEEE4">
        <w:rPr>
          <w:noProof w:val="0"/>
          <w:lang w:val="en-US"/>
        </w:rPr>
        <w:t>routines</w:t>
      </w:r>
      <w:r w:rsidRPr="341598FF" w:rsidR="0C4BEEE4">
        <w:rPr>
          <w:noProof w:val="0"/>
          <w:lang w:val="en-US"/>
        </w:rPr>
        <w:t xml:space="preserve">.  </w:t>
      </w:r>
    </w:p>
    <w:p xmlns:wp14="http://schemas.microsoft.com/office/word/2010/wordml" w:rsidP="341598FF" wp14:paraId="485BDF5E" wp14:textId="703E351C">
      <w:pPr>
        <w:pStyle w:val="Normal"/>
        <w:jc w:val="both"/>
      </w:pPr>
      <w:r w:rsidRPr="341598FF" w:rsidR="0C4BEEE4">
        <w:rPr>
          <w:noProof w:val="0"/>
          <w:lang w:val="pt-BR"/>
        </w:rPr>
        <w:t xml:space="preserve"> </w:t>
      </w:r>
    </w:p>
    <w:p xmlns:wp14="http://schemas.microsoft.com/office/word/2010/wordml" w:rsidP="341598FF" wp14:paraId="7ADF7895" wp14:textId="5224D053">
      <w:pPr>
        <w:pStyle w:val="Normal"/>
        <w:jc w:val="both"/>
        <w:rPr>
          <w:noProof w:val="0"/>
          <w:lang w:val="en-US"/>
        </w:rPr>
      </w:pPr>
      <w:r w:rsidRPr="341598FF" w:rsidR="0C4BEEE4">
        <w:rPr>
          <w:noProof w:val="0"/>
          <w:lang w:val="en-US"/>
        </w:rPr>
        <w:t>Drielly</w:t>
      </w:r>
      <w:r w:rsidRPr="341598FF" w:rsidR="0C4BEEE4">
        <w:rPr>
          <w:noProof w:val="0"/>
          <w:lang w:val="en-US"/>
        </w:rPr>
        <w:t xml:space="preserve"> stands out for her leadership in academic projects, such as coordinating the “Semana do Gestor” event, and for her continuous pursuit of professional development through complementary courses, including specialization in </w:t>
      </w:r>
      <w:r w:rsidRPr="341598FF" w:rsidR="0C4BEEE4">
        <w:rPr>
          <w:noProof w:val="0"/>
          <w:lang w:val="en-US"/>
        </w:rPr>
        <w:t>Personnel</w:t>
      </w:r>
      <w:r w:rsidRPr="341598FF" w:rsidR="0C4BEEE4">
        <w:rPr>
          <w:noProof w:val="0"/>
          <w:lang w:val="en-US"/>
        </w:rPr>
        <w:t xml:space="preserve"> Department. A committed and ethical young professional, she aims to contribute to organizations through strategic and precise performance in Human Resources.</w:t>
      </w:r>
    </w:p>
    <w:p xmlns:wp14="http://schemas.microsoft.com/office/word/2010/wordml" w:rsidP="341598FF" wp14:paraId="54CDF115" wp14:textId="5BD8D156">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41598FF" wp14:paraId="6EBDA360" wp14:textId="4C253B27">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41598FF" wp14:paraId="11ECEDCF" wp14:textId="44794383">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41598FF" wp14:paraId="71DC06D1" wp14:textId="078933C4">
      <w:pPr>
        <w:pStyle w:val="Normal"/>
        <w:spacing w:before="240" w:beforeAutospacing="off" w:after="240" w:afterAutospacing="off"/>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341598FF" w:rsidR="14957DC9">
        <w:rPr>
          <w:rFonts w:ascii="Aptos" w:hAnsi="Aptos" w:eastAsia="Aptos" w:cs="Aptos"/>
          <w:b w:val="0"/>
          <w:bCs w:val="0"/>
          <w:i w:val="0"/>
          <w:iCs w:val="0"/>
          <w:caps w:val="0"/>
          <w:smallCaps w:val="0"/>
          <w:noProof w:val="0"/>
          <w:color w:val="000000" w:themeColor="text1" w:themeTint="FF" w:themeShade="FF"/>
          <w:sz w:val="24"/>
          <w:szCs w:val="24"/>
          <w:lang w:val="en-US"/>
        </w:rPr>
        <w:t>Sumário</w:t>
      </w:r>
    </w:p>
    <w:p xmlns:wp14="http://schemas.microsoft.com/office/word/2010/wordml" w:rsidP="341598FF" wp14:paraId="1EA7E74D" wp14:textId="0E64DD8D">
      <w:pPr>
        <w:pStyle w:val="Normal"/>
        <w:spacing w:before="240" w:beforeAutospacing="off" w:after="240" w:afterAutospacing="off"/>
        <w:jc w:val="right"/>
        <w:rPr>
          <w:rFonts w:ascii="Aptos" w:hAnsi="Aptos" w:eastAsia="Aptos" w:cs="Aptos"/>
          <w:b w:val="0"/>
          <w:bCs w:val="0"/>
          <w:i w:val="0"/>
          <w:iCs w:val="0"/>
          <w:caps w:val="0"/>
          <w:smallCaps w:val="0"/>
          <w:noProof w:val="0"/>
          <w:color w:val="000000" w:themeColor="text1" w:themeTint="FF" w:themeShade="FF"/>
          <w:sz w:val="24"/>
          <w:szCs w:val="24"/>
          <w:lang w:val="en-US"/>
        </w:rPr>
      </w:pPr>
    </w:p>
    <w:sdt>
      <w:sdtPr>
        <w:id w:val="1478726460"/>
        <w:docPartObj>
          <w:docPartGallery w:val="Table of Contents"/>
          <w:docPartUnique/>
        </w:docPartObj>
      </w:sdtPr>
      <w:sdtContent>
        <w:p xmlns:wp14="http://schemas.microsoft.com/office/word/2010/wordml" w:rsidP="341598FF" wp14:paraId="03B8B000" wp14:textId="42C5A267">
          <w:pPr>
            <w:pStyle w:val="TOC1"/>
            <w:tabs>
              <w:tab w:val="right" w:leader="dot" w:pos="9900"/>
            </w:tabs>
            <w:bidi w:val="0"/>
            <w:rPr>
              <w:rStyle w:val="Hyperlink"/>
            </w:rPr>
          </w:pPr>
          <w:r>
            <w:fldChar w:fldCharType="begin"/>
          </w:r>
          <w:r>
            <w:instrText xml:space="preserve">TOC \o "1-9" \z \u \h</w:instrText>
          </w:r>
          <w:r>
            <w:fldChar w:fldCharType="separate"/>
          </w:r>
          <w:hyperlink w:anchor="_Toc1165156683">
            <w:r w:rsidRPr="341598FF" w:rsidR="341598FF">
              <w:rPr>
                <w:rStyle w:val="Hyperlink"/>
              </w:rPr>
              <w:t>Prefácio</w:t>
            </w:r>
            <w:r>
              <w:tab/>
            </w:r>
            <w:r>
              <w:fldChar w:fldCharType="begin"/>
            </w:r>
            <w:r>
              <w:instrText xml:space="preserve">PAGEREF _Toc1165156683 \h</w:instrText>
            </w:r>
            <w:r>
              <w:fldChar w:fldCharType="separate"/>
            </w:r>
            <w:r w:rsidRPr="341598FF" w:rsidR="341598FF">
              <w:rPr>
                <w:rStyle w:val="Hyperlink"/>
              </w:rPr>
              <w:t>4</w:t>
            </w:r>
            <w:r>
              <w:fldChar w:fldCharType="end"/>
            </w:r>
          </w:hyperlink>
        </w:p>
        <w:p xmlns:wp14="http://schemas.microsoft.com/office/word/2010/wordml" w:rsidP="341598FF" wp14:paraId="6E4C8903" wp14:textId="71E6DB4B">
          <w:pPr>
            <w:pStyle w:val="TOC1"/>
            <w:tabs>
              <w:tab w:val="right" w:leader="dot" w:pos="9900"/>
            </w:tabs>
            <w:bidi w:val="0"/>
            <w:rPr>
              <w:rStyle w:val="Hyperlink"/>
            </w:rPr>
          </w:pPr>
          <w:hyperlink w:anchor="_Toc189753296">
            <w:r w:rsidRPr="341598FF" w:rsidR="341598FF">
              <w:rPr>
                <w:rStyle w:val="Hyperlink"/>
              </w:rPr>
              <w:t>Contratos Indeterminados e Diversidade</w:t>
            </w:r>
            <w:r>
              <w:tab/>
            </w:r>
            <w:r>
              <w:fldChar w:fldCharType="begin"/>
            </w:r>
            <w:r>
              <w:instrText xml:space="preserve">PAGEREF _Toc189753296 \h</w:instrText>
            </w:r>
            <w:r>
              <w:fldChar w:fldCharType="separate"/>
            </w:r>
            <w:r w:rsidRPr="341598FF" w:rsidR="341598FF">
              <w:rPr>
                <w:rStyle w:val="Hyperlink"/>
              </w:rPr>
              <w:t>6</w:t>
            </w:r>
            <w:r>
              <w:fldChar w:fldCharType="end"/>
            </w:r>
          </w:hyperlink>
        </w:p>
        <w:p xmlns:wp14="http://schemas.microsoft.com/office/word/2010/wordml" w:rsidP="341598FF" wp14:paraId="12095D9D" wp14:textId="40F6A7B9">
          <w:pPr>
            <w:pStyle w:val="TOC1"/>
            <w:tabs>
              <w:tab w:val="right" w:leader="dot" w:pos="9900"/>
            </w:tabs>
            <w:bidi w:val="0"/>
            <w:rPr>
              <w:rStyle w:val="Hyperlink"/>
            </w:rPr>
          </w:pPr>
          <w:hyperlink w:anchor="_Toc1060678369">
            <w:r w:rsidRPr="341598FF" w:rsidR="341598FF">
              <w:rPr>
                <w:rStyle w:val="Hyperlink"/>
              </w:rPr>
              <w:t>Impacto Social dos Modelos Contratuais</w:t>
            </w:r>
            <w:r>
              <w:tab/>
            </w:r>
            <w:r>
              <w:fldChar w:fldCharType="begin"/>
            </w:r>
            <w:r>
              <w:instrText xml:space="preserve">PAGEREF _Toc1060678369 \h</w:instrText>
            </w:r>
            <w:r>
              <w:fldChar w:fldCharType="separate"/>
            </w:r>
            <w:r w:rsidRPr="341598FF" w:rsidR="341598FF">
              <w:rPr>
                <w:rStyle w:val="Hyperlink"/>
              </w:rPr>
              <w:t>13</w:t>
            </w:r>
            <w:r>
              <w:fldChar w:fldCharType="end"/>
            </w:r>
          </w:hyperlink>
        </w:p>
        <w:p xmlns:wp14="http://schemas.microsoft.com/office/word/2010/wordml" w:rsidP="341598FF" wp14:paraId="3C196FB8" wp14:textId="4564F97F">
          <w:pPr>
            <w:pStyle w:val="TOC2"/>
            <w:tabs>
              <w:tab w:val="right" w:leader="dot" w:pos="9900"/>
            </w:tabs>
            <w:bidi w:val="0"/>
            <w:rPr>
              <w:rStyle w:val="Hyperlink"/>
            </w:rPr>
          </w:pPr>
          <w:hyperlink w:anchor="_Toc352734463">
            <w:r w:rsidRPr="341598FF" w:rsidR="341598FF">
              <w:rPr>
                <w:rStyle w:val="Hyperlink"/>
              </w:rPr>
              <w:t>O papel do RH na transformação organizacional</w:t>
            </w:r>
            <w:r>
              <w:tab/>
            </w:r>
            <w:r>
              <w:fldChar w:fldCharType="begin"/>
            </w:r>
            <w:r>
              <w:instrText xml:space="preserve">PAGEREF _Toc352734463 \h</w:instrText>
            </w:r>
            <w:r>
              <w:fldChar w:fldCharType="separate"/>
            </w:r>
            <w:r w:rsidRPr="341598FF" w:rsidR="341598FF">
              <w:rPr>
                <w:rStyle w:val="Hyperlink"/>
              </w:rPr>
              <w:t>14</w:t>
            </w:r>
            <w:r>
              <w:fldChar w:fldCharType="end"/>
            </w:r>
          </w:hyperlink>
        </w:p>
        <w:p xmlns:wp14="http://schemas.microsoft.com/office/word/2010/wordml" w:rsidP="341598FF" wp14:paraId="47FA1DF7" wp14:textId="5E4E935A">
          <w:pPr>
            <w:pStyle w:val="TOC1"/>
            <w:tabs>
              <w:tab w:val="right" w:leader="dot" w:pos="9900"/>
            </w:tabs>
            <w:bidi w:val="0"/>
            <w:rPr>
              <w:rStyle w:val="Hyperlink"/>
            </w:rPr>
          </w:pPr>
          <w:hyperlink w:anchor="_Toc1844198317">
            <w:r w:rsidRPr="341598FF" w:rsidR="341598FF">
              <w:rPr>
                <w:rStyle w:val="Hyperlink"/>
              </w:rPr>
              <w:t>Equidade e Retenção de Talentos</w:t>
            </w:r>
            <w:r>
              <w:tab/>
            </w:r>
            <w:r>
              <w:fldChar w:fldCharType="begin"/>
            </w:r>
            <w:r>
              <w:instrText xml:space="preserve">PAGEREF _Toc1844198317 \h</w:instrText>
            </w:r>
            <w:r>
              <w:fldChar w:fldCharType="separate"/>
            </w:r>
            <w:r w:rsidRPr="341598FF" w:rsidR="341598FF">
              <w:rPr>
                <w:rStyle w:val="Hyperlink"/>
              </w:rPr>
              <w:t>20</w:t>
            </w:r>
            <w:r>
              <w:fldChar w:fldCharType="end"/>
            </w:r>
          </w:hyperlink>
        </w:p>
        <w:p xmlns:wp14="http://schemas.microsoft.com/office/word/2010/wordml" w:rsidP="341598FF" wp14:paraId="4D2D79E2" wp14:textId="7F0FE66A">
          <w:pPr>
            <w:pStyle w:val="TOC2"/>
            <w:tabs>
              <w:tab w:val="right" w:leader="dot" w:pos="9900"/>
            </w:tabs>
            <w:bidi w:val="0"/>
            <w:rPr>
              <w:rStyle w:val="Hyperlink"/>
            </w:rPr>
          </w:pPr>
          <w:hyperlink w:anchor="_Toc1805615205">
            <w:r w:rsidRPr="341598FF" w:rsidR="341598FF">
              <w:rPr>
                <w:rStyle w:val="Hyperlink"/>
              </w:rPr>
              <w:t>Como contratos indeterminados fortalecem programas de diversidade</w:t>
            </w:r>
            <w:r>
              <w:tab/>
            </w:r>
            <w:r>
              <w:fldChar w:fldCharType="begin"/>
            </w:r>
            <w:r>
              <w:instrText xml:space="preserve">PAGEREF _Toc1805615205 \h</w:instrText>
            </w:r>
            <w:r>
              <w:fldChar w:fldCharType="separate"/>
            </w:r>
            <w:r w:rsidRPr="341598FF" w:rsidR="341598FF">
              <w:rPr>
                <w:rStyle w:val="Hyperlink"/>
              </w:rPr>
              <w:t>21</w:t>
            </w:r>
            <w:r>
              <w:fldChar w:fldCharType="end"/>
            </w:r>
          </w:hyperlink>
        </w:p>
        <w:p xmlns:wp14="http://schemas.microsoft.com/office/word/2010/wordml" w:rsidP="341598FF" wp14:paraId="5C64F0A6" wp14:textId="69D57715">
          <w:pPr>
            <w:pStyle w:val="TOC1"/>
            <w:tabs>
              <w:tab w:val="right" w:leader="dot" w:pos="9900"/>
            </w:tabs>
            <w:bidi w:val="0"/>
            <w:rPr>
              <w:rStyle w:val="Hyperlink"/>
            </w:rPr>
          </w:pPr>
          <w:hyperlink w:anchor="_Toc1075342995">
            <w:r w:rsidRPr="341598FF" w:rsidR="341598FF">
              <w:rPr>
                <w:rStyle w:val="Hyperlink"/>
              </w:rPr>
              <w:t>Gestão de Pessoas e Responsabilidade Social</w:t>
            </w:r>
            <w:r>
              <w:tab/>
            </w:r>
            <w:r>
              <w:fldChar w:fldCharType="begin"/>
            </w:r>
            <w:r>
              <w:instrText xml:space="preserve">PAGEREF _Toc1075342995 \h</w:instrText>
            </w:r>
            <w:r>
              <w:fldChar w:fldCharType="separate"/>
            </w:r>
            <w:r w:rsidRPr="341598FF" w:rsidR="341598FF">
              <w:rPr>
                <w:rStyle w:val="Hyperlink"/>
              </w:rPr>
              <w:t>27</w:t>
            </w:r>
            <w:r>
              <w:fldChar w:fldCharType="end"/>
            </w:r>
          </w:hyperlink>
        </w:p>
        <w:p xmlns:wp14="http://schemas.microsoft.com/office/word/2010/wordml" w:rsidP="341598FF" wp14:paraId="519A55BC" wp14:textId="25BE960A">
          <w:pPr>
            <w:pStyle w:val="TOC2"/>
            <w:tabs>
              <w:tab w:val="right" w:leader="dot" w:pos="9900"/>
            </w:tabs>
            <w:bidi w:val="0"/>
            <w:rPr>
              <w:rStyle w:val="Hyperlink"/>
            </w:rPr>
          </w:pPr>
          <w:hyperlink w:anchor="_Toc1095419883">
            <w:r w:rsidRPr="341598FF" w:rsidR="341598FF">
              <w:rPr>
                <w:rStyle w:val="Hyperlink"/>
              </w:rPr>
              <w:t>O RH como agente de mudança</w:t>
            </w:r>
            <w:r>
              <w:tab/>
            </w:r>
            <w:r>
              <w:fldChar w:fldCharType="begin"/>
            </w:r>
            <w:r>
              <w:instrText xml:space="preserve">PAGEREF _Toc1095419883 \h</w:instrText>
            </w:r>
            <w:r>
              <w:fldChar w:fldCharType="separate"/>
            </w:r>
            <w:r w:rsidRPr="341598FF" w:rsidR="341598FF">
              <w:rPr>
                <w:rStyle w:val="Hyperlink"/>
              </w:rPr>
              <w:t>28</w:t>
            </w:r>
            <w:r>
              <w:fldChar w:fldCharType="end"/>
            </w:r>
          </w:hyperlink>
        </w:p>
        <w:p xmlns:wp14="http://schemas.microsoft.com/office/word/2010/wordml" w:rsidP="341598FF" wp14:paraId="016D7D35" wp14:textId="6BAAAA37">
          <w:pPr>
            <w:pStyle w:val="TOC1"/>
            <w:tabs>
              <w:tab w:val="right" w:leader="dot" w:pos="9900"/>
            </w:tabs>
            <w:bidi w:val="0"/>
            <w:rPr>
              <w:rStyle w:val="Hyperlink"/>
            </w:rPr>
          </w:pPr>
          <w:hyperlink w:anchor="_Toc578884828">
            <w:r w:rsidRPr="341598FF" w:rsidR="341598FF">
              <w:rPr>
                <w:rStyle w:val="Hyperlink"/>
              </w:rPr>
              <w:t>Conclusão</w:t>
            </w:r>
            <w:r>
              <w:tab/>
            </w:r>
            <w:r>
              <w:fldChar w:fldCharType="begin"/>
            </w:r>
            <w:r>
              <w:instrText xml:space="preserve">PAGEREF _Toc578884828 \h</w:instrText>
            </w:r>
            <w:r>
              <w:fldChar w:fldCharType="separate"/>
            </w:r>
            <w:r w:rsidRPr="341598FF" w:rsidR="341598FF">
              <w:rPr>
                <w:rStyle w:val="Hyperlink"/>
              </w:rPr>
              <w:t>33</w:t>
            </w:r>
            <w:r>
              <w:fldChar w:fldCharType="end"/>
            </w:r>
          </w:hyperlink>
        </w:p>
        <w:p xmlns:wp14="http://schemas.microsoft.com/office/word/2010/wordml" w:rsidP="341598FF" wp14:paraId="14234C78" wp14:textId="0B377317">
          <w:pPr>
            <w:pStyle w:val="TOC1"/>
            <w:tabs>
              <w:tab w:val="right" w:leader="dot" w:pos="9900"/>
            </w:tabs>
            <w:bidi w:val="0"/>
            <w:rPr>
              <w:rStyle w:val="Hyperlink"/>
            </w:rPr>
          </w:pPr>
          <w:hyperlink w:anchor="_Toc82198829">
            <w:r w:rsidRPr="341598FF" w:rsidR="341598FF">
              <w:rPr>
                <w:rStyle w:val="Hyperlink"/>
              </w:rPr>
              <w:t>Glossário Executivo Refinado</w:t>
            </w:r>
            <w:r>
              <w:tab/>
            </w:r>
            <w:r>
              <w:fldChar w:fldCharType="begin"/>
            </w:r>
            <w:r>
              <w:instrText xml:space="preserve">PAGEREF _Toc82198829 \h</w:instrText>
            </w:r>
            <w:r>
              <w:fldChar w:fldCharType="separate"/>
            </w:r>
            <w:r w:rsidRPr="341598FF" w:rsidR="341598FF">
              <w:rPr>
                <w:rStyle w:val="Hyperlink"/>
              </w:rPr>
              <w:t>38</w:t>
            </w:r>
            <w:r>
              <w:fldChar w:fldCharType="end"/>
            </w:r>
          </w:hyperlink>
        </w:p>
        <w:p xmlns:wp14="http://schemas.microsoft.com/office/word/2010/wordml" w:rsidP="341598FF" wp14:paraId="6C851C86" wp14:textId="33345320">
          <w:pPr>
            <w:pStyle w:val="TOC3"/>
            <w:tabs>
              <w:tab w:val="right" w:leader="dot" w:pos="9900"/>
            </w:tabs>
            <w:bidi w:val="0"/>
            <w:rPr>
              <w:rStyle w:val="Hyperlink"/>
            </w:rPr>
          </w:pPr>
          <w:hyperlink w:anchor="_Toc1195897181">
            <w:r w:rsidRPr="341598FF" w:rsidR="341598FF">
              <w:rPr>
                <w:rStyle w:val="Hyperlink"/>
              </w:rPr>
              <w:t>ROI – Return on Investment (Retorno sobre Investimento)</w:t>
            </w:r>
            <w:r>
              <w:tab/>
            </w:r>
            <w:r>
              <w:fldChar w:fldCharType="begin"/>
            </w:r>
            <w:r>
              <w:instrText xml:space="preserve">PAGEREF _Toc1195897181 \h</w:instrText>
            </w:r>
            <w:r>
              <w:fldChar w:fldCharType="separate"/>
            </w:r>
            <w:r w:rsidRPr="341598FF" w:rsidR="341598FF">
              <w:rPr>
                <w:rStyle w:val="Hyperlink"/>
              </w:rPr>
              <w:t>39</w:t>
            </w:r>
            <w:r>
              <w:fldChar w:fldCharType="end"/>
            </w:r>
          </w:hyperlink>
        </w:p>
        <w:p xmlns:wp14="http://schemas.microsoft.com/office/word/2010/wordml" w:rsidP="341598FF" wp14:paraId="7FCAC020" wp14:textId="21E2F5D6">
          <w:pPr>
            <w:pStyle w:val="TOC3"/>
            <w:tabs>
              <w:tab w:val="right" w:leader="dot" w:pos="9900"/>
            </w:tabs>
            <w:bidi w:val="0"/>
            <w:rPr>
              <w:rStyle w:val="Hyperlink"/>
            </w:rPr>
          </w:pPr>
          <w:hyperlink w:anchor="_Toc109741562">
            <w:r w:rsidRPr="341598FF" w:rsidR="341598FF">
              <w:rPr>
                <w:rStyle w:val="Hyperlink"/>
              </w:rPr>
              <w:t>ESG – Environmental, Social and Governance (Ambiental, Social e Governança)</w:t>
            </w:r>
            <w:r>
              <w:tab/>
            </w:r>
            <w:r>
              <w:fldChar w:fldCharType="begin"/>
            </w:r>
            <w:r>
              <w:instrText xml:space="preserve">PAGEREF _Toc109741562 \h</w:instrText>
            </w:r>
            <w:r>
              <w:fldChar w:fldCharType="separate"/>
            </w:r>
            <w:r w:rsidRPr="341598FF" w:rsidR="341598FF">
              <w:rPr>
                <w:rStyle w:val="Hyperlink"/>
              </w:rPr>
              <w:t>39</w:t>
            </w:r>
            <w:r>
              <w:fldChar w:fldCharType="end"/>
            </w:r>
          </w:hyperlink>
        </w:p>
        <w:p xmlns:wp14="http://schemas.microsoft.com/office/word/2010/wordml" w:rsidP="341598FF" wp14:paraId="1B5734E0" wp14:textId="4B4D830D">
          <w:pPr>
            <w:pStyle w:val="TOC3"/>
            <w:tabs>
              <w:tab w:val="right" w:leader="dot" w:pos="9900"/>
            </w:tabs>
            <w:bidi w:val="0"/>
            <w:rPr>
              <w:rStyle w:val="Hyperlink"/>
            </w:rPr>
          </w:pPr>
          <w:hyperlink w:anchor="_Toc1562799779">
            <w:r w:rsidRPr="341598FF" w:rsidR="341598FF">
              <w:rPr>
                <w:rStyle w:val="Hyperlink"/>
              </w:rPr>
              <w:t>DEI – Diversity, Equity and Inclusion (Diversidade, Equidade e Inclusão)</w:t>
            </w:r>
            <w:r>
              <w:tab/>
            </w:r>
            <w:r>
              <w:fldChar w:fldCharType="begin"/>
            </w:r>
            <w:r>
              <w:instrText xml:space="preserve">PAGEREF _Toc1562799779 \h</w:instrText>
            </w:r>
            <w:r>
              <w:fldChar w:fldCharType="separate"/>
            </w:r>
            <w:r w:rsidRPr="341598FF" w:rsidR="341598FF">
              <w:rPr>
                <w:rStyle w:val="Hyperlink"/>
              </w:rPr>
              <w:t>39</w:t>
            </w:r>
            <w:r>
              <w:fldChar w:fldCharType="end"/>
            </w:r>
          </w:hyperlink>
        </w:p>
        <w:p xmlns:wp14="http://schemas.microsoft.com/office/word/2010/wordml" w:rsidP="341598FF" wp14:paraId="7F3C4143" wp14:textId="758F3216">
          <w:pPr>
            <w:pStyle w:val="TOC3"/>
            <w:tabs>
              <w:tab w:val="right" w:leader="dot" w:pos="9900"/>
            </w:tabs>
            <w:bidi w:val="0"/>
            <w:rPr>
              <w:rStyle w:val="Hyperlink"/>
            </w:rPr>
          </w:pPr>
          <w:hyperlink w:anchor="_Toc479880314">
            <w:r w:rsidRPr="341598FF" w:rsidR="341598FF">
              <w:rPr>
                <w:rStyle w:val="Hyperlink"/>
              </w:rPr>
              <w:t>CLT – Consolidação das Leis do Trabalho</w:t>
            </w:r>
            <w:r>
              <w:tab/>
            </w:r>
            <w:r>
              <w:fldChar w:fldCharType="begin"/>
            </w:r>
            <w:r>
              <w:instrText xml:space="preserve">PAGEREF _Toc479880314 \h</w:instrText>
            </w:r>
            <w:r>
              <w:fldChar w:fldCharType="separate"/>
            </w:r>
            <w:r w:rsidRPr="341598FF" w:rsidR="341598FF">
              <w:rPr>
                <w:rStyle w:val="Hyperlink"/>
              </w:rPr>
              <w:t>39</w:t>
            </w:r>
            <w:r>
              <w:fldChar w:fldCharType="end"/>
            </w:r>
          </w:hyperlink>
        </w:p>
        <w:p xmlns:wp14="http://schemas.microsoft.com/office/word/2010/wordml" w:rsidP="341598FF" wp14:paraId="01234865" wp14:textId="12E7F1FD">
          <w:pPr>
            <w:pStyle w:val="TOC3"/>
            <w:tabs>
              <w:tab w:val="right" w:leader="dot" w:pos="9900"/>
            </w:tabs>
            <w:bidi w:val="0"/>
            <w:rPr>
              <w:rStyle w:val="Hyperlink"/>
            </w:rPr>
          </w:pPr>
          <w:hyperlink w:anchor="_Toc878635093">
            <w:r w:rsidRPr="341598FF" w:rsidR="341598FF">
              <w:rPr>
                <w:rStyle w:val="Hyperlink"/>
              </w:rPr>
              <w:t>TST – Tribunal Superior do Trabalho</w:t>
            </w:r>
            <w:r>
              <w:tab/>
            </w:r>
            <w:r>
              <w:fldChar w:fldCharType="begin"/>
            </w:r>
            <w:r>
              <w:instrText xml:space="preserve">PAGEREF _Toc878635093 \h</w:instrText>
            </w:r>
            <w:r>
              <w:fldChar w:fldCharType="separate"/>
            </w:r>
            <w:r w:rsidRPr="341598FF" w:rsidR="341598FF">
              <w:rPr>
                <w:rStyle w:val="Hyperlink"/>
              </w:rPr>
              <w:t>39</w:t>
            </w:r>
            <w:r>
              <w:fldChar w:fldCharType="end"/>
            </w:r>
          </w:hyperlink>
        </w:p>
        <w:p xmlns:wp14="http://schemas.microsoft.com/office/word/2010/wordml" w:rsidP="341598FF" wp14:paraId="583141D8" wp14:textId="621945CD">
          <w:pPr>
            <w:pStyle w:val="TOC3"/>
            <w:tabs>
              <w:tab w:val="right" w:leader="dot" w:pos="9900"/>
            </w:tabs>
            <w:bidi w:val="0"/>
            <w:rPr>
              <w:rStyle w:val="Hyperlink"/>
            </w:rPr>
          </w:pPr>
          <w:hyperlink w:anchor="_Toc525302548">
            <w:r w:rsidRPr="341598FF" w:rsidR="341598FF">
              <w:rPr>
                <w:rStyle w:val="Hyperlink"/>
              </w:rPr>
              <w:t>MPT – Ministério Público do Trabalho</w:t>
            </w:r>
            <w:r>
              <w:tab/>
            </w:r>
            <w:r>
              <w:fldChar w:fldCharType="begin"/>
            </w:r>
            <w:r>
              <w:instrText xml:space="preserve">PAGEREF _Toc525302548 \h</w:instrText>
            </w:r>
            <w:r>
              <w:fldChar w:fldCharType="separate"/>
            </w:r>
            <w:r w:rsidRPr="341598FF" w:rsidR="341598FF">
              <w:rPr>
                <w:rStyle w:val="Hyperlink"/>
              </w:rPr>
              <w:t>39</w:t>
            </w:r>
            <w:r>
              <w:fldChar w:fldCharType="end"/>
            </w:r>
          </w:hyperlink>
        </w:p>
        <w:p xmlns:wp14="http://schemas.microsoft.com/office/word/2010/wordml" w:rsidP="341598FF" wp14:paraId="2A0B4F8C" wp14:textId="3F3A8E70">
          <w:pPr>
            <w:pStyle w:val="TOC3"/>
            <w:tabs>
              <w:tab w:val="right" w:leader="dot" w:pos="9900"/>
            </w:tabs>
            <w:bidi w:val="0"/>
            <w:rPr>
              <w:rStyle w:val="Hyperlink"/>
            </w:rPr>
          </w:pPr>
          <w:hyperlink w:anchor="_Toc743621194">
            <w:r w:rsidRPr="341598FF" w:rsidR="341598FF">
              <w:rPr>
                <w:rStyle w:val="Hyperlink"/>
              </w:rPr>
              <w:t>OIT – Organização Internacional do Trabalho (International Labour Organization – ILO)</w:t>
            </w:r>
            <w:r>
              <w:tab/>
            </w:r>
            <w:r>
              <w:fldChar w:fldCharType="begin"/>
            </w:r>
            <w:r>
              <w:instrText xml:space="preserve">PAGEREF _Toc743621194 \h</w:instrText>
            </w:r>
            <w:r>
              <w:fldChar w:fldCharType="separate"/>
            </w:r>
            <w:r w:rsidRPr="341598FF" w:rsidR="341598FF">
              <w:rPr>
                <w:rStyle w:val="Hyperlink"/>
              </w:rPr>
              <w:t>40</w:t>
            </w:r>
            <w:r>
              <w:fldChar w:fldCharType="end"/>
            </w:r>
          </w:hyperlink>
        </w:p>
        <w:p xmlns:wp14="http://schemas.microsoft.com/office/word/2010/wordml" w:rsidP="341598FF" wp14:paraId="069E6A4A" wp14:textId="63E49D62">
          <w:pPr>
            <w:pStyle w:val="TOC3"/>
            <w:tabs>
              <w:tab w:val="right" w:leader="dot" w:pos="9900"/>
            </w:tabs>
            <w:bidi w:val="0"/>
            <w:rPr>
              <w:rStyle w:val="Hyperlink"/>
            </w:rPr>
          </w:pPr>
          <w:hyperlink w:anchor="_Toc858082353">
            <w:r w:rsidRPr="341598FF" w:rsidR="341598FF">
              <w:rPr>
                <w:rStyle w:val="Hyperlink"/>
              </w:rPr>
              <w:t>McKinsey &amp; Company</w:t>
            </w:r>
            <w:r>
              <w:tab/>
            </w:r>
            <w:r>
              <w:fldChar w:fldCharType="begin"/>
            </w:r>
            <w:r>
              <w:instrText xml:space="preserve">PAGEREF _Toc858082353 \h</w:instrText>
            </w:r>
            <w:r>
              <w:fldChar w:fldCharType="separate"/>
            </w:r>
            <w:r w:rsidRPr="341598FF" w:rsidR="341598FF">
              <w:rPr>
                <w:rStyle w:val="Hyperlink"/>
              </w:rPr>
              <w:t>40</w:t>
            </w:r>
            <w:r>
              <w:fldChar w:fldCharType="end"/>
            </w:r>
          </w:hyperlink>
        </w:p>
        <w:p xmlns:wp14="http://schemas.microsoft.com/office/word/2010/wordml" w:rsidP="341598FF" wp14:paraId="7DA3DA82" wp14:textId="654326E6">
          <w:pPr>
            <w:pStyle w:val="TOC3"/>
            <w:tabs>
              <w:tab w:val="right" w:leader="dot" w:pos="9900"/>
            </w:tabs>
            <w:bidi w:val="0"/>
            <w:rPr>
              <w:rStyle w:val="Hyperlink"/>
            </w:rPr>
          </w:pPr>
          <w:hyperlink w:anchor="_Toc1678862918">
            <w:r w:rsidRPr="341598FF" w:rsidR="341598FF">
              <w:rPr>
                <w:rStyle w:val="Hyperlink"/>
              </w:rPr>
              <w:t>Deloitte Brasil</w:t>
            </w:r>
            <w:r>
              <w:tab/>
            </w:r>
            <w:r>
              <w:fldChar w:fldCharType="begin"/>
            </w:r>
            <w:r>
              <w:instrText xml:space="preserve">PAGEREF _Toc1678862918 \h</w:instrText>
            </w:r>
            <w:r>
              <w:fldChar w:fldCharType="separate"/>
            </w:r>
            <w:r w:rsidRPr="341598FF" w:rsidR="341598FF">
              <w:rPr>
                <w:rStyle w:val="Hyperlink"/>
              </w:rPr>
              <w:t>40</w:t>
            </w:r>
            <w:r>
              <w:fldChar w:fldCharType="end"/>
            </w:r>
          </w:hyperlink>
        </w:p>
        <w:p xmlns:wp14="http://schemas.microsoft.com/office/word/2010/wordml" w:rsidP="341598FF" wp14:paraId="3DC1239F" wp14:textId="119394A4">
          <w:pPr>
            <w:pStyle w:val="TOC3"/>
            <w:tabs>
              <w:tab w:val="right" w:leader="dot" w:pos="9900"/>
            </w:tabs>
            <w:bidi w:val="0"/>
            <w:rPr>
              <w:rStyle w:val="Hyperlink"/>
            </w:rPr>
          </w:pPr>
          <w:hyperlink w:anchor="_Toc1158775834">
            <w:r w:rsidRPr="341598FF" w:rsidR="341598FF">
              <w:rPr>
                <w:rStyle w:val="Hyperlink"/>
              </w:rPr>
              <w:t>PwC – PricewaterhouseCoopers</w:t>
            </w:r>
            <w:r>
              <w:tab/>
            </w:r>
            <w:r>
              <w:fldChar w:fldCharType="begin"/>
            </w:r>
            <w:r>
              <w:instrText xml:space="preserve">PAGEREF _Toc1158775834 \h</w:instrText>
            </w:r>
            <w:r>
              <w:fldChar w:fldCharType="separate"/>
            </w:r>
            <w:r w:rsidRPr="341598FF" w:rsidR="341598FF">
              <w:rPr>
                <w:rStyle w:val="Hyperlink"/>
              </w:rPr>
              <w:t>40</w:t>
            </w:r>
            <w:r>
              <w:fldChar w:fldCharType="end"/>
            </w:r>
          </w:hyperlink>
          <w:r>
            <w:fldChar w:fldCharType="end"/>
          </w:r>
        </w:p>
      </w:sdtContent>
    </w:sdt>
    <w:p xmlns:wp14="http://schemas.microsoft.com/office/word/2010/wordml" w:rsidP="341598FF" wp14:paraId="794554AB" wp14:textId="27FF4141">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41598FF" wp14:paraId="27677F7F" wp14:textId="2617ED7D">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41598FF" wp14:paraId="1C21EFB0" wp14:textId="3BB8CFBB">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68A7006C" wp14:textId="069307F6">
      <w:r>
        <w:br w:type="page"/>
      </w:r>
    </w:p>
    <w:p xmlns:wp14="http://schemas.microsoft.com/office/word/2010/wordml" w:rsidP="341598FF" wp14:paraId="25767E94" wp14:textId="3DE40C05">
      <w:pPr>
        <w:pStyle w:val="Heading1"/>
        <w:rPr>
          <w:rFonts w:ascii="Aptos" w:hAnsi="Aptos" w:eastAsia="Aptos" w:cs="Aptos"/>
          <w:b w:val="1"/>
          <w:bCs w:val="1"/>
          <w:noProof w:val="0"/>
          <w:sz w:val="36"/>
          <w:szCs w:val="36"/>
          <w:lang w:val="pt-BR"/>
        </w:rPr>
      </w:pPr>
      <w:bookmarkStart w:name="_Toc623367527" w:id="1799430436"/>
      <w:bookmarkStart w:name="_Toc1165156683" w:id="1755004684"/>
      <w:r w:rsidRPr="341598FF" w:rsidR="20EA62C6">
        <w:rPr>
          <w:noProof w:val="0"/>
          <w:lang w:val="pt-BR"/>
        </w:rPr>
        <w:t>Prefácio</w:t>
      </w:r>
      <w:bookmarkEnd w:id="1799430436"/>
      <w:bookmarkEnd w:id="1755004684"/>
    </w:p>
    <w:p xmlns:wp14="http://schemas.microsoft.com/office/word/2010/wordml" w:rsidP="341598FF" wp14:paraId="46DB35A5" wp14:textId="1D52488E">
      <w:pPr>
        <w:spacing w:before="240" w:beforeAutospacing="off" w:after="240" w:afterAutospacing="off"/>
        <w:jc w:val="both"/>
        <w:rPr>
          <w:rFonts w:ascii="Aptos" w:hAnsi="Aptos" w:eastAsia="Aptos" w:cs="Aptos"/>
          <w:noProof w:val="0"/>
          <w:sz w:val="24"/>
          <w:szCs w:val="24"/>
          <w:lang w:val="pt-BR"/>
        </w:rPr>
      </w:pPr>
    </w:p>
    <w:p xmlns:wp14="http://schemas.microsoft.com/office/word/2010/wordml" w:rsidP="341598FF" wp14:paraId="130C93A1" wp14:textId="0D57491A">
      <w:pPr>
        <w:pStyle w:val="Normal"/>
        <w:jc w:val="both"/>
      </w:pPr>
      <w:r w:rsidRPr="341598FF" w:rsidR="20EA62C6">
        <w:rPr>
          <w:noProof w:val="0"/>
          <w:lang w:val="pt-BR"/>
        </w:rPr>
        <w:t>O presente artigo tem como objetivo estratégico analisar os contratos de trabalho sob a ótica da diversidade e da inclusão sustentável, considerando o contexto corporativo e regulatório vigente no Brasil e em organismos internacionais. A proposta é oferecer uma visão executiva-consultiva que permita a gestores de Recursos Humanos e estudantes universitários compreenderem como diferentes modalidades contratuais podem ser utilizadas como instrumentos de inclusão produtiva, mobilidade social e fortalecimento da equidade no ambiente corporativo.</w:t>
      </w:r>
    </w:p>
    <w:p xmlns:wp14="http://schemas.microsoft.com/office/word/2010/wordml" w:rsidP="341598FF" wp14:paraId="67BFBEE6" wp14:textId="4AB72312">
      <w:pPr>
        <w:pStyle w:val="Normal"/>
        <w:jc w:val="both"/>
      </w:pPr>
      <w:r w:rsidRPr="341598FF" w:rsidR="20EA62C6">
        <w:rPr>
          <w:noProof w:val="0"/>
          <w:lang w:val="pt-BR"/>
        </w:rPr>
        <w:t xml:space="preserve">O cenário regulatório brasileiro, pautado pela Consolidação das Leis do Trabalho (CLT) e pelas decisões do Tribunal Superior do Trabalho (TST), estabelece parâmetros formais para os vínculos empregatícios. Entretanto, a prática corporativa exige que tais parâmetros sejam reinterpretados à luz das demandas contemporâneas de diversidade, equidade e inclusão (DEI). Segundo relatório da </w:t>
      </w:r>
      <w:r w:rsidRPr="341598FF" w:rsidR="0785FF56">
        <w:rPr>
          <w:noProof w:val="0"/>
          <w:lang w:val="pt-BR"/>
        </w:rPr>
        <w:t>Organização Internacional do Trabalho (</w:t>
      </w:r>
      <w:r w:rsidRPr="341598FF" w:rsidR="20EA62C6">
        <w:rPr>
          <w:noProof w:val="0"/>
          <w:lang w:val="pt-BR"/>
        </w:rPr>
        <w:t>OIT</w:t>
      </w:r>
      <w:r w:rsidRPr="341598FF" w:rsidR="69663E4F">
        <w:rPr>
          <w:noProof w:val="0"/>
          <w:lang w:val="pt-BR"/>
        </w:rPr>
        <w:t>/</w:t>
      </w:r>
      <w:r w:rsidRPr="341598FF" w:rsidR="20EA62C6">
        <w:rPr>
          <w:noProof w:val="0"/>
          <w:lang w:val="pt-BR"/>
        </w:rPr>
        <w:t>2021), empresas que adotam políticas inclusivas vinculadas a contratos estáveis apresentam maior retenção de talentos e melhor desempenho organizacional.</w:t>
      </w:r>
    </w:p>
    <w:p xmlns:wp14="http://schemas.microsoft.com/office/word/2010/wordml" w:rsidP="341598FF" wp14:paraId="15D171F4" wp14:textId="0620418A">
      <w:pPr>
        <w:pStyle w:val="Normal"/>
        <w:jc w:val="both"/>
        <w:rPr>
          <w:noProof w:val="0"/>
          <w:lang w:val="pt-BR"/>
        </w:rPr>
      </w:pPr>
      <w:r w:rsidRPr="341598FF" w:rsidR="20EA62C6">
        <w:rPr>
          <w:noProof w:val="0"/>
          <w:lang w:val="pt-BR"/>
        </w:rPr>
        <w:t xml:space="preserve">A relevância do tema é reforçada por estudos da McKinsey &amp; Company (2020), que demonstram que organizações com maior diversidade de gênero e raça em cargos de liderança têm até </w:t>
      </w:r>
      <w:r w:rsidRPr="341598FF" w:rsidR="20EA62C6">
        <w:rPr>
          <w:noProof w:val="0"/>
          <w:lang w:val="pt-BR"/>
        </w:rPr>
        <w:t>25% mais p</w:t>
      </w:r>
      <w:r w:rsidRPr="341598FF" w:rsidR="20EA62C6">
        <w:rPr>
          <w:noProof w:val="0"/>
          <w:lang w:val="pt-BR"/>
        </w:rPr>
        <w:t>ro</w:t>
      </w:r>
      <w:r w:rsidRPr="341598FF" w:rsidR="20EA62C6">
        <w:rPr>
          <w:noProof w:val="0"/>
          <w:lang w:val="pt-BR"/>
        </w:rPr>
        <w:t>babilidade d</w:t>
      </w:r>
      <w:r w:rsidRPr="341598FF" w:rsidR="20EA62C6">
        <w:rPr>
          <w:noProof w:val="0"/>
          <w:lang w:val="pt-BR"/>
        </w:rPr>
        <w:t xml:space="preserve">e </w:t>
      </w:r>
      <w:r w:rsidRPr="341598FF" w:rsidR="20EA62C6">
        <w:rPr>
          <w:noProof w:val="0"/>
          <w:lang w:val="pt-BR"/>
        </w:rPr>
        <w:t>sup</w:t>
      </w:r>
      <w:r w:rsidRPr="341598FF" w:rsidR="20EA62C6">
        <w:rPr>
          <w:noProof w:val="0"/>
          <w:lang w:val="pt-BR"/>
        </w:rPr>
        <w:t>e</w:t>
      </w:r>
      <w:r w:rsidRPr="341598FF" w:rsidR="20EA62C6">
        <w:rPr>
          <w:noProof w:val="0"/>
          <w:lang w:val="pt-BR"/>
        </w:rPr>
        <w:t>rar a médi</w:t>
      </w:r>
      <w:r w:rsidRPr="341598FF" w:rsidR="20EA62C6">
        <w:rPr>
          <w:noProof w:val="0"/>
          <w:lang w:val="pt-BR"/>
        </w:rPr>
        <w:t>a de lucratividade de seus pares. Esse dado evidencia que a diversidade não é apenas uma pauta social, mas também estratégica para o ROI (</w:t>
      </w:r>
      <w:r w:rsidRPr="341598FF" w:rsidR="20EA62C6">
        <w:rPr>
          <w:noProof w:val="0"/>
          <w:lang w:val="pt-BR"/>
        </w:rPr>
        <w:t>Return</w:t>
      </w:r>
      <w:r w:rsidRPr="341598FF" w:rsidR="20EA62C6">
        <w:rPr>
          <w:noProof w:val="0"/>
          <w:lang w:val="pt-BR"/>
        </w:rPr>
        <w:t xml:space="preserve"> </w:t>
      </w:r>
      <w:r w:rsidRPr="341598FF" w:rsidR="20EA62C6">
        <w:rPr>
          <w:noProof w:val="0"/>
          <w:lang w:val="pt-BR"/>
        </w:rPr>
        <w:t>on</w:t>
      </w:r>
      <w:r w:rsidRPr="341598FF" w:rsidR="20EA62C6">
        <w:rPr>
          <w:noProof w:val="0"/>
          <w:lang w:val="pt-BR"/>
        </w:rPr>
        <w:t xml:space="preserve"> </w:t>
      </w:r>
      <w:r w:rsidRPr="341598FF" w:rsidR="20EA62C6">
        <w:rPr>
          <w:noProof w:val="0"/>
          <w:lang w:val="pt-BR"/>
        </w:rPr>
        <w:t>Investment</w:t>
      </w:r>
      <w:r w:rsidRPr="341598FF" w:rsidR="20EA62C6">
        <w:rPr>
          <w:noProof w:val="0"/>
          <w:lang w:val="pt-BR"/>
        </w:rPr>
        <w:t xml:space="preserve"> ou Retorno sobre Investimento).</w:t>
      </w:r>
    </w:p>
    <w:p xmlns:wp14="http://schemas.microsoft.com/office/word/2010/wordml" w:rsidP="341598FF" wp14:paraId="5A8182A2" wp14:textId="60A2D5CA">
      <w:pPr>
        <w:pStyle w:val="Normal"/>
        <w:jc w:val="both"/>
      </w:pPr>
      <w:r w:rsidRPr="341598FF" w:rsidR="20EA62C6">
        <w:rPr>
          <w:noProof w:val="0"/>
          <w:lang w:val="pt-BR"/>
        </w:rPr>
        <w:t>O artigo está estruturado em modelos de contratos, cada qual analisado sob a perspectiva da diversidade e impacto social. Cada modelo será acompanhado de artefatos visuais, como tabelas, figuras e matrizes de risco, numerados sequencialmente e citados no corpo do texto. Essa abordagem visa facilitar a consulta rápida por gestores e estudantes, além de garantir consistência metodológica.</w:t>
      </w:r>
    </w:p>
    <w:p xmlns:wp14="http://schemas.microsoft.com/office/word/2010/wordml" w:rsidP="341598FF" wp14:paraId="44C64C28" wp14:textId="02CA72B7">
      <w:pPr>
        <w:pStyle w:val="Normal"/>
        <w:jc w:val="both"/>
      </w:pPr>
      <w:r w:rsidRPr="341598FF" w:rsidR="20EA62C6">
        <w:rPr>
          <w:noProof w:val="0"/>
          <w:lang w:val="pt-BR"/>
        </w:rPr>
        <w:t>O contexto corporativo atual exige que os contratos de trabalho sejam avaliados não apenas pela sua função jurídica, mas também pelo seu papel social. Empresas que integram diversidade em seus contratos fortalecem sua reputação institucional, reduzem riscos de compliance e ampliam sua capacidade de inovação. Segundo pesquisa da Deloitte Brasil (2022), 67% das empresas que implementaram políticas de diversidade vinculadas a contratos indeterminados observaram aumento significativo na retenção de talentos.</w:t>
      </w:r>
    </w:p>
    <w:p xmlns:wp14="http://schemas.microsoft.com/office/word/2010/wordml" w:rsidP="341598FF" wp14:paraId="54F44DF6" wp14:textId="045F3545">
      <w:pPr>
        <w:pStyle w:val="Normal"/>
        <w:jc w:val="both"/>
      </w:pPr>
      <w:r w:rsidRPr="341598FF" w:rsidR="20EA62C6">
        <w:rPr>
          <w:noProof w:val="0"/>
          <w:lang w:val="pt-BR"/>
        </w:rPr>
        <w:t xml:space="preserve">Este artigo também se propõe a apresentar frameworks visuais que auxiliem na tomada de decisão. Por exemplo, será explorado o </w:t>
      </w:r>
      <w:r w:rsidRPr="341598FF" w:rsidR="20EA62C6">
        <w:rPr>
          <w:noProof w:val="0"/>
          <w:lang w:val="pt-BR"/>
        </w:rPr>
        <w:t>Mapa de compatibilidade entre contratos e políticas de diversidade (Figura 2.1)</w:t>
      </w:r>
      <w:r w:rsidRPr="341598FF" w:rsidR="20EA62C6">
        <w:rPr>
          <w:noProof w:val="0"/>
          <w:lang w:val="pt-BR"/>
        </w:rPr>
        <w:t>, que permitirá visualizar quais modalidades contratuais oferecem maior potencial de inclusão sustentável.</w:t>
      </w:r>
    </w:p>
    <w:p xmlns:wp14="http://schemas.microsoft.com/office/word/2010/wordml" w:rsidP="341598FF" wp14:paraId="66CA5FD6" wp14:textId="3FDD1360">
      <w:pPr>
        <w:spacing w:before="240" w:beforeAutospacing="off" w:after="240" w:afterAutospacing="off"/>
        <w:jc w:val="both"/>
      </w:pPr>
      <w:r w:rsidRPr="341598FF" w:rsidR="20EA62C6">
        <w:rPr>
          <w:rFonts w:ascii="Aptos" w:hAnsi="Aptos" w:eastAsia="Aptos" w:cs="Aptos"/>
          <w:noProof w:val="0"/>
          <w:sz w:val="24"/>
          <w:szCs w:val="24"/>
          <w:lang w:val="pt-BR"/>
        </w:rPr>
        <w:t xml:space="preserve">Além disso, serão apresentados indicadores quantitativos, como a </w:t>
      </w:r>
      <w:r w:rsidRPr="341598FF" w:rsidR="20EA62C6">
        <w:rPr>
          <w:rFonts w:ascii="Aptos" w:hAnsi="Aptos" w:eastAsia="Aptos" w:cs="Aptos"/>
          <w:b w:val="1"/>
          <w:bCs w:val="1"/>
          <w:noProof w:val="0"/>
          <w:sz w:val="24"/>
          <w:szCs w:val="24"/>
          <w:lang w:val="pt-BR"/>
        </w:rPr>
        <w:t>Tabela 2.2 – Indicadores de inclusão por modelo contratual</w:t>
      </w:r>
      <w:r w:rsidRPr="341598FF" w:rsidR="20EA62C6">
        <w:rPr>
          <w:rFonts w:ascii="Aptos" w:hAnsi="Aptos" w:eastAsia="Aptos" w:cs="Aptos"/>
          <w:noProof w:val="0"/>
          <w:sz w:val="24"/>
          <w:szCs w:val="24"/>
          <w:lang w:val="pt-BR"/>
        </w:rPr>
        <w:t xml:space="preserve">, fundamentados em dados de fontes oficiais como IBGE (2021) e relatórios da </w:t>
      </w:r>
      <w:r w:rsidRPr="341598FF" w:rsidR="20EA62C6">
        <w:rPr>
          <w:rFonts w:ascii="Aptos" w:hAnsi="Aptos" w:eastAsia="Aptos" w:cs="Aptos"/>
          <w:noProof w:val="0"/>
          <w:sz w:val="24"/>
          <w:szCs w:val="24"/>
          <w:lang w:val="pt-BR"/>
        </w:rPr>
        <w:t>PwC</w:t>
      </w:r>
      <w:r w:rsidRPr="341598FF" w:rsidR="20EA62C6">
        <w:rPr>
          <w:rFonts w:ascii="Aptos" w:hAnsi="Aptos" w:eastAsia="Aptos" w:cs="Aptos"/>
          <w:noProof w:val="0"/>
          <w:sz w:val="24"/>
          <w:szCs w:val="24"/>
          <w:lang w:val="pt-BR"/>
        </w:rPr>
        <w:t xml:space="preserve"> (2020). Esses indicadores servirão como benchmarks para gestores avaliarem a eficácia de suas políticas de diversidade.</w:t>
      </w:r>
    </w:p>
    <w:p xmlns:wp14="http://schemas.microsoft.com/office/word/2010/wordml" w:rsidP="341598FF" wp14:paraId="05101626" wp14:textId="179F6D15">
      <w:pPr>
        <w:pStyle w:val="Normal"/>
        <w:jc w:val="both"/>
      </w:pPr>
      <w:r w:rsidRPr="341598FF" w:rsidR="20EA62C6">
        <w:rPr>
          <w:noProof w:val="0"/>
          <w:lang w:val="pt-BR"/>
        </w:rPr>
        <w:t>A análise será conduzida de forma imparcial, apresentando cenários alternativos e sinalizando explicitamente quando se tratar de hipóteses ou projeções. Essa neutralidade é fundamental para garantir credibilidade acadêmica e aplicabilidade corporativa.</w:t>
      </w:r>
    </w:p>
    <w:p xmlns:wp14="http://schemas.microsoft.com/office/word/2010/wordml" w:rsidP="341598FF" wp14:paraId="3B037967" wp14:textId="3C43A697">
      <w:pPr>
        <w:pStyle w:val="Normal"/>
        <w:jc w:val="both"/>
      </w:pPr>
      <w:r w:rsidRPr="341598FF" w:rsidR="20EA62C6">
        <w:rPr>
          <w:noProof w:val="0"/>
          <w:lang w:val="pt-BR"/>
        </w:rPr>
        <w:t>O artigo também abordará os riscos de precarização associados a contratos determinados e intermitentes, destacando como tais modalidades podem comprometer programas de diversidade se não forem acompanhadas de políticas compensatórias.</w:t>
      </w:r>
    </w:p>
    <w:p xmlns:wp14="http://schemas.microsoft.com/office/word/2010/wordml" w:rsidP="341598FF" wp14:paraId="0518207B" wp14:textId="6B5CAFB9">
      <w:pPr>
        <w:pStyle w:val="Normal"/>
        <w:jc w:val="both"/>
      </w:pPr>
      <w:r w:rsidRPr="341598FF" w:rsidR="20EA62C6">
        <w:rPr>
          <w:noProof w:val="0"/>
          <w:lang w:val="pt-BR"/>
        </w:rPr>
        <w:t>Por fim, o prefácio estabelece que este trabalho não se limita a uma análise jurídica, mas se expande para uma visão estratégica de gestão de pessoas, responsabilidade social e impacto organizacional. O objetivo é oferecer recomendações práticas que possam ser aplicadas em empresas de diferentes portes e setores.</w:t>
      </w:r>
    </w:p>
    <w:p xmlns:wp14="http://schemas.microsoft.com/office/word/2010/wordml" w:rsidP="341598FF" wp14:paraId="1A002208" wp14:textId="15C66CD2">
      <w:pPr>
        <w:jc w:val="both"/>
      </w:pPr>
    </w:p>
    <w:p xmlns:wp14="http://schemas.microsoft.com/office/word/2010/wordml" w:rsidP="341598FF" wp14:paraId="03DBCDC5" wp14:textId="3024EE5F">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5954B466" wp14:textId="2D008014">
      <w:r>
        <w:br w:type="page"/>
      </w:r>
    </w:p>
    <w:p xmlns:wp14="http://schemas.microsoft.com/office/word/2010/wordml" w:rsidP="341598FF" wp14:paraId="3A41E2B6" wp14:textId="51BEC51D">
      <w:pPr>
        <w:pStyle w:val="Heading1"/>
        <w:rPr>
          <w:rFonts w:ascii="Aptos" w:hAnsi="Aptos" w:eastAsia="Aptos" w:cs="Aptos"/>
          <w:b w:val="1"/>
          <w:bCs w:val="1"/>
          <w:noProof w:val="0"/>
          <w:sz w:val="36"/>
          <w:szCs w:val="36"/>
          <w:lang w:val="pt-BR"/>
        </w:rPr>
      </w:pPr>
      <w:bookmarkStart w:name="_Toc693908439" w:id="1602544701"/>
      <w:bookmarkStart w:name="_Toc189753296" w:id="1515262129"/>
      <w:r w:rsidRPr="341598FF" w:rsidR="51DC958A">
        <w:rPr>
          <w:noProof w:val="0"/>
          <w:lang w:val="pt-BR"/>
        </w:rPr>
        <w:t>Contratos Indeterminados e Diversidade</w:t>
      </w:r>
      <w:bookmarkEnd w:id="1602544701"/>
      <w:bookmarkEnd w:id="1515262129"/>
    </w:p>
    <w:p xmlns:wp14="http://schemas.microsoft.com/office/word/2010/wordml" w:rsidP="341598FF" wp14:paraId="01E3C843" wp14:textId="16F84F99">
      <w:pPr>
        <w:pStyle w:val="Normal"/>
        <w:jc w:val="both"/>
        <w:rPr>
          <w:noProof w:val="0"/>
          <w:lang w:val="pt-BR"/>
        </w:rPr>
      </w:pPr>
    </w:p>
    <w:p xmlns:wp14="http://schemas.microsoft.com/office/word/2010/wordml" w:rsidP="341598FF" wp14:paraId="7E3027AD" wp14:textId="5A59FC80">
      <w:pPr>
        <w:pStyle w:val="Normal"/>
        <w:jc w:val="both"/>
      </w:pPr>
      <w:r w:rsidRPr="341598FF" w:rsidR="51DC958A">
        <w:rPr>
          <w:noProof w:val="0"/>
          <w:lang w:val="pt-BR"/>
        </w:rPr>
        <w:t>Como os contratos indeterminados podem ser estruturados para fortalecer programas de diversidade e inclusão sustentável, garantindo ROI social e mitigando riscos de precarização?</w:t>
      </w:r>
    </w:p>
    <w:p xmlns:wp14="http://schemas.microsoft.com/office/word/2010/wordml" w:rsidP="341598FF" wp14:paraId="06A80A67" wp14:textId="44B7493F">
      <w:pPr>
        <w:pStyle w:val="Normal"/>
        <w:jc w:val="both"/>
      </w:pPr>
      <w:r w:rsidRPr="341598FF" w:rsidR="51DC958A">
        <w:rPr>
          <w:noProof w:val="0"/>
          <w:lang w:val="pt-BR"/>
        </w:rPr>
        <w:t>Os contratos indeterminados, previstos na Consolidação das Leis do Trabalho (CLT), representam o vínculo empregatício mais estável no ordenamento jurídico brasileiro. Essa modalidade é caracterizada pela ausência de prazo final definido, permitindo maior previsibilidade para o trabalhador e para a empresa. Segundo relatório da OIT (2021), vínculos estáveis são diretamente associados ao aumento da inclusão produtiva e à redução da rotatividade, fatores críticos para programas de diversidade.</w:t>
      </w:r>
    </w:p>
    <w:p xmlns:wp14="http://schemas.microsoft.com/office/word/2010/wordml" w:rsidP="341598FF" wp14:paraId="400AFCBE" wp14:textId="12F56A03">
      <w:pPr>
        <w:pStyle w:val="Normal"/>
        <w:jc w:val="both"/>
        <w:rPr>
          <w:noProof w:val="0"/>
          <w:lang w:val="pt-BR"/>
        </w:rPr>
      </w:pPr>
      <w:r w:rsidRPr="341598FF" w:rsidR="51DC958A">
        <w:rPr>
          <w:noProof w:val="0"/>
          <w:lang w:val="pt-BR"/>
        </w:rPr>
        <w:t>Do ponto de vista corporativo, contratos indeterminados funcionam como instrumentos de retenção de ta</w:t>
      </w:r>
      <w:r w:rsidRPr="341598FF" w:rsidR="51DC958A">
        <w:rPr>
          <w:noProof w:val="0"/>
          <w:lang w:val="pt-BR"/>
        </w:rPr>
        <w:t>len</w:t>
      </w:r>
      <w:r w:rsidRPr="341598FF" w:rsidR="51DC958A">
        <w:rPr>
          <w:noProof w:val="0"/>
          <w:lang w:val="pt-BR"/>
        </w:rPr>
        <w:t xml:space="preserve">tos, especialmente em grupos </w:t>
      </w:r>
      <w:r w:rsidRPr="341598FF" w:rsidR="51DC958A">
        <w:rPr>
          <w:noProof w:val="0"/>
          <w:lang w:val="pt-BR"/>
        </w:rPr>
        <w:t>minorizados</w:t>
      </w:r>
      <w:r w:rsidRPr="341598FF" w:rsidR="51DC958A">
        <w:rPr>
          <w:noProof w:val="0"/>
          <w:lang w:val="pt-BR"/>
        </w:rPr>
        <w:t>. Pesquisa da Deloitte Brasil (2022) aponta que empresas que adotam vínculos indeterminados em programas de diversidade registraram aumento de 32% na retenção de profissionais negros e mulheres em cargos de liderança. Esse dado reforça a importância estratégica dessa modalidade contratual.</w:t>
      </w:r>
    </w:p>
    <w:p xmlns:wp14="http://schemas.microsoft.com/office/word/2010/wordml" w:rsidP="341598FF" wp14:paraId="2FD310BD" wp14:textId="2CB32673">
      <w:pPr>
        <w:pStyle w:val="Normal"/>
        <w:jc w:val="both"/>
        <w:rPr>
          <w:noProof w:val="0"/>
          <w:lang w:val="pt-BR"/>
        </w:rPr>
      </w:pPr>
      <w:r w:rsidRPr="341598FF" w:rsidR="51DC958A">
        <w:rPr>
          <w:noProof w:val="0"/>
          <w:lang w:val="pt-BR"/>
        </w:rPr>
        <w:t>A estabilidade contratual também contribui para a construção de ambientes inclusivos. Funcionários perten</w:t>
      </w:r>
      <w:r w:rsidRPr="341598FF" w:rsidR="51DC958A">
        <w:rPr>
          <w:noProof w:val="0"/>
          <w:lang w:val="pt-BR"/>
        </w:rPr>
        <w:t>centes a gr</w:t>
      </w:r>
      <w:r w:rsidRPr="341598FF" w:rsidR="51DC958A">
        <w:rPr>
          <w:noProof w:val="0"/>
          <w:lang w:val="pt-BR"/>
        </w:rPr>
        <w:t xml:space="preserve">upos historicamente marginalizados tendem a valorizar vínculos que oferecem segurança jurídica e previsibilidade financeira. Isso se traduz em maior engajamento e produtividade, conforme estudo da McKinsey &amp; </w:t>
      </w:r>
      <w:r w:rsidRPr="341598FF" w:rsidR="51DC958A">
        <w:rPr>
          <w:noProof w:val="0"/>
          <w:lang w:val="pt-BR"/>
        </w:rPr>
        <w:t>Company</w:t>
      </w:r>
      <w:r w:rsidRPr="341598FF" w:rsidR="51DC958A">
        <w:rPr>
          <w:noProof w:val="0"/>
          <w:lang w:val="pt-BR"/>
        </w:rPr>
        <w:t xml:space="preserve"> (2020), que identificou correlação positiva entre diversidade e performance organizacional.</w:t>
      </w:r>
    </w:p>
    <w:p xmlns:wp14="http://schemas.microsoft.com/office/word/2010/wordml" w:rsidP="341598FF" wp14:paraId="55ABB3D5" wp14:textId="7A1CE7AD">
      <w:pPr>
        <w:pStyle w:val="Normal"/>
        <w:jc w:val="both"/>
      </w:pPr>
      <w:r w:rsidRPr="341598FF" w:rsidR="51DC958A">
        <w:rPr>
          <w:noProof w:val="0"/>
          <w:lang w:val="pt-BR"/>
        </w:rPr>
        <w:t>No entanto, a adoção de contratos indeterminados exige atenção às políticas de compliance e governança. Empresas devem alinhar cláusulas contratuais com programas de diversidade, garantindo que práticas discriminatórias sejam prevenidas e que haja mecanismos de denúncia eficazes. Esse alinhamento fortalece a reputação institucional e reduz riscos legais.</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168E6A9F">
        <w:trPr>
          <w:trHeight w:val="300"/>
        </w:trPr>
        <w:tc>
          <w:tcPr>
            <w:tcW w:w="9900" w:type="dxa"/>
            <w:tcMar/>
          </w:tcPr>
          <w:p w:rsidR="18C0F851" w:rsidP="341598FF" w:rsidRDefault="18C0F851" w14:paraId="51980B35" w14:textId="1F7951EC">
            <w:pPr>
              <w:pStyle w:val="Normal"/>
              <w:jc w:val="center"/>
              <w:rPr>
                <w:rFonts w:ascii="Aptos" w:hAnsi="Aptos" w:eastAsia="Aptos" w:cs="Aptos"/>
                <w:noProof w:val="0"/>
                <w:sz w:val="24"/>
                <w:szCs w:val="24"/>
                <w:lang w:val="pt-BR"/>
              </w:rPr>
            </w:pPr>
            <w:r w:rsidR="18C0F851">
              <w:drawing>
                <wp:inline wp14:editId="74B1AAFD" wp14:anchorId="4DB03F79">
                  <wp:extent cx="2931374" cy="2931374"/>
                  <wp:effectExtent l="0" t="0" r="0" b="0"/>
                  <wp:docPr id="1285071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5071919" name="Picture 12850719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616273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931374" cy="2931374"/>
                          </a:xfrm>
                          <a:prstGeom xmlns:a="http://schemas.openxmlformats.org/drawingml/2006/main" prst="rect">
                            <a:avLst xmlns:a="http://schemas.openxmlformats.org/drawingml/2006/main"/>
                          </a:prstGeom>
                        </pic:spPr>
                      </pic:pic>
                    </a:graphicData>
                  </a:graphic>
                </wp:inline>
              </w:drawing>
            </w:r>
          </w:p>
        </w:tc>
      </w:tr>
      <w:tr w:rsidR="341598FF" w:rsidTr="341598FF" w14:paraId="0184CD6E">
        <w:trPr>
          <w:trHeight w:val="300"/>
        </w:trPr>
        <w:tc>
          <w:tcPr>
            <w:tcW w:w="9900" w:type="dxa"/>
            <w:tcMar/>
          </w:tcPr>
          <w:p w:rsidR="341598FF" w:rsidP="341598FF" w:rsidRDefault="341598FF" w14:paraId="72C6C5DA" w14:textId="0F3E1C7B">
            <w:pPr>
              <w:pStyle w:val="Normal"/>
              <w:jc w:val="center"/>
              <w:rPr>
                <w:noProof w:val="0"/>
                <w:sz w:val="18"/>
                <w:szCs w:val="18"/>
                <w:lang w:val="pt-BR"/>
              </w:rPr>
            </w:pPr>
          </w:p>
          <w:p w:rsidR="18C0F851" w:rsidP="341598FF" w:rsidRDefault="18C0F851" w14:paraId="5D33E1E2" w14:textId="681640CA">
            <w:pPr>
              <w:pStyle w:val="Normal"/>
              <w:jc w:val="center"/>
              <w:rPr>
                <w:noProof w:val="0"/>
                <w:sz w:val="18"/>
                <w:szCs w:val="18"/>
                <w:lang w:val="pt-BR"/>
              </w:rPr>
            </w:pPr>
            <w:r w:rsidRPr="341598FF" w:rsidR="18C0F851">
              <w:rPr>
                <w:noProof w:val="0"/>
                <w:sz w:val="18"/>
                <w:szCs w:val="18"/>
                <w:lang w:val="pt-BR"/>
              </w:rPr>
              <w:t>Figura 2.1 – Mapa de compatibilidade entre contratos e políticas de diversidade</w:t>
            </w:r>
            <w:r w:rsidRPr="341598FF" w:rsidR="18C0F851">
              <w:rPr>
                <w:noProof w:val="0"/>
                <w:sz w:val="18"/>
                <w:szCs w:val="18"/>
                <w:lang w:val="pt-BR"/>
              </w:rPr>
              <w:t xml:space="preserve"> </w:t>
            </w:r>
          </w:p>
          <w:p w:rsidR="18C0F851" w:rsidP="341598FF" w:rsidRDefault="18C0F851" w14:paraId="084E4859" w14:textId="1C7A9797">
            <w:pPr>
              <w:pStyle w:val="Normal"/>
              <w:jc w:val="center"/>
              <w:rPr>
                <w:noProof w:val="0"/>
                <w:sz w:val="18"/>
                <w:szCs w:val="18"/>
                <w:lang w:val="pt-BR"/>
              </w:rPr>
            </w:pPr>
            <w:r w:rsidRPr="341598FF" w:rsidR="18C0F851">
              <w:rPr>
                <w:noProof w:val="0"/>
                <w:sz w:val="18"/>
                <w:szCs w:val="18"/>
                <w:lang w:val="pt-BR"/>
              </w:rPr>
              <w:t>Legenda: Compatibilidade entre modalidades contratuais e políticas de diversidade.</w:t>
            </w:r>
          </w:p>
          <w:p w:rsidR="18C0F851" w:rsidP="341598FF" w:rsidRDefault="18C0F851" w14:paraId="6A8F2DBA" w14:textId="2CA04DAF">
            <w:pPr>
              <w:pStyle w:val="Normal"/>
              <w:jc w:val="center"/>
              <w:rPr>
                <w:noProof w:val="0"/>
                <w:sz w:val="18"/>
                <w:szCs w:val="18"/>
                <w:lang w:val="pt-BR"/>
              </w:rPr>
            </w:pPr>
            <w:r w:rsidRPr="341598FF" w:rsidR="18C0F851">
              <w:rPr>
                <w:noProof w:val="0"/>
                <w:sz w:val="18"/>
                <w:szCs w:val="18"/>
                <w:lang w:val="pt-BR"/>
              </w:rPr>
              <w:t xml:space="preserve"> Fonte: Adaptado de OIT (2021), Deloitte (2022).</w:t>
            </w:r>
          </w:p>
        </w:tc>
      </w:tr>
    </w:tbl>
    <w:p xmlns:wp14="http://schemas.microsoft.com/office/word/2010/wordml" w:rsidP="341598FF" wp14:paraId="6F384F84" wp14:textId="660BFBF8">
      <w:pPr>
        <w:pStyle w:val="Normal"/>
        <w:bidi w:val="0"/>
        <w:jc w:val="both"/>
        <w:rPr>
          <w:noProof w:val="0"/>
          <w:lang w:val="pt-BR"/>
        </w:rPr>
      </w:pPr>
    </w:p>
    <w:p xmlns:wp14="http://schemas.microsoft.com/office/word/2010/wordml" w:rsidP="341598FF" wp14:paraId="5F4E1A46" wp14:textId="647359CA">
      <w:pPr>
        <w:pStyle w:val="Normal"/>
        <w:bidi w:val="0"/>
        <w:jc w:val="both"/>
      </w:pPr>
      <w:r w:rsidRPr="341598FF" w:rsidR="09DD02E5">
        <w:rPr>
          <w:noProof w:val="0"/>
          <w:lang w:val="pt-BR"/>
        </w:rPr>
        <w:t>A Figura 2.1 apresenta o Mapa de Compatibilidade entre Contratos e Políticas de Diversidade, estruturado em formato matricial com dois eixos principais: previsibilidade contratual (vertical) e alinhamento à diversidade (horizontal). O artefato visual posiciona os quatro principais modelos de contrato – indeterminado, determinado, intermitente e estágio – em quadrantes que refletem seu potencial de inclusão sustentável. Contratos indeterminados ocupam o quadrante superior direito, indicando alta previsibilidade e forte alinhamento com políticas de diversidade, sendo considerados os mais eficazes para retenção de talentos diversos. Já os contratos intermitentes, localizados no quadrante inferior esquerdo, representam baixa previsibilidade e baixo alinhamento, sinalizando maior risco de precarização. O modelo de estágio, embora menos previsível, apresenta alto alinhamento com programas de inclusão de jovens e pessoas com deficiência. Este artefato serve como ferramenta estratégica para gestores de RH avaliarem o impacto social de suas escolhas contratuais, integrando visualmente critérios de equidade, segurança jurídica e compatibilidade com metas de diversidade.</w:t>
      </w:r>
    </w:p>
    <w:p xmlns:wp14="http://schemas.microsoft.com/office/word/2010/wordml" w:rsidP="341598FF" wp14:paraId="4C0EEC48" wp14:textId="13DB3584">
      <w:pPr>
        <w:pStyle w:val="Normal"/>
        <w:jc w:val="both"/>
      </w:pPr>
      <w:r w:rsidRPr="341598FF" w:rsidR="51DC958A">
        <w:rPr>
          <w:noProof w:val="0"/>
          <w:lang w:val="pt-BR"/>
        </w:rPr>
        <w:t>Esse mapa evidencia que contratos indeterminados oferecem maior potencial de integração com políticas de diversidade, enquanto contratos determinados e intermitentes apresentam riscos de precarização. A visualização reforça a necessidade de gestores priorizarem vínculos estáveis em programas inclusivos.</w:t>
      </w:r>
    </w:p>
    <w:p xmlns:wp14="http://schemas.microsoft.com/office/word/2010/wordml" w:rsidP="341598FF" wp14:paraId="3F1EC5F6" wp14:textId="5FA1A498">
      <w:pPr>
        <w:pStyle w:val="Normal"/>
        <w:jc w:val="both"/>
        <w:rPr>
          <w:noProof w:val="0"/>
          <w:lang w:val="pt-BR"/>
        </w:rPr>
      </w:pPr>
    </w:p>
    <w:p xmlns:wp14="http://schemas.microsoft.com/office/word/2010/wordml" w:rsidP="341598FF" wp14:paraId="34CDAE68" wp14:textId="4202F89D">
      <w:pPr>
        <w:pStyle w:val="Normal"/>
        <w:jc w:val="both"/>
        <w:rPr>
          <w:noProof w:val="0"/>
          <w:lang w:val="pt-BR"/>
        </w:rPr>
      </w:pPr>
    </w:p>
    <w:p xmlns:wp14="http://schemas.microsoft.com/office/word/2010/wordml" w:rsidP="341598FF" wp14:paraId="5AFD1EB6" wp14:textId="5B13B72A">
      <w:pPr>
        <w:pStyle w:val="Normal"/>
        <w:jc w:val="both"/>
        <w:rPr>
          <w:noProof w:val="0"/>
          <w:lang w:val="pt-BR"/>
        </w:rPr>
      </w:pPr>
    </w:p>
    <w:tbl>
      <w:tblPr>
        <w:tblStyle w:val="TableNormal"/>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765"/>
        <w:gridCol w:w="1557"/>
        <w:gridCol w:w="1661"/>
        <w:gridCol w:w="1661"/>
        <w:gridCol w:w="1661"/>
      </w:tblGrid>
      <w:tr w:rsidR="341598FF" w:rsidTr="341598FF" w14:paraId="63CBA66C">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5C7B4DE8" w14:textId="41B20652">
            <w:pPr>
              <w:pStyle w:val="Normal"/>
              <w:widowControl w:val="0"/>
              <w:spacing w:before="80" w:beforeAutospacing="off" w:after="60" w:afterAutospacing="off" w:line="240" w:lineRule="auto"/>
              <w:jc w:val="center"/>
            </w:pPr>
            <w:r w:rsidR="341598FF">
              <w:rPr/>
              <w:t>Modelo Contratual</w:t>
            </w:r>
          </w:p>
        </w:tc>
        <w:tc>
          <w:tcPr>
            <w:tcW w:w="155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4A752BF" w14:textId="25BD2536">
            <w:pPr>
              <w:pStyle w:val="Normal"/>
              <w:widowControl w:val="0"/>
              <w:spacing w:before="80" w:beforeAutospacing="off" w:after="60" w:afterAutospacing="off" w:line="240" w:lineRule="auto"/>
              <w:jc w:val="center"/>
            </w:pPr>
            <w:r w:rsidR="341598FF">
              <w:rPr/>
              <w:t>Taxa de Retenção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164F2B79" w14:textId="03C4EE3F">
            <w:pPr>
              <w:pStyle w:val="Normal"/>
              <w:widowControl w:val="0"/>
              <w:spacing w:before="80" w:beforeAutospacing="off" w:after="60" w:afterAutospacing="off" w:line="240" w:lineRule="auto"/>
              <w:jc w:val="center"/>
            </w:pPr>
            <w:r w:rsidR="341598FF">
              <w:rPr/>
              <w:t>Engajamento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76123A9C" w14:textId="57CD2012">
            <w:pPr>
              <w:pStyle w:val="Normal"/>
              <w:widowControl w:val="0"/>
              <w:spacing w:before="80" w:beforeAutospacing="off" w:after="60" w:afterAutospacing="off" w:line="240" w:lineRule="auto"/>
              <w:jc w:val="center"/>
            </w:pPr>
            <w:r w:rsidR="341598FF">
              <w:rPr/>
              <w:t>ROI Social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272A6832" w14:textId="351C5C03">
            <w:pPr>
              <w:pStyle w:val="Normal"/>
              <w:widowControl w:val="0"/>
              <w:spacing w:before="80" w:beforeAutospacing="off" w:after="60" w:afterAutospacing="off" w:line="240" w:lineRule="auto"/>
              <w:jc w:val="center"/>
            </w:pPr>
            <w:r w:rsidR="341598FF">
              <w:rPr/>
              <w:t>Inclusão Produtiva (%)</w:t>
            </w:r>
          </w:p>
        </w:tc>
      </w:tr>
      <w:tr w:rsidR="341598FF" w:rsidTr="341598FF" w14:paraId="24CB512F">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914A6B1" w14:textId="407B9175">
            <w:pPr>
              <w:pStyle w:val="Normal"/>
              <w:widowControl w:val="0"/>
              <w:spacing w:before="80" w:beforeAutospacing="off" w:after="60" w:afterAutospacing="off" w:line="240" w:lineRule="auto"/>
              <w:jc w:val="both"/>
            </w:pPr>
            <w:r w:rsidR="341598FF">
              <w:rPr/>
              <w:t>Indeterminado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7670C922" w14:textId="60A37A14">
            <w:pPr>
              <w:pStyle w:val="Normal"/>
              <w:widowControl w:val="0"/>
              <w:spacing w:before="80" w:beforeAutospacing="off" w:after="60" w:afterAutospacing="off" w:line="240" w:lineRule="auto"/>
              <w:jc w:val="center"/>
            </w:pPr>
            <w:r w:rsidR="341598FF">
              <w:rPr/>
              <w:t>78</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461996C" w14:textId="003C0BB4">
            <w:pPr>
              <w:pStyle w:val="Normal"/>
              <w:widowControl w:val="0"/>
              <w:spacing w:before="80" w:beforeAutospacing="off" w:after="60" w:afterAutospacing="off" w:line="240" w:lineRule="auto"/>
              <w:jc w:val="center"/>
            </w:pPr>
            <w:r w:rsidR="341598FF">
              <w:rPr/>
              <w:t>85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952C3D1" w14:textId="455A4347">
            <w:pPr>
              <w:pStyle w:val="Normal"/>
              <w:widowControl w:val="0"/>
              <w:spacing w:before="80" w:beforeAutospacing="off" w:after="60" w:afterAutospacing="off" w:line="240" w:lineRule="auto"/>
              <w:jc w:val="center"/>
            </w:pPr>
            <w:r w:rsidR="341598FF">
              <w:rPr/>
              <w:t>62</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EFF33F4" w14:textId="51D4F167">
            <w:pPr>
              <w:pStyle w:val="Normal"/>
              <w:widowControl w:val="0"/>
              <w:spacing w:before="80" w:beforeAutospacing="off" w:after="60" w:afterAutospacing="off" w:line="240" w:lineRule="auto"/>
              <w:jc w:val="center"/>
            </w:pPr>
            <w:r w:rsidR="341598FF">
              <w:rPr/>
              <w:t>80</w:t>
            </w:r>
          </w:p>
        </w:tc>
      </w:tr>
      <w:tr w:rsidR="341598FF" w:rsidTr="341598FF" w14:paraId="0A7D8C53">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CDB229C" w14:textId="2681FBDE">
            <w:pPr>
              <w:pStyle w:val="Normal"/>
              <w:widowControl w:val="0"/>
              <w:spacing w:before="80" w:beforeAutospacing="off" w:after="60" w:afterAutospacing="off" w:line="240" w:lineRule="auto"/>
              <w:jc w:val="both"/>
            </w:pPr>
            <w:r w:rsidR="341598FF">
              <w:rPr/>
              <w:t>Estágio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66181A3" w14:textId="6D48BA33">
            <w:pPr>
              <w:pStyle w:val="Normal"/>
              <w:widowControl w:val="0"/>
              <w:spacing w:before="80" w:beforeAutospacing="off" w:after="60" w:afterAutospacing="off" w:line="240" w:lineRule="auto"/>
              <w:jc w:val="center"/>
            </w:pPr>
            <w:r w:rsidR="341598FF">
              <w:rPr/>
              <w:t>72</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099D381" w14:textId="13EF2076">
            <w:pPr>
              <w:pStyle w:val="Normal"/>
              <w:widowControl w:val="0"/>
              <w:spacing w:before="80" w:beforeAutospacing="off" w:after="60" w:afterAutospacing="off" w:line="240" w:lineRule="auto"/>
              <w:jc w:val="center"/>
            </w:pPr>
            <w:r w:rsidR="341598FF">
              <w:rPr/>
              <w:t>79</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CDB3220" w14:textId="01F029B3">
            <w:pPr>
              <w:pStyle w:val="Normal"/>
              <w:widowControl w:val="0"/>
              <w:spacing w:before="80" w:beforeAutospacing="off" w:after="60" w:afterAutospacing="off" w:line="240" w:lineRule="auto"/>
              <w:jc w:val="center"/>
            </w:pPr>
            <w:r w:rsidR="341598FF">
              <w:rPr/>
              <w:t>55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A575D8A" w14:textId="2BB12716">
            <w:pPr>
              <w:pStyle w:val="Normal"/>
              <w:widowControl w:val="0"/>
              <w:spacing w:before="80" w:beforeAutospacing="off" w:after="60" w:afterAutospacing="off" w:line="240" w:lineRule="auto"/>
              <w:jc w:val="center"/>
            </w:pPr>
            <w:r w:rsidR="341598FF">
              <w:rPr/>
              <w:t>75</w:t>
            </w:r>
          </w:p>
        </w:tc>
      </w:tr>
      <w:tr w:rsidR="341598FF" w:rsidTr="341598FF" w14:paraId="762922A6">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5D098FA" w14:textId="194AD4FB">
            <w:pPr>
              <w:pStyle w:val="Normal"/>
              <w:widowControl w:val="0"/>
              <w:spacing w:before="80" w:beforeAutospacing="off" w:after="60" w:afterAutospacing="off" w:line="240" w:lineRule="auto"/>
              <w:jc w:val="both"/>
            </w:pPr>
            <w:r w:rsidR="341598FF">
              <w:rPr/>
              <w:t>Determinado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39641BA" w14:textId="1C36AA3F">
            <w:pPr>
              <w:pStyle w:val="Normal"/>
              <w:widowControl w:val="0"/>
              <w:spacing w:before="80" w:beforeAutospacing="off" w:after="60" w:afterAutospacing="off" w:line="240" w:lineRule="auto"/>
              <w:jc w:val="center"/>
            </w:pPr>
            <w:r w:rsidR="341598FF">
              <w:rPr/>
              <w:t>54</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998517A" w14:textId="4A77D23F">
            <w:pPr>
              <w:pStyle w:val="Normal"/>
              <w:widowControl w:val="0"/>
              <w:spacing w:before="80" w:beforeAutospacing="off" w:after="60" w:afterAutospacing="off" w:line="240" w:lineRule="auto"/>
              <w:jc w:val="center"/>
            </w:pPr>
            <w:r w:rsidR="341598FF">
              <w:rPr/>
              <w:t>61</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969A0F3" w14:textId="7009F9D5">
            <w:pPr>
              <w:pStyle w:val="Normal"/>
              <w:widowControl w:val="0"/>
              <w:spacing w:before="80" w:beforeAutospacing="off" w:after="60" w:afterAutospacing="off" w:line="240" w:lineRule="auto"/>
              <w:jc w:val="center"/>
            </w:pPr>
            <w:r w:rsidR="341598FF">
              <w:rPr/>
              <w:t>38</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2FF2EA9" w14:textId="285664E2">
            <w:pPr>
              <w:pStyle w:val="Normal"/>
              <w:widowControl w:val="0"/>
              <w:spacing w:before="80" w:beforeAutospacing="off" w:after="60" w:afterAutospacing="off" w:line="240" w:lineRule="auto"/>
              <w:jc w:val="center"/>
            </w:pPr>
            <w:r w:rsidR="341598FF">
              <w:rPr/>
              <w:t>52</w:t>
            </w:r>
          </w:p>
        </w:tc>
      </w:tr>
      <w:tr w:rsidR="341598FF" w:rsidTr="341598FF" w14:paraId="4393EE8E">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DBBC909" w14:textId="4FC944CB">
            <w:pPr>
              <w:pStyle w:val="Normal"/>
              <w:widowControl w:val="0"/>
              <w:spacing w:before="80" w:beforeAutospacing="off" w:after="60" w:afterAutospacing="off" w:line="240" w:lineRule="auto"/>
              <w:jc w:val="both"/>
            </w:pPr>
            <w:r w:rsidR="341598FF">
              <w:rPr/>
              <w:t>Intermitente</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471B231" w14:textId="06C899E8">
            <w:pPr>
              <w:pStyle w:val="Normal"/>
              <w:widowControl w:val="0"/>
              <w:spacing w:before="80" w:beforeAutospacing="off" w:after="60" w:afterAutospacing="off" w:line="240" w:lineRule="auto"/>
              <w:jc w:val="center"/>
            </w:pPr>
            <w:r w:rsidR="341598FF">
              <w:rPr/>
              <w:t>41</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3B45E47" w14:textId="719125E4">
            <w:pPr>
              <w:pStyle w:val="Normal"/>
              <w:widowControl w:val="0"/>
              <w:spacing w:before="80" w:beforeAutospacing="off" w:after="60" w:afterAutospacing="off" w:line="240" w:lineRule="auto"/>
              <w:jc w:val="center"/>
            </w:pPr>
            <w:r w:rsidR="341598FF">
              <w:rPr/>
              <w:t>47</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4E8BD50" w14:textId="2F4EB88A">
            <w:pPr>
              <w:pStyle w:val="Normal"/>
              <w:widowControl w:val="0"/>
              <w:spacing w:before="80" w:beforeAutospacing="off" w:after="60" w:afterAutospacing="off" w:line="240" w:lineRule="auto"/>
              <w:jc w:val="center"/>
            </w:pPr>
            <w:r w:rsidR="341598FF">
              <w:rPr/>
              <w:t>25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7AB6A9A7" w14:textId="4DDB3EA7">
            <w:pPr>
              <w:pStyle w:val="Normal"/>
              <w:widowControl w:val="0"/>
              <w:spacing w:before="80" w:beforeAutospacing="off" w:after="60" w:afterAutospacing="off" w:line="240" w:lineRule="auto"/>
              <w:jc w:val="center"/>
            </w:pPr>
            <w:r w:rsidR="341598FF">
              <w:rPr/>
              <w:t>38</w:t>
            </w:r>
          </w:p>
        </w:tc>
      </w:tr>
      <w:tr w:rsidR="341598FF" w:rsidTr="341598FF" w14:paraId="24BBCC02">
        <w:trPr>
          <w:trHeight w:val="300"/>
        </w:trPr>
        <w:tc>
          <w:tcPr>
            <w:tcW w:w="8305" w:type="dxa"/>
            <w:gridSpan w:val="5"/>
            <w:tcBorders>
              <w:top w:val="none" w:color="000000" w:themeColor="text1" w:sz="4"/>
            </w:tcBorders>
            <w:tcMar/>
            <w:vAlign w:val="center"/>
          </w:tcPr>
          <w:p w:rsidR="341598FF" w:rsidP="341598FF" w:rsidRDefault="341598FF" w14:paraId="4C517728" w14:textId="153C31DF">
            <w:pPr>
              <w:pStyle w:val="Normal"/>
              <w:widowControl w:val="0"/>
              <w:spacing w:after="0" w:afterAutospacing="off" w:line="240" w:lineRule="auto"/>
              <w:jc w:val="center"/>
              <w:rPr>
                <w:noProof w:val="0"/>
                <w:sz w:val="18"/>
                <w:szCs w:val="18"/>
                <w:lang w:val="pt-BR"/>
              </w:rPr>
            </w:pPr>
          </w:p>
          <w:p w:rsidR="341598FF" w:rsidP="341598FF" w:rsidRDefault="341598FF" w14:paraId="646101D5" w14:textId="6375F2FE">
            <w:pPr>
              <w:pStyle w:val="Normal"/>
              <w:widowControl w:val="0"/>
              <w:spacing w:after="0" w:afterAutospacing="off" w:line="240" w:lineRule="auto"/>
              <w:jc w:val="center"/>
              <w:rPr>
                <w:noProof w:val="0"/>
                <w:sz w:val="18"/>
                <w:szCs w:val="18"/>
                <w:lang w:val="pt-BR"/>
              </w:rPr>
            </w:pPr>
            <w:r w:rsidRPr="341598FF" w:rsidR="341598FF">
              <w:rPr>
                <w:noProof w:val="0"/>
                <w:sz w:val="18"/>
                <w:szCs w:val="18"/>
                <w:lang w:val="pt-BR"/>
              </w:rPr>
              <w:t xml:space="preserve">Tabela 2.2 – Indicadores comparativos entre os principais modelos contratuais utilizados no Brasil, com foco em métricas de inclusão e impacto social. </w:t>
            </w:r>
          </w:p>
          <w:p w:rsidR="341598FF" w:rsidP="341598FF" w:rsidRDefault="341598FF" w14:paraId="029689B0" w14:textId="7CC37D0D">
            <w:pPr>
              <w:pStyle w:val="Normal"/>
              <w:widowControl w:val="0"/>
              <w:spacing w:after="0" w:afterAutospacing="off" w:line="240" w:lineRule="auto"/>
              <w:jc w:val="center"/>
              <w:rPr>
                <w:noProof w:val="0"/>
                <w:sz w:val="18"/>
                <w:szCs w:val="18"/>
                <w:lang w:val="pt-BR"/>
              </w:rPr>
            </w:pPr>
            <w:r w:rsidRPr="341598FF" w:rsidR="341598FF">
              <w:rPr>
                <w:noProof w:val="0"/>
                <w:sz w:val="18"/>
                <w:szCs w:val="18"/>
                <w:lang w:val="pt-BR"/>
              </w:rPr>
              <w:t>Fonte: IBGE (2021), Deloitte Brasil (2022), PwC (2020), Instituto Ethos (2021).</w:t>
            </w:r>
          </w:p>
        </w:tc>
      </w:tr>
    </w:tbl>
    <w:p xmlns:wp14="http://schemas.microsoft.com/office/word/2010/wordml" w:rsidP="341598FF" wp14:paraId="4BDC43D4" wp14:textId="53D30E14">
      <w:pPr>
        <w:pStyle w:val="Normal"/>
        <w:widowControl w:val="0"/>
        <w:spacing w:after="0" w:afterAutospacing="off" w:line="240" w:lineRule="auto"/>
        <w:jc w:val="center"/>
        <w:rPr>
          <w:noProof w:val="0"/>
          <w:lang w:val="pt-BR"/>
        </w:rPr>
      </w:pPr>
    </w:p>
    <w:p xmlns:wp14="http://schemas.microsoft.com/office/word/2010/wordml" w:rsidP="341598FF" wp14:paraId="2547D4CB" wp14:textId="1CDF6ED7">
      <w:pPr>
        <w:pStyle w:val="Normal"/>
        <w:jc w:val="both"/>
      </w:pPr>
      <w:r w:rsidRPr="341598FF" w:rsidR="18B9BB44">
        <w:rPr>
          <w:noProof w:val="0"/>
          <w:lang w:val="pt-BR"/>
        </w:rPr>
        <w:t>A Tabela 2.2 apresenta os principais indicadores de inclusão por modelo contratual, consolidando métricas de retenção, engajamento, ROI social e inclusão produtiva. Os dados demonstram que os contratos indeterminados lideram em todos os critérios, com destaque para a taxa de engajamento (85%) e inclusão produtiva (80%), evidenciando seu papel estratégico na promoção de ambientes corporativos diversos e sustentáveis. O modelo de estágio também apresenta desempenho positivo, especialmente em programas voltados para jovens e pessoas com deficiência. Em contrapartida, os contratos determinados e intermitentes revelam menor impacto social, com ROI social abaixo de 40% e inclusão produtiva inferior a 55%, o que reforça a necessidade de políticas compensatórias. Este artefato serve como referência comparativa para gestores de RH avaliarem a eficácia de suas políticas de contratação sob a ótica da diversidade e da responsabilidade social.</w:t>
      </w:r>
    </w:p>
    <w:p xmlns:wp14="http://schemas.microsoft.com/office/word/2010/wordml" w:rsidP="341598FF" wp14:paraId="39C0A630" wp14:textId="4A87C043">
      <w:pPr>
        <w:pStyle w:val="Normal"/>
        <w:bidi w:val="0"/>
        <w:jc w:val="both"/>
      </w:pPr>
      <w:r w:rsidRPr="341598FF" w:rsidR="51DC958A">
        <w:rPr>
          <w:noProof w:val="0"/>
          <w:lang w:val="pt-BR"/>
        </w:rPr>
        <w:t>Os dados da Tabela 2.2 demonstram que contratos indeterminados apresentam desempenho superior em todos os indicadores analisados. Essa evidência quantitativa reforça a tese de que vínculos estáveis são mais eficazes para programas de diversidade.</w:t>
      </w:r>
    </w:p>
    <w:p xmlns:wp14="http://schemas.microsoft.com/office/word/2010/wordml" w:rsidP="341598FF" wp14:paraId="10D2C07A" wp14:textId="6F04248D">
      <w:pPr>
        <w:pStyle w:val="Normal"/>
        <w:bidi w:val="0"/>
        <w:jc w:val="both"/>
      </w:pPr>
      <w:r w:rsidRPr="341598FF" w:rsidR="51DC958A">
        <w:rPr>
          <w:noProof w:val="0"/>
          <w:lang w:val="pt-BR"/>
        </w:rPr>
        <w:t>Além dos indicadores quantitativos, é importante considerar aspectos qualitativos. Funcionários com contratos indeterminados relatam maior sensação de pertencimento e segurança psicológica, fatores que impactam diretamente na inovação e na colaboração. Segundo relatório do Instituto Ethos (2021), ambientes inclusivos com vínculos estáveis apresentam 40% mais iniciativas de inovação social.</w:t>
      </w:r>
    </w:p>
    <w:p xmlns:wp14="http://schemas.microsoft.com/office/word/2010/wordml" w:rsidP="341598FF" wp14:paraId="11384E85" wp14:textId="4BD9323A">
      <w:pPr>
        <w:pStyle w:val="Normal"/>
        <w:bidi w:val="0"/>
        <w:jc w:val="both"/>
        <w:rPr>
          <w:noProof w:val="0"/>
          <w:lang w:val="pt-BR"/>
        </w:rPr>
      </w:pPr>
      <w:r w:rsidRPr="341598FF" w:rsidR="51DC958A">
        <w:rPr>
          <w:noProof w:val="0"/>
          <w:lang w:val="pt-BR"/>
        </w:rPr>
        <w:t xml:space="preserve">Do ponto de vista jurídico, contratos indeterminados oferecem maior proteção contra práticas discriminatórias. A CLT prevê mecanismos de rescisão que exigem justificativas formais, reduzindo a possibilidade de desligamentos arbitrários. Esse aspecto é fundamental para garantir equidade no tratamento de grupos </w:t>
      </w:r>
      <w:r w:rsidRPr="341598FF" w:rsidR="51DC958A">
        <w:rPr>
          <w:noProof w:val="0"/>
          <w:lang w:val="pt-BR"/>
        </w:rPr>
        <w:t>minorizados</w:t>
      </w:r>
      <w:r w:rsidRPr="341598FF" w:rsidR="51DC958A">
        <w:rPr>
          <w:noProof w:val="0"/>
          <w:lang w:val="pt-BR"/>
        </w:rPr>
        <w:t>.</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3A35955E">
        <w:trPr>
          <w:trHeight w:val="300"/>
        </w:trPr>
        <w:tc>
          <w:tcPr>
            <w:tcW w:w="9900" w:type="dxa"/>
            <w:tcMar/>
          </w:tcPr>
          <w:p w:rsidR="26FACECF" w:rsidP="341598FF" w:rsidRDefault="26FACECF" w14:paraId="351DE2A7" w14:textId="5FED2BDF">
            <w:pPr>
              <w:pStyle w:val="Normal"/>
              <w:bidi w:val="0"/>
              <w:rPr>
                <w:noProof w:val="0"/>
                <w:lang w:val="pt-BR"/>
              </w:rPr>
            </w:pPr>
            <w:r w:rsidR="26FACECF">
              <w:drawing>
                <wp:inline wp14:editId="1F904EBA" wp14:anchorId="72EB08DA">
                  <wp:extent cx="6143625" cy="6143625"/>
                  <wp:effectExtent l="0" t="0" r="0" b="0"/>
                  <wp:docPr id="1293957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3957004" name="Picture 12939570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89501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341598FF" w:rsidTr="341598FF" w14:paraId="1AD4CA90">
        <w:trPr>
          <w:trHeight w:val="300"/>
        </w:trPr>
        <w:tc>
          <w:tcPr>
            <w:tcW w:w="9900" w:type="dxa"/>
            <w:tcMar/>
          </w:tcPr>
          <w:p w:rsidR="26FACECF" w:rsidP="341598FF" w:rsidRDefault="26FACECF" w14:paraId="4C1F2843" w14:textId="2240FC03">
            <w:pPr>
              <w:widowControl w:val="0"/>
              <w:bidi w:val="0"/>
              <w:spacing w:before="0" w:beforeAutospacing="off" w:after="0" w:afterAutospacing="off" w:line="240" w:lineRule="auto"/>
              <w:jc w:val="center"/>
              <w:rPr>
                <w:rFonts w:ascii="Aptos" w:hAnsi="Aptos" w:eastAsia="Aptos" w:cs="Aptos"/>
                <w:b w:val="0"/>
                <w:bCs w:val="0"/>
                <w:noProof w:val="0"/>
                <w:sz w:val="18"/>
                <w:szCs w:val="18"/>
                <w:lang w:val="pt-BR"/>
              </w:rPr>
            </w:pPr>
            <w:r w:rsidRPr="341598FF" w:rsidR="26FACECF">
              <w:rPr>
                <w:rFonts w:ascii="Aptos" w:hAnsi="Aptos" w:eastAsia="Aptos" w:cs="Aptos"/>
                <w:b w:val="0"/>
                <w:bCs w:val="0"/>
                <w:noProof w:val="0"/>
                <w:sz w:val="18"/>
                <w:szCs w:val="18"/>
                <w:lang w:val="pt-BR"/>
              </w:rPr>
              <w:t>Figura 2.2 – Matriz de risco de precarização por tipo de contrato</w:t>
            </w:r>
            <w:r w:rsidRPr="341598FF" w:rsidR="26FACECF">
              <w:rPr>
                <w:rFonts w:ascii="Aptos" w:hAnsi="Aptos" w:eastAsia="Aptos" w:cs="Aptos"/>
                <w:b w:val="0"/>
                <w:bCs w:val="0"/>
                <w:noProof w:val="0"/>
                <w:sz w:val="18"/>
                <w:szCs w:val="18"/>
                <w:lang w:val="pt-BR"/>
              </w:rPr>
              <w:t xml:space="preserve"> </w:t>
            </w:r>
          </w:p>
          <w:p w:rsidR="26FACECF" w:rsidP="341598FF" w:rsidRDefault="26FACECF" w14:paraId="1AECD9DD" w14:textId="60D6A357">
            <w:pPr>
              <w:widowControl w:val="0"/>
              <w:bidi w:val="0"/>
              <w:spacing w:before="0" w:beforeAutospacing="off" w:after="0" w:afterAutospacing="off" w:line="240" w:lineRule="auto"/>
              <w:jc w:val="center"/>
              <w:rPr>
                <w:rFonts w:ascii="Aptos" w:hAnsi="Aptos" w:eastAsia="Aptos" w:cs="Aptos"/>
                <w:b w:val="0"/>
                <w:bCs w:val="0"/>
                <w:noProof w:val="0"/>
                <w:sz w:val="18"/>
                <w:szCs w:val="18"/>
                <w:lang w:val="pt-BR"/>
              </w:rPr>
            </w:pPr>
            <w:r w:rsidRPr="341598FF" w:rsidR="26FACECF">
              <w:rPr>
                <w:rFonts w:ascii="Aptos" w:hAnsi="Aptos" w:eastAsia="Aptos" w:cs="Aptos"/>
                <w:b w:val="0"/>
                <w:bCs w:val="0"/>
                <w:noProof w:val="0"/>
                <w:sz w:val="18"/>
                <w:szCs w:val="18"/>
                <w:lang w:val="pt-BR"/>
              </w:rPr>
              <w:t>Avaliação de riscos sociais e jurídicos por modalidade contratual.</w:t>
            </w:r>
          </w:p>
          <w:p w:rsidR="26FACECF" w:rsidP="341598FF" w:rsidRDefault="26FACECF" w14:paraId="11587F38" w14:textId="30D72DB0">
            <w:pPr>
              <w:widowControl w:val="0"/>
              <w:bidi w:val="0"/>
              <w:spacing w:before="0" w:beforeAutospacing="off" w:after="0" w:afterAutospacing="off" w:line="240" w:lineRule="auto"/>
              <w:jc w:val="center"/>
              <w:rPr>
                <w:rFonts w:ascii="Aptos" w:hAnsi="Aptos" w:eastAsia="Aptos" w:cs="Aptos"/>
                <w:b w:val="0"/>
                <w:bCs w:val="0"/>
                <w:noProof w:val="0"/>
                <w:sz w:val="18"/>
                <w:szCs w:val="18"/>
                <w:lang w:val="pt-BR"/>
              </w:rPr>
            </w:pPr>
            <w:r w:rsidRPr="341598FF" w:rsidR="26FACECF">
              <w:rPr>
                <w:rFonts w:ascii="Aptos" w:hAnsi="Aptos" w:eastAsia="Aptos" w:cs="Aptos"/>
                <w:b w:val="0"/>
                <w:bCs w:val="0"/>
                <w:noProof w:val="0"/>
                <w:sz w:val="18"/>
                <w:szCs w:val="18"/>
                <w:lang w:val="pt-BR"/>
              </w:rPr>
              <w:t>Fonte: CEERT (2021), Fórum LGBTI+ (2020).</w:t>
            </w:r>
          </w:p>
        </w:tc>
      </w:tr>
    </w:tbl>
    <w:p xmlns:wp14="http://schemas.microsoft.com/office/word/2010/wordml" w:rsidP="341598FF" wp14:paraId="57F55A99" wp14:textId="1EEE8AB8">
      <w:pPr>
        <w:pStyle w:val="Normal"/>
        <w:widowControl w:val="0"/>
        <w:suppressLineNumbers w:val="0"/>
        <w:bidi w:val="0"/>
        <w:spacing w:before="0" w:beforeAutospacing="off" w:after="0" w:afterAutospacing="off" w:line="240" w:lineRule="auto"/>
        <w:ind w:left="0" w:right="0"/>
        <w:jc w:val="center"/>
        <w:rPr>
          <w:noProof w:val="0"/>
          <w:lang w:val="pt-BR"/>
        </w:rPr>
      </w:pPr>
    </w:p>
    <w:p xmlns:wp14="http://schemas.microsoft.com/office/word/2010/wordml" w:rsidP="341598FF" wp14:paraId="1FFC70DE" wp14:textId="6AD76683">
      <w:pPr>
        <w:pStyle w:val="Normal"/>
        <w:bidi w:val="0"/>
        <w:jc w:val="both"/>
      </w:pPr>
      <w:r w:rsidRPr="341598FF" w:rsidR="26FACECF">
        <w:rPr>
          <w:noProof w:val="0"/>
          <w:lang w:val="pt-BR"/>
        </w:rPr>
        <w:t xml:space="preserve">A Figura 2.2 apresenta uma Matriz de Risco de Precarização por Tipo de Contrato, estruturada em dois eixos principais: risco social (vertical) e risco jurídico (horizontal). O artefato posiciona os quatro modelos contratuais — indeterminado, determinado, intermitente e estágio — em quadrantes que refletem seu grau de vulnerabilidade frente à exclusão social e à insegurança jurídica. O contrato indeterminado ocupa o quadrante de menor risco, evidenciando sua capacidade de promover pertencimento, segurança psicológica e proteção legal contra práticas discriminatórias. Já o vínculo intermitente se posiciona no quadrante de maior risco, com baixa estabilidade e pouca proteção normativa, sendo frequentemente associado à precarização de grupos </w:t>
      </w:r>
      <w:r w:rsidRPr="341598FF" w:rsidR="26FACECF">
        <w:rPr>
          <w:noProof w:val="0"/>
          <w:lang w:val="pt-BR"/>
        </w:rPr>
        <w:t>minorizados</w:t>
      </w:r>
      <w:r w:rsidRPr="341598FF" w:rsidR="26FACECF">
        <w:rPr>
          <w:noProof w:val="0"/>
          <w:lang w:val="pt-BR"/>
        </w:rPr>
        <w:t>. O estágio apresenta risco social elevado, enquanto o contrato determinado revela risco jurídico moderado. Este artefato funciona como ferramenta analítica para gestores de RH e especialistas em compliance avaliarem os impactos dos vínculos contratuais na equidade organizacional e na justiça social.</w:t>
      </w:r>
    </w:p>
    <w:p xmlns:wp14="http://schemas.microsoft.com/office/word/2010/wordml" w:rsidP="341598FF" wp14:paraId="6107CAAE" wp14:textId="0038A1EA">
      <w:pPr>
        <w:pStyle w:val="Normal"/>
        <w:bidi w:val="0"/>
        <w:jc w:val="both"/>
      </w:pPr>
      <w:r w:rsidRPr="341598FF" w:rsidR="51DC958A">
        <w:rPr>
          <w:noProof w:val="0"/>
          <w:lang w:val="pt-BR"/>
        </w:rPr>
        <w:t>A matriz evidencia que contratos indeterminados apresentam baixo risco de precarização, enquanto contratos intermitentes concentram riscos elevados, especialmente para grupos vulneráveis. Essa análise visual reforça a necessidade de políticas compensatórias em modalidades mais frágeis.</w:t>
      </w:r>
    </w:p>
    <w:p xmlns:wp14="http://schemas.microsoft.com/office/word/2010/wordml" w:rsidP="341598FF" wp14:paraId="769215EE" wp14:textId="61BE2509">
      <w:pPr>
        <w:pStyle w:val="Normal"/>
        <w:bidi w:val="0"/>
        <w:jc w:val="both"/>
        <w:rPr>
          <w:noProof w:val="0"/>
          <w:lang w:val="pt-BR"/>
        </w:rPr>
      </w:pPr>
      <w:r w:rsidRPr="341598FF" w:rsidR="51DC958A">
        <w:rPr>
          <w:noProof w:val="0"/>
          <w:lang w:val="pt-BR"/>
        </w:rPr>
        <w:t>Do ponto de vista de ROI (</w:t>
      </w:r>
      <w:r w:rsidRPr="341598FF" w:rsidR="51DC958A">
        <w:rPr>
          <w:noProof w:val="0"/>
          <w:lang w:val="pt-BR"/>
        </w:rPr>
        <w:t>Return</w:t>
      </w:r>
      <w:r w:rsidRPr="341598FF" w:rsidR="51DC958A">
        <w:rPr>
          <w:noProof w:val="0"/>
          <w:lang w:val="pt-BR"/>
        </w:rPr>
        <w:t xml:space="preserve"> </w:t>
      </w:r>
      <w:r w:rsidRPr="341598FF" w:rsidR="51DC958A">
        <w:rPr>
          <w:noProof w:val="0"/>
          <w:lang w:val="pt-BR"/>
        </w:rPr>
        <w:t>on</w:t>
      </w:r>
      <w:r w:rsidRPr="341598FF" w:rsidR="51DC958A">
        <w:rPr>
          <w:noProof w:val="0"/>
          <w:lang w:val="pt-BR"/>
        </w:rPr>
        <w:t xml:space="preserve"> </w:t>
      </w:r>
      <w:r w:rsidRPr="341598FF" w:rsidR="51DC958A">
        <w:rPr>
          <w:noProof w:val="0"/>
          <w:lang w:val="pt-BR"/>
        </w:rPr>
        <w:t>Investment</w:t>
      </w:r>
      <w:r w:rsidRPr="341598FF" w:rsidR="51DC958A">
        <w:rPr>
          <w:noProof w:val="0"/>
          <w:lang w:val="pt-BR"/>
        </w:rPr>
        <w:t xml:space="preserve"> ou Retorno sobre Investimento), contratos indeterminados apresentam resultados superiores. Relatório da </w:t>
      </w:r>
      <w:r w:rsidRPr="341598FF" w:rsidR="51DC958A">
        <w:rPr>
          <w:noProof w:val="0"/>
          <w:lang w:val="pt-BR"/>
        </w:rPr>
        <w:t>PwC</w:t>
      </w:r>
      <w:r w:rsidRPr="341598FF" w:rsidR="51DC958A">
        <w:rPr>
          <w:noProof w:val="0"/>
          <w:lang w:val="pt-BR"/>
        </w:rPr>
        <w:t xml:space="preserve"> (2020) indica que empresas que priorizam vínculos estáveis em programas de diversidade registram aumento de até 18% na produtividade média.</w:t>
      </w:r>
    </w:p>
    <w:p xmlns:wp14="http://schemas.microsoft.com/office/word/2010/wordml" w:rsidP="341598FF" wp14:paraId="7DF0E508" wp14:textId="430F897E">
      <w:pPr>
        <w:pStyle w:val="Normal"/>
        <w:bidi w:val="0"/>
        <w:jc w:val="both"/>
        <w:rPr>
          <w:noProof w:val="0"/>
          <w:lang w:val="pt-BR"/>
        </w:rPr>
      </w:pPr>
    </w:p>
    <w:tbl>
      <w:tblPr>
        <w:tblStyle w:val="TableGrid"/>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2773E695">
        <w:trPr>
          <w:trHeight w:val="300"/>
        </w:trPr>
        <w:tc>
          <w:tcPr>
            <w:tcW w:w="9900" w:type="dxa"/>
            <w:tcMar/>
          </w:tcPr>
          <w:p w:rsidR="29ACD6F8" w:rsidP="341598FF" w:rsidRDefault="29ACD6F8" w14:paraId="0180640C" w14:textId="4AAC2AF6">
            <w:pPr>
              <w:pStyle w:val="Normal"/>
              <w:bidi w:val="0"/>
              <w:jc w:val="center"/>
              <w:rPr>
                <w:rFonts w:ascii="Aptos" w:hAnsi="Aptos" w:eastAsia="Aptos" w:cs="Aptos"/>
                <w:noProof w:val="0"/>
                <w:sz w:val="24"/>
                <w:szCs w:val="24"/>
                <w:lang w:val="pt-BR"/>
              </w:rPr>
            </w:pPr>
            <w:r w:rsidR="29ACD6F8">
              <w:drawing>
                <wp:inline wp14:editId="7C82B923" wp14:anchorId="76E24840">
                  <wp:extent cx="3573285" cy="3573285"/>
                  <wp:effectExtent l="0" t="0" r="0" b="0"/>
                  <wp:docPr id="1781716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81716235" name="Picture 17817162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59320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573285" cy="3573285"/>
                          </a:xfrm>
                          <a:prstGeom xmlns:a="http://schemas.openxmlformats.org/drawingml/2006/main" prst="rect">
                            <a:avLst xmlns:a="http://schemas.openxmlformats.org/drawingml/2006/main"/>
                          </a:prstGeom>
                        </pic:spPr>
                      </pic:pic>
                    </a:graphicData>
                  </a:graphic>
                </wp:inline>
              </w:drawing>
            </w:r>
          </w:p>
        </w:tc>
      </w:tr>
      <w:tr w:rsidR="341598FF" w:rsidTr="341598FF" w14:paraId="2324A5F9">
        <w:trPr>
          <w:trHeight w:val="300"/>
        </w:trPr>
        <w:tc>
          <w:tcPr>
            <w:tcW w:w="9900" w:type="dxa"/>
            <w:tcMar/>
          </w:tcPr>
          <w:p w:rsidR="341598FF" w:rsidP="341598FF" w:rsidRDefault="341598FF" w14:paraId="52DE862E" w14:textId="529B21AD">
            <w:pPr>
              <w:pStyle w:val="Normal"/>
              <w:widowControl w:val="0"/>
              <w:bidi w:val="0"/>
              <w:spacing w:after="0" w:afterAutospacing="off"/>
              <w:jc w:val="center"/>
              <w:rPr>
                <w:noProof w:val="0"/>
                <w:sz w:val="18"/>
                <w:szCs w:val="18"/>
                <w:lang w:val="pt-BR"/>
              </w:rPr>
            </w:pPr>
          </w:p>
          <w:p w:rsidR="29ACD6F8" w:rsidP="341598FF" w:rsidRDefault="29ACD6F8" w14:paraId="5BC549A2" w14:textId="4D637F05">
            <w:pPr>
              <w:pStyle w:val="Normal"/>
              <w:widowControl w:val="0"/>
              <w:bidi w:val="0"/>
              <w:spacing w:after="0" w:afterAutospacing="off"/>
              <w:jc w:val="center"/>
              <w:rPr>
                <w:noProof w:val="0"/>
                <w:sz w:val="18"/>
                <w:szCs w:val="18"/>
                <w:lang w:val="pt-BR"/>
              </w:rPr>
            </w:pPr>
            <w:r w:rsidRPr="341598FF" w:rsidR="29ACD6F8">
              <w:rPr>
                <w:noProof w:val="0"/>
                <w:sz w:val="18"/>
                <w:szCs w:val="18"/>
                <w:lang w:val="pt-BR"/>
              </w:rPr>
              <w:t xml:space="preserve">Figura 2.3 – Dashboard de impacto social por vínculo empregatício. </w:t>
            </w:r>
          </w:p>
          <w:p w:rsidR="29ACD6F8" w:rsidP="341598FF" w:rsidRDefault="29ACD6F8" w14:paraId="10A60747" w14:textId="02FA63DD">
            <w:pPr>
              <w:pStyle w:val="Normal"/>
              <w:widowControl w:val="0"/>
              <w:bidi w:val="0"/>
              <w:spacing w:after="0" w:afterAutospacing="off"/>
              <w:jc w:val="center"/>
              <w:rPr>
                <w:noProof w:val="0"/>
                <w:sz w:val="18"/>
                <w:szCs w:val="18"/>
                <w:lang w:val="pt-BR"/>
              </w:rPr>
            </w:pPr>
            <w:r w:rsidRPr="341598FF" w:rsidR="29ACD6F8">
              <w:rPr>
                <w:noProof w:val="0"/>
                <w:sz w:val="18"/>
                <w:szCs w:val="18"/>
                <w:lang w:val="pt-BR"/>
              </w:rPr>
              <w:t>Consolidação de indicadores de impacto social por tipo de contrato.</w:t>
            </w:r>
          </w:p>
          <w:p w:rsidR="29ACD6F8" w:rsidP="341598FF" w:rsidRDefault="29ACD6F8" w14:paraId="33BA3FC5" w14:textId="54C9EC24">
            <w:pPr>
              <w:pStyle w:val="Normal"/>
              <w:widowControl w:val="0"/>
              <w:bidi w:val="0"/>
              <w:spacing w:after="0" w:afterAutospacing="off"/>
              <w:jc w:val="center"/>
              <w:rPr>
                <w:noProof w:val="0"/>
                <w:sz w:val="18"/>
                <w:szCs w:val="18"/>
                <w:lang w:val="pt-BR"/>
              </w:rPr>
            </w:pPr>
            <w:r w:rsidRPr="341598FF" w:rsidR="29ACD6F8">
              <w:rPr>
                <w:noProof w:val="0"/>
                <w:sz w:val="18"/>
                <w:szCs w:val="18"/>
                <w:lang w:val="pt-BR"/>
              </w:rPr>
              <w:t xml:space="preserve"> Fonte: </w:t>
            </w:r>
            <w:r w:rsidRPr="341598FF" w:rsidR="29ACD6F8">
              <w:rPr>
                <w:noProof w:val="0"/>
                <w:sz w:val="18"/>
                <w:szCs w:val="18"/>
                <w:lang w:val="pt-BR"/>
              </w:rPr>
              <w:t>PwC</w:t>
            </w:r>
            <w:r w:rsidRPr="341598FF" w:rsidR="29ACD6F8">
              <w:rPr>
                <w:noProof w:val="0"/>
                <w:sz w:val="18"/>
                <w:szCs w:val="18"/>
                <w:lang w:val="pt-BR"/>
              </w:rPr>
              <w:t xml:space="preserve"> (2020), Deloitte (2022).</w:t>
            </w:r>
          </w:p>
        </w:tc>
      </w:tr>
    </w:tbl>
    <w:p xmlns:wp14="http://schemas.microsoft.com/office/word/2010/wordml" w:rsidP="341598FF" wp14:paraId="5880A7BC" wp14:textId="442260E1">
      <w:pPr>
        <w:pStyle w:val="Normal"/>
        <w:widowControl w:val="0"/>
        <w:bidi w:val="0"/>
        <w:rPr>
          <w:noProof w:val="0"/>
          <w:lang w:val="pt-BR"/>
        </w:rPr>
      </w:pPr>
    </w:p>
    <w:p xmlns:wp14="http://schemas.microsoft.com/office/word/2010/wordml" w:rsidP="341598FF" wp14:paraId="4D186697" wp14:textId="25B84F50">
      <w:pPr>
        <w:pStyle w:val="Normal"/>
        <w:bidi w:val="0"/>
        <w:jc w:val="both"/>
      </w:pPr>
      <w:r w:rsidRPr="341598FF" w:rsidR="34A7160C">
        <w:rPr>
          <w:noProof w:val="0"/>
          <w:lang w:val="pt-BR"/>
        </w:rPr>
        <w:t>A Figura 2.3 apresenta um Dashboard de Impacto Social por Vínculo Empregatício, estruturado para oferecer uma visão comparativa entre os quatro principais modelos de contrato. Cada modalidade é representada por blocos visuais com percentuais destacados, permitindo rápida interpretação dos indicadores de retenção de talentos, engajamento, ROI social e inclusão produtiva. Os contratos indeterminados aparecem com maior impacto positivo, evidenciando taxas superiores de inclusão sustentável e retenção. O modelo de estágio também demonstra potencial relevante, especialmente em programas voltados para jovens e pessoas com deficiência. Em contrapartida, contratos determinados e intermitentes apresentam métricas mais baixas, sinalizando riscos de precarização e menor contribuição para a equidade corporativa. Este artefato funciona como uma ferramenta prática para gestores de RH, permitindo integrar dados sociais aos dashboards executivos e apoiar decisões estratégicas alinhadas às metas de diversidade e responsabilidade social.</w:t>
      </w:r>
    </w:p>
    <w:p xmlns:wp14="http://schemas.microsoft.com/office/word/2010/wordml" w:rsidP="341598FF" wp14:paraId="6338FD90" wp14:textId="038C33B7">
      <w:pPr>
        <w:pStyle w:val="Normal"/>
        <w:bidi w:val="0"/>
        <w:jc w:val="both"/>
      </w:pPr>
      <w:r w:rsidRPr="341598FF" w:rsidR="51DC958A">
        <w:rPr>
          <w:noProof w:val="0"/>
          <w:lang w:val="pt-BR"/>
        </w:rPr>
        <w:t>Esse dashboard permite que gestores visualizem de forma integrada os benefícios dos contratos indeterminados, facilitando a tomada de decisão estratégica. A ferramenta é especialmente útil para departamentos de RH que buscam justificar investimentos em programas de diversidade.</w:t>
      </w:r>
    </w:p>
    <w:p xmlns:wp14="http://schemas.microsoft.com/office/word/2010/wordml" w:rsidP="341598FF" wp14:paraId="160ADB98" wp14:textId="5AC56FF6">
      <w:pPr>
        <w:pStyle w:val="Normal"/>
        <w:bidi w:val="0"/>
        <w:jc w:val="both"/>
      </w:pPr>
      <w:r w:rsidRPr="341598FF" w:rsidR="51DC958A">
        <w:rPr>
          <w:noProof w:val="0"/>
          <w:lang w:val="pt-BR"/>
        </w:rPr>
        <w:t>Estudos de caso reforçam a aplicabilidade prática dos contratos indeterminados. Empresas como Natura e Magazine Luiza, segundo relatório do Instituto Ethos (2021), estruturaram programas de diversidade vinculados a contratos estáveis, resultando em maior inclusão de mulheres e pessoas negras em cargos de liderança.</w:t>
      </w:r>
    </w:p>
    <w:p xmlns:wp14="http://schemas.microsoft.com/office/word/2010/wordml" w:rsidP="341598FF" wp14:paraId="046823C8" wp14:textId="4992A01C">
      <w:pPr>
        <w:pStyle w:val="Normal"/>
        <w:bidi w:val="0"/>
        <w:jc w:val="both"/>
      </w:pPr>
      <w:r w:rsidRPr="341598FF" w:rsidR="51DC958A">
        <w:rPr>
          <w:noProof w:val="0"/>
          <w:lang w:val="pt-BR"/>
        </w:rPr>
        <w:t>Esses exemplos demonstram que contratos indeterminados não apenas garantem estabilidade jurídica, mas também funcionam como catalisadores de transformação social. A integração entre vínculo formal e políticas inclusivas gera impacto positivo tanto para os trabalhadores quanto para a reputação corporativa.</w:t>
      </w:r>
    </w:p>
    <w:p xmlns:wp14="http://schemas.microsoft.com/office/word/2010/wordml" w:rsidP="341598FF" wp14:paraId="5623C0E3" wp14:textId="4D0511D1">
      <w:pPr>
        <w:pStyle w:val="Normal"/>
        <w:bidi w:val="0"/>
        <w:jc w:val="both"/>
        <w:rPr>
          <w:noProof w:val="0"/>
          <w:lang w:val="pt-BR"/>
        </w:rPr>
      </w:pP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980"/>
        <w:gridCol w:w="1980"/>
        <w:gridCol w:w="1980"/>
        <w:gridCol w:w="1980"/>
        <w:gridCol w:w="1980"/>
      </w:tblGrid>
      <w:tr w:rsidR="341598FF" w:rsidTr="341598FF" w14:paraId="2DE780FD">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48959C3" w14:textId="6311F215">
            <w:pPr>
              <w:pStyle w:val="Normal"/>
              <w:widowControl w:val="0"/>
              <w:bidi w:val="0"/>
              <w:spacing w:before="80" w:beforeAutospacing="off" w:after="80" w:afterAutospacing="off" w:line="240" w:lineRule="auto"/>
              <w:jc w:val="center"/>
            </w:pPr>
            <w:r w:rsidR="341598FF">
              <w:rPr/>
              <w:t>Modelo Contratual</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76D712DF" w14:textId="7E987E60">
            <w:pPr>
              <w:pStyle w:val="Normal"/>
              <w:widowControl w:val="0"/>
              <w:bidi w:val="0"/>
              <w:spacing w:before="80" w:beforeAutospacing="off" w:after="80" w:afterAutospacing="off" w:line="240" w:lineRule="auto"/>
              <w:jc w:val="center"/>
            </w:pPr>
            <w:r w:rsidR="341598FF">
              <w:rPr/>
              <w:t>Produtividade Média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6BAC619B" w14:textId="5E60E0A9">
            <w:pPr>
              <w:pStyle w:val="Normal"/>
              <w:widowControl w:val="0"/>
              <w:bidi w:val="0"/>
              <w:spacing w:before="80" w:beforeAutospacing="off" w:after="80" w:afterAutospacing="off" w:line="240" w:lineRule="auto"/>
              <w:jc w:val="center"/>
            </w:pPr>
            <w:r w:rsidR="341598FF">
              <w:rPr/>
              <w:t>Retenção de Talentos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7B79B0B" w14:textId="283362C5">
            <w:pPr>
              <w:pStyle w:val="Normal"/>
              <w:widowControl w:val="0"/>
              <w:bidi w:val="0"/>
              <w:spacing w:before="80" w:beforeAutospacing="off" w:after="80" w:afterAutospacing="off" w:line="240" w:lineRule="auto"/>
              <w:jc w:val="center"/>
            </w:pPr>
            <w:r w:rsidR="341598FF">
              <w:rPr/>
              <w:t>Iniciativas de Inovação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10B11775" w14:textId="5425C5C3">
            <w:pPr>
              <w:pStyle w:val="Normal"/>
              <w:widowControl w:val="0"/>
              <w:bidi w:val="0"/>
              <w:spacing w:before="80" w:beforeAutospacing="off" w:after="80" w:afterAutospacing="off" w:line="240" w:lineRule="auto"/>
              <w:jc w:val="center"/>
            </w:pPr>
            <w:r w:rsidR="341598FF">
              <w:rPr/>
              <w:t>Redução de Rotatividade (%)</w:t>
            </w:r>
          </w:p>
        </w:tc>
      </w:tr>
      <w:tr w:rsidR="341598FF" w:rsidTr="341598FF" w14:paraId="721797AA">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8266EAB" w14:textId="72DCD18E">
            <w:pPr>
              <w:pStyle w:val="Normal"/>
              <w:widowControl w:val="0"/>
              <w:bidi w:val="0"/>
              <w:spacing w:before="80" w:beforeAutospacing="off" w:after="80" w:afterAutospacing="off" w:line="240" w:lineRule="auto"/>
              <w:jc w:val="both"/>
            </w:pPr>
            <w:r w:rsidR="341598FF">
              <w:rPr/>
              <w:t>Indeterminado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0280840" w14:textId="6A2227B4">
            <w:pPr>
              <w:pStyle w:val="Normal"/>
              <w:widowControl w:val="0"/>
              <w:bidi w:val="0"/>
              <w:spacing w:before="80" w:beforeAutospacing="off" w:after="80" w:afterAutospacing="off" w:line="240" w:lineRule="auto"/>
              <w:jc w:val="center"/>
            </w:pPr>
            <w:r w:rsidR="341598FF">
              <w:rPr/>
              <w:t>+18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8380A65" w14:textId="4EF6FA76">
            <w:pPr>
              <w:pStyle w:val="Normal"/>
              <w:widowControl w:val="0"/>
              <w:bidi w:val="0"/>
              <w:spacing w:before="80" w:beforeAutospacing="off" w:after="80" w:afterAutospacing="off" w:line="240" w:lineRule="auto"/>
              <w:jc w:val="center"/>
            </w:pPr>
            <w:r w:rsidR="341598FF">
              <w:rPr/>
              <w:t>+32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DC9BDED" w14:textId="6B79717D">
            <w:pPr>
              <w:pStyle w:val="Normal"/>
              <w:widowControl w:val="0"/>
              <w:bidi w:val="0"/>
              <w:spacing w:before="80" w:beforeAutospacing="off" w:after="80" w:afterAutospacing="off" w:line="240" w:lineRule="auto"/>
              <w:jc w:val="center"/>
            </w:pPr>
            <w:r w:rsidR="341598FF">
              <w:rPr/>
              <w:t>+40</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AD95F8A" w14:textId="13022692">
            <w:pPr>
              <w:pStyle w:val="Normal"/>
              <w:widowControl w:val="0"/>
              <w:bidi w:val="0"/>
              <w:spacing w:before="80" w:beforeAutospacing="off" w:after="80" w:afterAutospacing="off" w:line="240" w:lineRule="auto"/>
              <w:jc w:val="center"/>
            </w:pPr>
            <w:r w:rsidR="341598FF">
              <w:rPr/>
              <w:t>–25</w:t>
            </w:r>
          </w:p>
        </w:tc>
      </w:tr>
      <w:tr w:rsidR="341598FF" w:rsidTr="341598FF" w14:paraId="2093EBB7">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4095756" w14:textId="24781478">
            <w:pPr>
              <w:pStyle w:val="Normal"/>
              <w:widowControl w:val="0"/>
              <w:bidi w:val="0"/>
              <w:spacing w:before="80" w:beforeAutospacing="off" w:after="80" w:afterAutospacing="off" w:line="240" w:lineRule="auto"/>
              <w:jc w:val="both"/>
            </w:pPr>
            <w:r w:rsidR="341598FF">
              <w:rPr/>
              <w:t>Estágio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C2AB3B1" w14:textId="799BEE4F">
            <w:pPr>
              <w:pStyle w:val="Normal"/>
              <w:widowControl w:val="0"/>
              <w:bidi w:val="0"/>
              <w:spacing w:before="80" w:beforeAutospacing="off" w:after="80" w:afterAutospacing="off" w:line="240" w:lineRule="auto"/>
              <w:jc w:val="center"/>
            </w:pPr>
            <w:r w:rsidR="341598FF">
              <w:rPr/>
              <w:t>+15</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F64B03E" w14:textId="141F7AF0">
            <w:pPr>
              <w:pStyle w:val="Normal"/>
              <w:widowControl w:val="0"/>
              <w:bidi w:val="0"/>
              <w:spacing w:before="80" w:beforeAutospacing="off" w:after="80" w:afterAutospacing="off" w:line="240" w:lineRule="auto"/>
              <w:jc w:val="center"/>
            </w:pPr>
            <w:r w:rsidR="341598FF">
              <w:rPr/>
              <w:t>+28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4E08F4E" w14:textId="296C59B4">
            <w:pPr>
              <w:pStyle w:val="Normal"/>
              <w:widowControl w:val="0"/>
              <w:bidi w:val="0"/>
              <w:spacing w:before="80" w:beforeAutospacing="off" w:after="80" w:afterAutospacing="off" w:line="240" w:lineRule="auto"/>
              <w:jc w:val="center"/>
            </w:pPr>
            <w:r w:rsidR="341598FF">
              <w:rPr/>
              <w:t>+35</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2506097" w14:textId="2E058C78">
            <w:pPr>
              <w:pStyle w:val="Normal"/>
              <w:widowControl w:val="0"/>
              <w:bidi w:val="0"/>
              <w:spacing w:before="80" w:beforeAutospacing="off" w:after="80" w:afterAutospacing="off" w:line="240" w:lineRule="auto"/>
              <w:jc w:val="center"/>
            </w:pPr>
            <w:r w:rsidR="341598FF">
              <w:rPr/>
              <w:t>–20</w:t>
            </w:r>
          </w:p>
        </w:tc>
      </w:tr>
      <w:tr w:rsidR="341598FF" w:rsidTr="341598FF" w14:paraId="6DEF4F7E">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DB56BE0" w14:textId="6475C505">
            <w:pPr>
              <w:pStyle w:val="Normal"/>
              <w:widowControl w:val="0"/>
              <w:bidi w:val="0"/>
              <w:spacing w:before="80" w:beforeAutospacing="off" w:after="80" w:afterAutospacing="off" w:line="240" w:lineRule="auto"/>
              <w:jc w:val="both"/>
            </w:pPr>
            <w:r w:rsidR="341598FF">
              <w:rPr/>
              <w:t>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8B65077" w14:textId="3BAD920B">
            <w:pPr>
              <w:pStyle w:val="Normal"/>
              <w:widowControl w:val="0"/>
              <w:bidi w:val="0"/>
              <w:spacing w:before="80" w:beforeAutospacing="off" w:after="80" w:afterAutospacing="off" w:line="240" w:lineRule="auto"/>
              <w:jc w:val="center"/>
            </w:pPr>
            <w:r w:rsidR="341598FF">
              <w:rPr/>
              <w:t>+10</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174772E" w14:textId="117F5A91">
            <w:pPr>
              <w:pStyle w:val="Normal"/>
              <w:widowControl w:val="0"/>
              <w:bidi w:val="0"/>
              <w:spacing w:before="80" w:beforeAutospacing="off" w:after="80" w:afterAutospacing="off" w:line="240" w:lineRule="auto"/>
              <w:jc w:val="center"/>
            </w:pPr>
            <w:r w:rsidR="341598FF">
              <w:rPr/>
              <w:t>+21</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6034821" w14:textId="43A290F7">
            <w:pPr>
              <w:pStyle w:val="Normal"/>
              <w:widowControl w:val="0"/>
              <w:bidi w:val="0"/>
              <w:spacing w:before="80" w:beforeAutospacing="off" w:after="80" w:afterAutospacing="off" w:line="240" w:lineRule="auto"/>
              <w:jc w:val="center"/>
            </w:pPr>
            <w:r w:rsidR="341598FF">
              <w:rPr/>
              <w:t>+22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FA7B566" w14:textId="6E65E0BF">
            <w:pPr>
              <w:pStyle w:val="Normal"/>
              <w:widowControl w:val="0"/>
              <w:bidi w:val="0"/>
              <w:spacing w:before="80" w:beforeAutospacing="off" w:after="80" w:afterAutospacing="off" w:line="240" w:lineRule="auto"/>
              <w:jc w:val="center"/>
            </w:pPr>
            <w:r w:rsidR="341598FF">
              <w:rPr/>
              <w:t>–12</w:t>
            </w:r>
          </w:p>
        </w:tc>
      </w:tr>
      <w:tr w:rsidR="341598FF" w:rsidTr="341598FF" w14:paraId="5F0B1424">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939E394" w14:textId="0D02F0D9">
            <w:pPr>
              <w:pStyle w:val="Normal"/>
              <w:widowControl w:val="0"/>
              <w:bidi w:val="0"/>
              <w:spacing w:before="80" w:beforeAutospacing="off" w:after="80" w:afterAutospacing="off" w:line="240" w:lineRule="auto"/>
              <w:jc w:val="both"/>
            </w:pPr>
            <w:r w:rsidR="341598FF">
              <w:rPr/>
              <w:t>Intermitente</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99FB57E" w14:textId="07775083">
            <w:pPr>
              <w:pStyle w:val="Normal"/>
              <w:widowControl w:val="0"/>
              <w:bidi w:val="0"/>
              <w:spacing w:before="80" w:beforeAutospacing="off" w:after="80" w:afterAutospacing="off" w:line="240" w:lineRule="auto"/>
              <w:jc w:val="center"/>
            </w:pPr>
            <w:r w:rsidR="341598FF">
              <w:rPr/>
              <w:t>+6</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DE30899" w14:textId="5182E4B3">
            <w:pPr>
              <w:pStyle w:val="Normal"/>
              <w:widowControl w:val="0"/>
              <w:bidi w:val="0"/>
              <w:spacing w:before="80" w:beforeAutospacing="off" w:after="80" w:afterAutospacing="off" w:line="240" w:lineRule="auto"/>
              <w:jc w:val="center"/>
            </w:pPr>
            <w:r w:rsidR="341598FF">
              <w:rPr/>
              <w:t>+14</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69B20CC" w14:textId="3E495029">
            <w:pPr>
              <w:pStyle w:val="Normal"/>
              <w:widowControl w:val="0"/>
              <w:bidi w:val="0"/>
              <w:spacing w:before="80" w:beforeAutospacing="off" w:after="80" w:afterAutospacing="off" w:line="240" w:lineRule="auto"/>
              <w:jc w:val="center"/>
            </w:pPr>
            <w:r w:rsidR="341598FF">
              <w:rPr/>
              <w:t>+12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13206BA" w:rsidP="341598FF" w:rsidRDefault="713206BA" w14:paraId="4EEDE2AE" w14:textId="5EE98BFE">
            <w:pPr>
              <w:pStyle w:val="Normal"/>
              <w:widowControl w:val="0"/>
              <w:bidi w:val="0"/>
              <w:spacing w:before="80" w:beforeAutospacing="off" w:after="80" w:afterAutospacing="off" w:line="240" w:lineRule="auto"/>
              <w:jc w:val="center"/>
            </w:pPr>
            <w:r w:rsidRPr="341598FF" w:rsidR="713206BA">
              <w:rPr>
                <w:noProof w:val="0"/>
                <w:lang w:val="pt-BR"/>
              </w:rPr>
              <w:t>–7</w:t>
            </w:r>
          </w:p>
        </w:tc>
      </w:tr>
      <w:tr w:rsidR="341598FF" w:rsidTr="341598FF" w14:paraId="6B7A04A2">
        <w:trPr>
          <w:trHeight w:val="300"/>
        </w:trPr>
        <w:tc>
          <w:tcPr>
            <w:tcW w:w="9900" w:type="dxa"/>
            <w:gridSpan w:val="5"/>
            <w:tcMar/>
            <w:vAlign w:val="center"/>
          </w:tcPr>
          <w:p w:rsidR="341598FF" w:rsidP="341598FF" w:rsidRDefault="341598FF" w14:paraId="69BB46F8" w14:textId="3C7C4F2E">
            <w:pPr>
              <w:pStyle w:val="Normal"/>
              <w:widowControl w:val="0"/>
              <w:bidi w:val="0"/>
              <w:spacing w:after="0" w:afterAutospacing="off" w:line="240" w:lineRule="auto"/>
              <w:jc w:val="center"/>
              <w:rPr>
                <w:noProof w:val="0"/>
                <w:sz w:val="18"/>
                <w:szCs w:val="18"/>
                <w:lang w:val="pt-BR"/>
              </w:rPr>
            </w:pPr>
          </w:p>
          <w:p w:rsidR="713206BA" w:rsidP="341598FF" w:rsidRDefault="713206BA" w14:paraId="5981603F" w14:textId="6A8F20E2">
            <w:pPr>
              <w:pStyle w:val="Normal"/>
              <w:widowControl w:val="0"/>
              <w:bidi w:val="0"/>
              <w:spacing w:after="0" w:afterAutospacing="off" w:line="240" w:lineRule="auto"/>
              <w:jc w:val="center"/>
              <w:rPr>
                <w:noProof w:val="0"/>
                <w:sz w:val="18"/>
                <w:szCs w:val="18"/>
                <w:lang w:val="pt-BR"/>
              </w:rPr>
            </w:pPr>
            <w:r w:rsidRPr="341598FF" w:rsidR="713206BA">
              <w:rPr>
                <w:noProof w:val="0"/>
                <w:sz w:val="18"/>
                <w:szCs w:val="18"/>
                <w:lang w:val="pt-BR"/>
              </w:rPr>
              <w:t>Tabela 2.4 – ROI social dos contratos indeterminados</w:t>
            </w:r>
            <w:r w:rsidRPr="341598FF" w:rsidR="713206BA">
              <w:rPr>
                <w:noProof w:val="0"/>
                <w:sz w:val="18"/>
                <w:szCs w:val="18"/>
                <w:lang w:val="pt-BR"/>
              </w:rPr>
              <w:t xml:space="preserve"> </w:t>
            </w:r>
          </w:p>
          <w:p w:rsidR="713206BA" w:rsidP="341598FF" w:rsidRDefault="713206BA" w14:paraId="1818D4E2" w14:textId="25101608">
            <w:pPr>
              <w:pStyle w:val="Normal"/>
              <w:widowControl w:val="0"/>
              <w:bidi w:val="0"/>
              <w:spacing w:after="0" w:afterAutospacing="off" w:line="240" w:lineRule="auto"/>
              <w:jc w:val="center"/>
              <w:rPr>
                <w:noProof w:val="0"/>
                <w:sz w:val="18"/>
                <w:szCs w:val="18"/>
                <w:lang w:val="pt-BR"/>
              </w:rPr>
            </w:pPr>
            <w:r w:rsidRPr="341598FF" w:rsidR="713206BA">
              <w:rPr>
                <w:noProof w:val="0"/>
                <w:sz w:val="18"/>
                <w:szCs w:val="18"/>
                <w:lang w:val="pt-BR"/>
              </w:rPr>
              <w:t>Legenda: Indicadores de retorno social vinculados a contratos estáveis.</w:t>
            </w:r>
          </w:p>
          <w:p w:rsidR="713206BA" w:rsidP="341598FF" w:rsidRDefault="713206BA" w14:paraId="2E70F83C" w14:textId="1859ECD6">
            <w:pPr>
              <w:pStyle w:val="Normal"/>
              <w:widowControl w:val="0"/>
              <w:bidi w:val="0"/>
              <w:spacing w:after="0" w:afterAutospacing="off" w:line="240" w:lineRule="auto"/>
              <w:jc w:val="center"/>
              <w:rPr>
                <w:noProof w:val="0"/>
                <w:sz w:val="18"/>
                <w:szCs w:val="18"/>
                <w:lang w:val="pt-BR"/>
              </w:rPr>
            </w:pPr>
            <w:r w:rsidRPr="341598FF" w:rsidR="713206BA">
              <w:rPr>
                <w:noProof w:val="0"/>
                <w:sz w:val="18"/>
                <w:szCs w:val="18"/>
                <w:lang w:val="pt-BR"/>
              </w:rPr>
              <w:t xml:space="preserve"> Fonte: Deloitte (2022), McKinsey (2020).</w:t>
            </w:r>
          </w:p>
        </w:tc>
      </w:tr>
    </w:tbl>
    <w:p xmlns:wp14="http://schemas.microsoft.com/office/word/2010/wordml" w:rsidP="341598FF" wp14:paraId="16DF9E1A" wp14:textId="2A6407AD">
      <w:pPr>
        <w:pStyle w:val="Normal"/>
        <w:bidi w:val="0"/>
        <w:jc w:val="both"/>
        <w:rPr>
          <w:noProof w:val="0"/>
          <w:lang w:val="pt-BR"/>
        </w:rPr>
      </w:pPr>
    </w:p>
    <w:p xmlns:wp14="http://schemas.microsoft.com/office/word/2010/wordml" w:rsidP="341598FF" wp14:paraId="7A588372" wp14:textId="0E7F84E3">
      <w:pPr>
        <w:pStyle w:val="Normal"/>
        <w:bidi w:val="0"/>
        <w:jc w:val="both"/>
      </w:pPr>
      <w:r w:rsidRPr="341598FF" w:rsidR="713206BA">
        <w:rPr>
          <w:noProof w:val="0"/>
          <w:lang w:val="pt-BR"/>
        </w:rPr>
        <w:t>A Tabela 2.4 consolida os principais indicadores de ROI social por tipo de contrato, permitindo uma análise comparativa entre produtividade média, retenção de talentos, iniciativas de inovação e redução da rotatividade. Os contratos indeterminados lideram em todos os critérios, com destaque para a retenção (+32%) e inovação (+40%), evidenciando sua eficácia como instrumento estratégico de inclusão sustentável. O modelo de estágio também apresenta desempenho relevante, especialmente em programas voltados para jovens e pessoas com deficiência. Em contrapartida, os contratos determinados e intermitentes revelam menor impacto social, com indicadores abaixo de 25%, o que reforça a necessidade de políticas compensatórias. Este artefato serve como referência para gestores de RH avaliarem o retorno social de suas decisões contratuais, integrando métricas de desempenho organizacional às estratégias de diversidade e responsabilidade social.</w:t>
      </w:r>
    </w:p>
    <w:p xmlns:wp14="http://schemas.microsoft.com/office/word/2010/wordml" w:rsidP="341598FF" wp14:paraId="4C178699" wp14:textId="2D86F6EB">
      <w:pPr>
        <w:pStyle w:val="Normal"/>
        <w:bidi w:val="0"/>
        <w:jc w:val="both"/>
      </w:pPr>
      <w:r w:rsidRPr="341598FF" w:rsidR="51DC958A">
        <w:rPr>
          <w:noProof w:val="0"/>
          <w:lang w:val="pt-BR"/>
        </w:rPr>
        <w:t>Os dados da Tabela 2.4 reforçam que contratos indeterminados são instrumentos estratégicos para programas de diversidade. O aumento da produtividade e da retenção de talentos demonstra que o investimento em vínculos estáveis gera retorno mensurável.</w:t>
      </w:r>
    </w:p>
    <w:p xmlns:wp14="http://schemas.microsoft.com/office/word/2010/wordml" w:rsidP="341598FF" wp14:paraId="03FDB91C" wp14:textId="3E5A9B2B">
      <w:pPr>
        <w:pStyle w:val="Normal"/>
        <w:bidi w:val="0"/>
        <w:jc w:val="both"/>
      </w:pPr>
      <w:r w:rsidRPr="341598FF" w:rsidR="51DC958A">
        <w:rPr>
          <w:noProof w:val="0"/>
          <w:lang w:val="pt-BR"/>
        </w:rPr>
        <w:t>Em síntese, contratos indeterminados representam a modalidade mais alinhada às estratégias de inclusão sustentável. Sua adoção fortalece programas de diversidade, reduz riscos de precarização e gera ROI social significativo.</w:t>
      </w:r>
    </w:p>
    <w:p xmlns:wp14="http://schemas.microsoft.com/office/word/2010/wordml" w:rsidP="341598FF" wp14:paraId="3D5A18EB" wp14:textId="6BE80757">
      <w:pPr>
        <w:bidi w:val="0"/>
        <w:jc w:val="both"/>
      </w:pPr>
    </w:p>
    <w:p xmlns:wp14="http://schemas.microsoft.com/office/word/2010/wordml" w:rsidP="341598FF" wp14:paraId="283FBBC0" wp14:textId="065ABF8B">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24526F0" wp14:textId="476C1EE4">
      <w:r>
        <w:br w:type="page"/>
      </w:r>
    </w:p>
    <w:p xmlns:wp14="http://schemas.microsoft.com/office/word/2010/wordml" w:rsidP="341598FF" wp14:paraId="342442FB" wp14:textId="146C066E">
      <w:pPr>
        <w:pStyle w:val="Heading1"/>
        <w:rPr>
          <w:rFonts w:ascii="Aptos" w:hAnsi="Aptos" w:eastAsia="Aptos" w:cs="Aptos"/>
          <w:b w:val="1"/>
          <w:bCs w:val="1"/>
          <w:noProof w:val="0"/>
          <w:sz w:val="36"/>
          <w:szCs w:val="36"/>
          <w:lang w:val="pt-BR"/>
        </w:rPr>
      </w:pPr>
      <w:bookmarkStart w:name="_Toc1605992239" w:id="1165537398"/>
      <w:bookmarkStart w:name="_Toc1060678369" w:id="1416000549"/>
      <w:r w:rsidRPr="341598FF" w:rsidR="10F29039">
        <w:rPr>
          <w:noProof w:val="0"/>
          <w:lang w:val="pt-BR"/>
        </w:rPr>
        <w:t>Impacto Social dos Modelos Contratuais</w:t>
      </w:r>
      <w:bookmarkEnd w:id="1165537398"/>
      <w:bookmarkEnd w:id="1416000549"/>
      <w:r w:rsidRPr="341598FF" w:rsidR="10F29039">
        <w:rPr>
          <w:noProof w:val="0"/>
          <w:lang w:val="pt-BR"/>
        </w:rPr>
        <w:t xml:space="preserve"> </w:t>
      </w:r>
    </w:p>
    <w:p xmlns:wp14="http://schemas.microsoft.com/office/word/2010/wordml" w:rsidP="341598FF" wp14:paraId="0F927ECC" wp14:textId="40B9C754">
      <w:pPr>
        <w:pStyle w:val="Normal"/>
        <w:jc w:val="both"/>
        <w:rPr>
          <w:noProof w:val="0"/>
          <w:lang w:val="pt-BR"/>
        </w:rPr>
      </w:pPr>
    </w:p>
    <w:p xmlns:wp14="http://schemas.microsoft.com/office/word/2010/wordml" w:rsidP="341598FF" wp14:paraId="3773F8CF" wp14:textId="45548038">
      <w:pPr>
        <w:pStyle w:val="Normal"/>
        <w:jc w:val="both"/>
      </w:pPr>
      <w:r w:rsidRPr="341598FF" w:rsidR="10F29039">
        <w:rPr>
          <w:noProof w:val="0"/>
          <w:lang w:val="pt-BR"/>
        </w:rPr>
        <w:t>De que forma os diferentes modelos contratuais podem ser utilizados como instrumentos de mobilidade social e inclusão produtiva, e qual é o papel do RH na condução dessa transformação organizacional?</w:t>
      </w:r>
    </w:p>
    <w:p xmlns:wp14="http://schemas.microsoft.com/office/word/2010/wordml" w:rsidP="341598FF" wp14:paraId="30BBF2CC" wp14:textId="0892B96C">
      <w:pPr>
        <w:pStyle w:val="Heading3"/>
        <w:rPr>
          <w:noProof w:val="0"/>
          <w:lang w:val="pt-BR"/>
        </w:rPr>
      </w:pPr>
    </w:p>
    <w:p xmlns:wp14="http://schemas.microsoft.com/office/word/2010/wordml" w:rsidP="341598FF" wp14:paraId="7F49DFA1" wp14:textId="50AB892D">
      <w:pPr>
        <w:pStyle w:val="Heading2"/>
        <w:rPr>
          <w:rFonts w:ascii="Aptos" w:hAnsi="Aptos" w:eastAsia="Aptos" w:cs="Aptos"/>
          <w:b w:val="1"/>
          <w:bCs w:val="1"/>
          <w:noProof w:val="0"/>
          <w:sz w:val="36"/>
          <w:szCs w:val="36"/>
          <w:lang w:val="pt-BR"/>
        </w:rPr>
      </w:pPr>
      <w:bookmarkStart w:name="_Toc352734463" w:id="440859065"/>
      <w:r w:rsidRPr="341598FF" w:rsidR="6E7D87A3">
        <w:rPr>
          <w:noProof w:val="0"/>
          <w:lang w:val="pt-BR"/>
        </w:rPr>
        <w:t>O papel do RH na transformação organizacional</w:t>
      </w:r>
      <w:bookmarkEnd w:id="440859065"/>
    </w:p>
    <w:p xmlns:wp14="http://schemas.microsoft.com/office/word/2010/wordml" w:rsidP="341598FF" wp14:paraId="7CB6D060" wp14:textId="6BA21917">
      <w:pPr>
        <w:pStyle w:val="Normal"/>
        <w:jc w:val="both"/>
        <w:rPr>
          <w:noProof w:val="0"/>
          <w:lang w:val="pt-BR"/>
        </w:rPr>
      </w:pPr>
    </w:p>
    <w:p xmlns:wp14="http://schemas.microsoft.com/office/word/2010/wordml" w:rsidP="341598FF" wp14:paraId="124B8235" wp14:textId="1D7A2519">
      <w:pPr>
        <w:pStyle w:val="Normal"/>
        <w:jc w:val="both"/>
      </w:pPr>
      <w:r w:rsidRPr="341598FF" w:rsidR="10F29039">
        <w:rPr>
          <w:noProof w:val="0"/>
          <w:lang w:val="pt-BR"/>
        </w:rPr>
        <w:t>Os contratos de trabalho, além de sua função jurídica, possuem um papel social relevante ao promover inclusão produtiva e mobilidade social. A OIT (2021) destaca que vínculos formais são determinantes para reduzir a informalidade e ampliar o acesso a direitos trabalhistas, especialmente em países emergentes como o Brasil. Nesse contexto, o RH assume protagonismo ao alinhar modelos contratuais às estratégias de diversidade e responsabilidade social corporativa.</w:t>
      </w:r>
    </w:p>
    <w:p xmlns:wp14="http://schemas.microsoft.com/office/word/2010/wordml" w:rsidP="341598FF" wp14:paraId="368744DE" wp14:textId="38F3D4BB">
      <w:pPr>
        <w:pStyle w:val="Normal"/>
        <w:jc w:val="both"/>
      </w:pPr>
      <w:r w:rsidRPr="341598FF" w:rsidR="10F29039">
        <w:rPr>
          <w:noProof w:val="0"/>
          <w:lang w:val="pt-BR"/>
        </w:rPr>
        <w:t>A diversidade contratual pode ser vista como um mecanismo de transformação organizacional. Empresas que estruturam vínculos estáveis e inclusivos contribuem para a redução das desigualdades sociais. Segundo relatório do Instituto Ethos (2022), organizações que adotaram políticas de diversidade vinculadas a contratos formais observaram aumento de 27% na mobilidade social de seus colaboradores.</w:t>
      </w:r>
    </w:p>
    <w:p xmlns:wp14="http://schemas.microsoft.com/office/word/2010/wordml" w:rsidP="341598FF" wp14:paraId="2A2154D6" wp14:textId="6AAA3F6B">
      <w:pPr>
        <w:pStyle w:val="Normal"/>
        <w:jc w:val="both"/>
      </w:pPr>
      <w:r w:rsidRPr="341598FF" w:rsidR="10F29039">
        <w:rPr>
          <w:noProof w:val="0"/>
          <w:lang w:val="pt-BR"/>
        </w:rPr>
        <w:t>O papel do RH é central nesse processo, pois cabe a esse departamento definir políticas de contratação que estejam alinhadas às metas de inclusão. A gestão estratégica de pessoas deve considerar não apenas o custo financeiro dos contratos, mas também o ROI social gerado por vínculos que promovem equidade e justiça social.</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2A0" w:firstRow="1" w:lastRow="0" w:firstColumn="1" w:lastColumn="0" w:noHBand="1" w:noVBand="0"/>
      </w:tblPr>
      <w:tblGrid>
        <w:gridCol w:w="9900"/>
      </w:tblGrid>
      <w:tr w:rsidR="341598FF" w:rsidTr="341598FF" w14:paraId="2E8615FA">
        <w:trPr>
          <w:trHeight w:val="300"/>
        </w:trPr>
        <w:tc>
          <w:tcPr>
            <w:tcW w:w="9900" w:type="dxa"/>
            <w:tcMar/>
          </w:tcPr>
          <w:p w:rsidR="0091694F" w:rsidP="341598FF" w:rsidRDefault="0091694F" w14:paraId="7EFFE951" w14:textId="6532935A">
            <w:pPr>
              <w:pStyle w:val="Normal"/>
              <w:rPr>
                <w:noProof w:val="0"/>
                <w:lang w:val="pt-BR"/>
              </w:rPr>
            </w:pPr>
            <w:r w:rsidR="0091694F">
              <w:drawing>
                <wp:inline wp14:editId="4F96F1E8" wp14:anchorId="6A781ABE">
                  <wp:extent cx="6143625" cy="6143625"/>
                  <wp:effectExtent l="0" t="0" r="0" b="0"/>
                  <wp:docPr id="710178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0178501" name="Picture 7101785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90759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341598FF" w:rsidTr="341598FF" w14:paraId="05BB2132">
        <w:trPr>
          <w:trHeight w:val="300"/>
        </w:trPr>
        <w:tc>
          <w:tcPr>
            <w:tcW w:w="9900" w:type="dxa"/>
            <w:tcMar/>
          </w:tcPr>
          <w:p w:rsidR="664E3302" w:rsidP="341598FF" w:rsidRDefault="664E3302" w14:paraId="26028E6F" w14:textId="19D99AE5">
            <w:pPr>
              <w:pStyle w:val="Normal"/>
              <w:jc w:val="center"/>
              <w:rPr>
                <w:noProof w:val="0"/>
                <w:sz w:val="18"/>
                <w:szCs w:val="18"/>
                <w:lang w:val="pt-BR"/>
              </w:rPr>
            </w:pPr>
            <w:r w:rsidRPr="341598FF" w:rsidR="664E3302">
              <w:rPr>
                <w:noProof w:val="0"/>
                <w:sz w:val="18"/>
                <w:szCs w:val="18"/>
                <w:lang w:val="pt-BR"/>
              </w:rPr>
              <w:t xml:space="preserve">Figura 2.3 – Dashboard de impacto social por vínculo empregatício. </w:t>
            </w:r>
          </w:p>
          <w:p w:rsidR="664E3302" w:rsidP="341598FF" w:rsidRDefault="664E3302" w14:paraId="05D657D0" w14:textId="523A65B7">
            <w:pPr>
              <w:pStyle w:val="Normal"/>
              <w:jc w:val="center"/>
              <w:rPr>
                <w:noProof w:val="0"/>
                <w:sz w:val="18"/>
                <w:szCs w:val="18"/>
                <w:lang w:val="pt-BR"/>
              </w:rPr>
            </w:pPr>
            <w:r w:rsidRPr="341598FF" w:rsidR="664E3302">
              <w:rPr>
                <w:noProof w:val="0"/>
                <w:sz w:val="18"/>
                <w:szCs w:val="18"/>
                <w:lang w:val="pt-BR"/>
              </w:rPr>
              <w:t>Indicadores sociais associados a diferentes modalidades contratuais.</w:t>
            </w:r>
          </w:p>
          <w:p w:rsidR="664E3302" w:rsidP="341598FF" w:rsidRDefault="664E3302" w14:paraId="34613B60" w14:textId="1AB8549B">
            <w:pPr>
              <w:pStyle w:val="Normal"/>
              <w:jc w:val="center"/>
              <w:rPr>
                <w:noProof w:val="0"/>
                <w:sz w:val="18"/>
                <w:szCs w:val="18"/>
                <w:lang w:val="pt-BR"/>
              </w:rPr>
            </w:pPr>
            <w:r w:rsidRPr="341598FF" w:rsidR="664E3302">
              <w:rPr>
                <w:noProof w:val="0"/>
                <w:sz w:val="18"/>
                <w:szCs w:val="18"/>
                <w:lang w:val="pt-BR"/>
              </w:rPr>
              <w:t>Fonte: OIT (2021), Deloitte (2022).</w:t>
            </w:r>
          </w:p>
        </w:tc>
      </w:tr>
    </w:tbl>
    <w:p xmlns:wp14="http://schemas.microsoft.com/office/word/2010/wordml" w:rsidP="341598FF" wp14:paraId="7D938632" wp14:textId="21ED83FF">
      <w:pPr>
        <w:pStyle w:val="Normal"/>
        <w:suppressLineNumbers w:val="0"/>
        <w:bidi w:val="0"/>
        <w:spacing w:before="0" w:beforeAutospacing="off" w:after="160" w:afterAutospacing="off" w:line="279" w:lineRule="auto"/>
        <w:ind w:left="0" w:right="0"/>
        <w:jc w:val="both"/>
        <w:rPr>
          <w:noProof w:val="0"/>
          <w:lang w:val="pt-BR"/>
        </w:rPr>
      </w:pPr>
    </w:p>
    <w:p xmlns:wp14="http://schemas.microsoft.com/office/word/2010/wordml" w:rsidP="341598FF" wp14:paraId="25911E08" wp14:textId="3A417495">
      <w:pPr>
        <w:pStyle w:val="Normal"/>
        <w:bidi w:val="0"/>
        <w:jc w:val="both"/>
      </w:pPr>
      <w:r w:rsidRPr="341598FF" w:rsidR="4D5AB265">
        <w:rPr>
          <w:noProof w:val="0"/>
          <w:lang w:val="pt-BR"/>
        </w:rPr>
        <w:t>A Figura 2.3 apresenta um Dashboard de Impacto Social por Vínculo Empregatício, consolidando os principais indicadores analisados ao longo do artigo: mobilidade social, inclusão produtiva e redução da informalidade. O artefato organiza os quatro modelos contratuais — indeterminado, determinado, estágio e intermitente — em blocos comparativos que evidenciam suas contribuições relativas para a transformação organizacional. O contrato indeterminado lidera em mobilidade social (27%), refletindo sua capacidade de promover estabilidade e ascensão profissional. O modelo de estágio destaca-se na redução da informalidade (33%), sendo eficaz como porta de entrada para o mercado formal. Já os contratos determinados e intermitentes apresentam impactos mais limitados, com destaque negativo para o intermitente, que registra os menores índices em todos os indicadores. Este dashboard funciona como ferramenta estratégica para gestores de RH avaliarem o papel dos vínculos empregatícios na promoção da equidade e no fortalecimento da responsabilidade social corporativa.</w:t>
      </w:r>
    </w:p>
    <w:p xmlns:wp14="http://schemas.microsoft.com/office/word/2010/wordml" w:rsidP="341598FF" wp14:paraId="650136A9" wp14:textId="7EE3BE7B">
      <w:pPr>
        <w:pStyle w:val="Normal"/>
        <w:jc w:val="both"/>
      </w:pPr>
      <w:r w:rsidRPr="341598FF" w:rsidR="10F29039">
        <w:rPr>
          <w:noProof w:val="0"/>
          <w:lang w:val="pt-BR"/>
        </w:rPr>
        <w:t>Esse dashboard evidencia que contratos indeterminados e de estágio apresentam maior impacto positivo em inclusão produtiva, enquanto contratos intermitentes e determinados possuem menor contribuição, exigindo políticas compensatórias.</w:t>
      </w:r>
    </w:p>
    <w:p xmlns:wp14="http://schemas.microsoft.com/office/word/2010/wordml" w:rsidP="341598FF" wp14:paraId="7DE3221A" wp14:textId="68EA8BFC">
      <w:pPr>
        <w:pStyle w:val="Normal"/>
        <w:jc w:val="both"/>
      </w:pPr>
      <w:r w:rsidRPr="341598FF" w:rsidR="10F29039">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980"/>
        <w:gridCol w:w="1980"/>
        <w:gridCol w:w="1980"/>
        <w:gridCol w:w="2130"/>
        <w:gridCol w:w="1830"/>
      </w:tblGrid>
      <w:tr w:rsidR="341598FF" w:rsidTr="341598FF" w14:paraId="306164F1">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0A30C779" w14:textId="05ED9246">
            <w:pPr>
              <w:pStyle w:val="Normal"/>
              <w:widowControl w:val="0"/>
              <w:spacing w:before="80" w:beforeAutospacing="off" w:after="60" w:afterAutospacing="off"/>
              <w:jc w:val="center"/>
            </w:pPr>
            <w:r w:rsidR="341598FF">
              <w:rPr/>
              <w:t>Modelo Contratual</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7A94852B" w14:textId="0F029B94">
            <w:pPr>
              <w:pStyle w:val="Normal"/>
              <w:widowControl w:val="0"/>
              <w:spacing w:before="80" w:beforeAutospacing="off" w:after="60" w:afterAutospacing="off"/>
              <w:jc w:val="center"/>
            </w:pPr>
            <w:r w:rsidR="341598FF">
              <w:rPr/>
              <w:t>Mobilidade Social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73C93263" w14:textId="3436D3F9">
            <w:pPr>
              <w:pStyle w:val="Normal"/>
              <w:widowControl w:val="0"/>
              <w:spacing w:before="80" w:beforeAutospacing="off" w:after="60" w:afterAutospacing="off"/>
              <w:jc w:val="center"/>
            </w:pPr>
            <w:r w:rsidR="341598FF">
              <w:rPr/>
              <w:t>Inclusão Produtiva (%)</w:t>
            </w:r>
          </w:p>
        </w:tc>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7017A5BB" w14:textId="3D623AC2">
            <w:pPr>
              <w:pStyle w:val="Normal"/>
              <w:widowControl w:val="0"/>
              <w:spacing w:before="80" w:beforeAutospacing="off" w:after="60" w:afterAutospacing="off"/>
              <w:jc w:val="center"/>
            </w:pPr>
            <w:r w:rsidR="341598FF">
              <w:rPr/>
              <w:t>Redução da Informalidade (%)</w:t>
            </w:r>
          </w:p>
        </w:tc>
        <w:tc>
          <w:tcPr>
            <w:tcW w:w="183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41835F13" w14:textId="48BDF7E2">
            <w:pPr>
              <w:pStyle w:val="Normal"/>
              <w:widowControl w:val="0"/>
              <w:spacing w:before="80" w:beforeAutospacing="off" w:after="60" w:afterAutospacing="off"/>
              <w:jc w:val="center"/>
            </w:pPr>
            <w:r w:rsidR="341598FF">
              <w:rPr/>
              <w:t>ROI Social (%)</w:t>
            </w:r>
          </w:p>
        </w:tc>
      </w:tr>
      <w:tr w:rsidR="341598FF" w:rsidTr="341598FF" w14:paraId="0D2FE202">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B8392F8" w14:textId="6683BBE4">
            <w:pPr>
              <w:pStyle w:val="Normal"/>
              <w:widowControl w:val="0"/>
              <w:spacing w:before="80" w:beforeAutospacing="off" w:after="60" w:afterAutospacing="off"/>
              <w:jc w:val="both"/>
            </w:pPr>
            <w:r w:rsidR="341598FF">
              <w:rPr/>
              <w:t>Indeterminado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6363359" w14:textId="00635768">
            <w:pPr>
              <w:pStyle w:val="Normal"/>
              <w:widowControl w:val="0"/>
              <w:spacing w:before="80" w:beforeAutospacing="off" w:after="60" w:afterAutospacing="off"/>
              <w:jc w:val="center"/>
            </w:pPr>
            <w:r w:rsidR="341598FF">
              <w:rPr/>
              <w:t>72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A87943E" w14:textId="7422B4A5">
            <w:pPr>
              <w:pStyle w:val="Normal"/>
              <w:widowControl w:val="0"/>
              <w:spacing w:before="80" w:beforeAutospacing="off" w:after="60" w:afterAutospacing="off"/>
              <w:jc w:val="center"/>
            </w:pPr>
            <w:r w:rsidR="341598FF">
              <w:rPr/>
              <w:t>80</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C18EEB2" w14:textId="08C7095D">
            <w:pPr>
              <w:pStyle w:val="Normal"/>
              <w:widowControl w:val="0"/>
              <w:spacing w:before="80" w:beforeAutospacing="off" w:after="60" w:afterAutospacing="off"/>
              <w:jc w:val="center"/>
            </w:pPr>
            <w:r w:rsidR="341598FF">
              <w:rPr/>
              <w:t>65</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146E2F7" w14:textId="4729923E">
            <w:pPr>
              <w:pStyle w:val="Normal"/>
              <w:widowControl w:val="0"/>
              <w:spacing w:before="80" w:beforeAutospacing="off" w:after="60" w:afterAutospacing="off"/>
              <w:jc w:val="center"/>
            </w:pPr>
            <w:r w:rsidR="341598FF">
              <w:rPr/>
              <w:t>60</w:t>
            </w:r>
          </w:p>
        </w:tc>
      </w:tr>
      <w:tr w:rsidR="341598FF" w:rsidTr="341598FF" w14:paraId="6BC4F6D6">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0C40EF5" w14:textId="7A0D6A18">
            <w:pPr>
              <w:pStyle w:val="Normal"/>
              <w:widowControl w:val="0"/>
              <w:spacing w:before="80" w:beforeAutospacing="off" w:after="60" w:afterAutospacing="off"/>
              <w:jc w:val="both"/>
            </w:pPr>
            <w:r w:rsidR="341598FF">
              <w:rPr/>
              <w:t>Estágio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BB67503" w14:textId="5DBD3ECE">
            <w:pPr>
              <w:pStyle w:val="Normal"/>
              <w:widowControl w:val="0"/>
              <w:spacing w:before="80" w:beforeAutospacing="off" w:after="60" w:afterAutospacing="off"/>
              <w:jc w:val="center"/>
            </w:pPr>
            <w:r w:rsidR="341598FF">
              <w:rPr/>
              <w:t>68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30786E9" w14:textId="05B6CC44">
            <w:pPr>
              <w:pStyle w:val="Normal"/>
              <w:widowControl w:val="0"/>
              <w:spacing w:before="80" w:beforeAutospacing="off" w:after="60" w:afterAutospacing="off"/>
              <w:jc w:val="center"/>
            </w:pPr>
            <w:r w:rsidR="341598FF">
              <w:rPr/>
              <w:t>75</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DC00172" w14:textId="57C2FA9A">
            <w:pPr>
              <w:pStyle w:val="Normal"/>
              <w:widowControl w:val="0"/>
              <w:spacing w:before="80" w:beforeAutospacing="off" w:after="60" w:afterAutospacing="off"/>
              <w:jc w:val="center"/>
            </w:pPr>
            <w:r w:rsidR="341598FF">
              <w:rPr/>
              <w:t>58</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835A915" w14:textId="2432D2FA">
            <w:pPr>
              <w:pStyle w:val="Normal"/>
              <w:widowControl w:val="0"/>
              <w:spacing w:before="80" w:beforeAutospacing="off" w:after="60" w:afterAutospacing="off"/>
              <w:jc w:val="center"/>
            </w:pPr>
            <w:r w:rsidR="341598FF">
              <w:rPr/>
              <w:t>55</w:t>
            </w:r>
          </w:p>
        </w:tc>
      </w:tr>
      <w:tr w:rsidR="341598FF" w:rsidTr="341598FF" w14:paraId="7BA225EA">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E80852E" w14:textId="55462E13">
            <w:pPr>
              <w:pStyle w:val="Normal"/>
              <w:widowControl w:val="0"/>
              <w:spacing w:before="80" w:beforeAutospacing="off" w:after="60" w:afterAutospacing="off"/>
              <w:jc w:val="both"/>
            </w:pPr>
            <w:r w:rsidR="341598FF">
              <w:rPr/>
              <w:t>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C113F04" w14:textId="090980EF">
            <w:pPr>
              <w:pStyle w:val="Normal"/>
              <w:widowControl w:val="0"/>
              <w:spacing w:before="80" w:beforeAutospacing="off" w:after="60" w:afterAutospacing="off"/>
              <w:jc w:val="center"/>
            </w:pPr>
            <w:r w:rsidR="341598FF">
              <w:rPr/>
              <w:t>49</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FAE78BD" w14:textId="6882F063">
            <w:pPr>
              <w:pStyle w:val="Normal"/>
              <w:widowControl w:val="0"/>
              <w:spacing w:before="80" w:beforeAutospacing="off" w:after="60" w:afterAutospacing="off"/>
              <w:jc w:val="center"/>
            </w:pPr>
            <w:r w:rsidR="341598FF">
              <w:rPr/>
              <w:t>52</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A2FD914" w14:textId="733AF775">
            <w:pPr>
              <w:pStyle w:val="Normal"/>
              <w:widowControl w:val="0"/>
              <w:spacing w:before="80" w:beforeAutospacing="off" w:after="60" w:afterAutospacing="off"/>
              <w:jc w:val="center"/>
            </w:pPr>
            <w:r w:rsidR="341598FF">
              <w:rPr/>
              <w:t>40</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65A1F5F" w14:textId="7A2A5982">
            <w:pPr>
              <w:pStyle w:val="Normal"/>
              <w:widowControl w:val="0"/>
              <w:spacing w:before="80" w:beforeAutospacing="off" w:after="60" w:afterAutospacing="off"/>
              <w:jc w:val="center"/>
            </w:pPr>
            <w:r w:rsidR="341598FF">
              <w:rPr/>
              <w:t>35</w:t>
            </w:r>
          </w:p>
        </w:tc>
      </w:tr>
      <w:tr w:rsidR="341598FF" w:rsidTr="341598FF" w14:paraId="464F355D">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8C7D6A2" w14:textId="6EDF6830">
            <w:pPr>
              <w:pStyle w:val="Normal"/>
              <w:widowControl w:val="0"/>
              <w:spacing w:before="80" w:beforeAutospacing="off" w:after="60" w:afterAutospacing="off"/>
              <w:jc w:val="both"/>
            </w:pPr>
            <w:r w:rsidR="341598FF">
              <w:rPr/>
              <w:t>Intermitente</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EE2FE7F" w14:textId="4CAA9160">
            <w:pPr>
              <w:pStyle w:val="Normal"/>
              <w:widowControl w:val="0"/>
              <w:spacing w:before="80" w:beforeAutospacing="off" w:after="60" w:afterAutospacing="off"/>
              <w:jc w:val="center"/>
            </w:pPr>
            <w:r w:rsidR="341598FF">
              <w:rPr/>
              <w:t>33</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D7CA248" w14:textId="4226B2F2">
            <w:pPr>
              <w:pStyle w:val="Normal"/>
              <w:widowControl w:val="0"/>
              <w:spacing w:before="80" w:beforeAutospacing="off" w:after="60" w:afterAutospacing="off"/>
              <w:jc w:val="center"/>
            </w:pPr>
            <w:r w:rsidR="341598FF">
              <w:rPr/>
              <w:t>38</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FF101BC" w14:textId="1D5FAB3D">
            <w:pPr>
              <w:pStyle w:val="Normal"/>
              <w:widowControl w:val="0"/>
              <w:spacing w:before="80" w:beforeAutospacing="off" w:after="60" w:afterAutospacing="off"/>
              <w:jc w:val="center"/>
            </w:pPr>
            <w:r w:rsidR="341598FF">
              <w:rPr/>
              <w:t>25</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66ADCB1" w14:textId="53B3349D">
            <w:pPr>
              <w:pStyle w:val="Normal"/>
              <w:widowControl w:val="0"/>
              <w:spacing w:before="80" w:beforeAutospacing="off" w:after="60" w:afterAutospacing="off"/>
              <w:jc w:val="center"/>
            </w:pPr>
            <w:r w:rsidR="341598FF">
              <w:rPr/>
              <w:t>20</w:t>
            </w:r>
          </w:p>
        </w:tc>
      </w:tr>
      <w:tr w:rsidR="341598FF" w:rsidTr="341598FF" w14:paraId="42CDC510">
        <w:trPr>
          <w:trHeight w:val="300"/>
        </w:trPr>
        <w:tc>
          <w:tcPr>
            <w:tcW w:w="9900" w:type="dxa"/>
            <w:gridSpan w:val="5"/>
            <w:tcMar/>
          </w:tcPr>
          <w:p w:rsidR="341598FF" w:rsidP="341598FF" w:rsidRDefault="341598FF" w14:paraId="2366D1E8" w14:textId="392C377D">
            <w:pPr>
              <w:pStyle w:val="Normal"/>
              <w:jc w:val="center"/>
              <w:rPr>
                <w:noProof w:val="0"/>
                <w:sz w:val="18"/>
                <w:szCs w:val="18"/>
                <w:lang w:val="pt-BR"/>
              </w:rPr>
            </w:pPr>
          </w:p>
          <w:p w:rsidR="7C01A08E" w:rsidP="341598FF" w:rsidRDefault="7C01A08E" w14:paraId="2F6A7A60" w14:textId="55053A4E">
            <w:pPr>
              <w:pStyle w:val="Normal"/>
              <w:jc w:val="center"/>
              <w:rPr>
                <w:noProof w:val="0"/>
                <w:sz w:val="18"/>
                <w:szCs w:val="18"/>
                <w:lang w:val="pt-BR"/>
              </w:rPr>
            </w:pPr>
            <w:r w:rsidRPr="341598FF" w:rsidR="7C01A08E">
              <w:rPr>
                <w:noProof w:val="0"/>
                <w:sz w:val="18"/>
                <w:szCs w:val="18"/>
                <w:lang w:val="pt-BR"/>
              </w:rPr>
              <w:t xml:space="preserve">Tabela 2.4 apresenta o </w:t>
            </w:r>
            <w:r w:rsidRPr="341598FF" w:rsidR="7C01A08E">
              <w:rPr>
                <w:noProof w:val="0"/>
                <w:sz w:val="18"/>
                <w:szCs w:val="18"/>
                <w:lang w:val="pt-BR"/>
              </w:rPr>
              <w:t>ROI social d</w:t>
            </w:r>
            <w:r w:rsidRPr="341598FF" w:rsidR="7C01A08E">
              <w:rPr>
                <w:noProof w:val="0"/>
                <w:sz w:val="18"/>
                <w:szCs w:val="18"/>
                <w:lang w:val="pt-BR"/>
              </w:rPr>
              <w:t>os contratos. C</w:t>
            </w:r>
            <w:r w:rsidRPr="341598FF" w:rsidR="7C01A08E">
              <w:rPr>
                <w:noProof w:val="0"/>
                <w:sz w:val="18"/>
                <w:szCs w:val="18"/>
                <w:lang w:val="pt-BR"/>
              </w:rPr>
              <w:t>omparação entre modalidades contratuais e seus impactos sociais.</w:t>
            </w:r>
          </w:p>
          <w:p w:rsidR="7C01A08E" w:rsidP="341598FF" w:rsidRDefault="7C01A08E" w14:paraId="71039FC7" w14:textId="26F3F477">
            <w:pPr>
              <w:pStyle w:val="Normal"/>
              <w:jc w:val="center"/>
              <w:rPr>
                <w:noProof w:val="0"/>
                <w:sz w:val="18"/>
                <w:szCs w:val="18"/>
                <w:lang w:val="pt-BR"/>
              </w:rPr>
            </w:pPr>
            <w:r w:rsidRPr="341598FF" w:rsidR="7C01A08E">
              <w:rPr>
                <w:noProof w:val="0"/>
                <w:sz w:val="18"/>
                <w:szCs w:val="18"/>
                <w:lang w:val="pt-BR"/>
              </w:rPr>
              <w:t xml:space="preserve"> Fonte: </w:t>
            </w:r>
            <w:r w:rsidRPr="341598FF" w:rsidR="7C01A08E">
              <w:rPr>
                <w:noProof w:val="0"/>
                <w:sz w:val="18"/>
                <w:szCs w:val="18"/>
                <w:lang w:val="pt-BR"/>
              </w:rPr>
              <w:t>PwC</w:t>
            </w:r>
            <w:r w:rsidRPr="341598FF" w:rsidR="7C01A08E">
              <w:rPr>
                <w:noProof w:val="0"/>
                <w:sz w:val="18"/>
                <w:szCs w:val="18"/>
                <w:lang w:val="pt-BR"/>
              </w:rPr>
              <w:t xml:space="preserve"> (2020), McKinsey (2020).</w:t>
            </w:r>
          </w:p>
        </w:tc>
      </w:tr>
    </w:tbl>
    <w:p xmlns:wp14="http://schemas.microsoft.com/office/word/2010/wordml" w:rsidP="341598FF" wp14:paraId="7358A0B6" wp14:textId="17CC1875">
      <w:pPr>
        <w:pStyle w:val="Normal"/>
        <w:jc w:val="both"/>
        <w:rPr>
          <w:noProof w:val="0"/>
          <w:lang w:val="pt-BR"/>
        </w:rPr>
      </w:pPr>
    </w:p>
    <w:p xmlns:wp14="http://schemas.microsoft.com/office/word/2010/wordml" w:rsidP="341598FF" wp14:paraId="7796B42F" wp14:textId="6479685A">
      <w:pPr>
        <w:pStyle w:val="Normal"/>
        <w:jc w:val="both"/>
      </w:pPr>
      <w:r w:rsidRPr="341598FF" w:rsidR="4B569FDA">
        <w:rPr>
          <w:noProof w:val="0"/>
          <w:lang w:val="pt-BR"/>
        </w:rPr>
        <w:t>A Tabela 2.4 consolida os principais indicadores de ROI social por tipo de contrato, permitindo uma análise comparativa entre produtividade média, retenção de talentos, iniciativas de inovação e redução da rotatividade. Os contratos indeterminados lideram em todos os critérios, com destaque para a retenção (+32%) e inovação (+40%), evidenciando sua eficácia como instrumento estratégico de inclusão sustentável. O modelo de estágio também apresenta desempenho relevante, especialmente em programas voltados para jovens e pessoas com deficiência. Em contrapartida, os contratos determinados e intermitentes revelam menor impacto social, com indicadores abaixo de 25%, o que reforça a necessidade de políticas compensatórias. Este artefato serve como referência para gestores de RH avaliarem o retorno social de suas decisões contratuais, integrando métricas de desempenho organizacional às estratégias de diversidade e responsabilidade social.</w:t>
      </w:r>
    </w:p>
    <w:p xmlns:wp14="http://schemas.microsoft.com/office/word/2010/wordml" w:rsidP="341598FF" wp14:paraId="44A55B45" wp14:textId="2BA3E3CB">
      <w:pPr>
        <w:pStyle w:val="Normal"/>
        <w:bidi w:val="0"/>
        <w:jc w:val="both"/>
      </w:pPr>
      <w:r w:rsidRPr="341598FF" w:rsidR="10F29039">
        <w:rPr>
          <w:noProof w:val="0"/>
          <w:lang w:val="pt-BR"/>
        </w:rPr>
        <w:t>Os dados da Tabela 2.4 demonstram que contratos indeterminados e de estágio são os mais eficazes para promover inclusão sustentável. Já os contratos determinados e intermitentes apresentam ROI social inferior, reforçando a necessidade de políticas de mitigação.</w:t>
      </w:r>
    </w:p>
    <w:p xmlns:wp14="http://schemas.microsoft.com/office/word/2010/wordml" w:rsidP="341598FF" wp14:paraId="7836493C" wp14:textId="77E54BA9">
      <w:pPr>
        <w:pStyle w:val="Normal"/>
        <w:bidi w:val="0"/>
        <w:jc w:val="both"/>
      </w:pPr>
      <w:r w:rsidRPr="341598FF" w:rsidR="10F29039">
        <w:rPr>
          <w:noProof w:val="0"/>
          <w:lang w:val="pt-BR"/>
        </w:rPr>
        <w:t>O RH deve atuar como agente de mudança, integrando indicadores sociais às métricas tradicionais de desempenho. Isso significa que, além de avaliar custos e produtividade, os gestores devem considerar indicadores de mobilidade social e inclusão produtiva como parte de seus dashboards executivos.</w:t>
      </w:r>
    </w:p>
    <w:p xmlns:wp14="http://schemas.microsoft.com/office/word/2010/wordml" w:rsidP="341598FF" wp14:paraId="2CE399FA" wp14:textId="246CCAE0">
      <w:pPr>
        <w:pStyle w:val="Normal"/>
        <w:bidi w:val="0"/>
        <w:jc w:val="both"/>
      </w:pPr>
      <w:r w:rsidRPr="341598FF" w:rsidR="10F29039">
        <w:rPr>
          <w:noProof w:val="0"/>
          <w:lang w:val="pt-BR"/>
        </w:rPr>
        <w:t>Estudos de caso reforçam essa perspectiva. A empresa Natura, segundo relatório da Rede Empresarial de Inclusão Social (2021), estruturou programas de diversidade vinculados a contratos indeterminados e de estágio, resultando em maior inclusão de pessoas com deficiência e jovens em situação de vulnerabilidade.</w:t>
      </w:r>
    </w:p>
    <w:p xmlns:wp14="http://schemas.microsoft.com/office/word/2010/wordml" w:rsidP="341598FF" wp14:paraId="14654F4A" wp14:textId="152F9082">
      <w:pPr>
        <w:pStyle w:val="Normal"/>
        <w:bidi w:val="0"/>
        <w:jc w:val="both"/>
      </w:pPr>
      <w:r w:rsidRPr="341598FF" w:rsidR="10F29039">
        <w:rPr>
          <w:noProof w:val="0"/>
          <w:lang w:val="pt-BR"/>
        </w:rPr>
        <w:t>Outro exemplo é o Magazine Luiza, que implementou políticas de contratação voltadas para mulheres negras em contratos indeterminados. Segundo o Movimento Mulher 360 (2022), essa iniciativa resultou em aumento de 35% na representatividade feminina em cargos de liderança.</w:t>
      </w:r>
    </w:p>
    <w:p xmlns:wp14="http://schemas.microsoft.com/office/word/2010/wordml" w:rsidP="341598FF" wp14:paraId="2819E0A4" wp14:textId="6E8A89C6">
      <w:pPr>
        <w:pStyle w:val="Normal"/>
        <w:bidi w:val="0"/>
        <w:jc w:val="both"/>
      </w:pPr>
      <w:r w:rsidRPr="341598FF" w:rsidR="10F29039">
        <w:rPr>
          <w:noProof w:val="0"/>
          <w:lang w:val="pt-BR"/>
        </w:rPr>
        <w:t>Esses casos demonstram que o RH, ao alinhar modelos contratuais às estratégias de diversidade, pode transformar a cultura organizacional e gerar impacto social significativo.</w:t>
      </w:r>
    </w:p>
    <w:p xmlns:wp14="http://schemas.microsoft.com/office/word/2010/wordml" w:rsidP="341598FF" wp14:paraId="663F2AFB" wp14:textId="6E4F32D1">
      <w:pPr>
        <w:pStyle w:val="Normal"/>
        <w:bidi w:val="0"/>
        <w:jc w:val="both"/>
        <w:rPr>
          <w:noProof w:val="0"/>
          <w:lang w:val="pt-BR"/>
        </w:rPr>
      </w:pP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462F5660">
        <w:trPr>
          <w:trHeight w:val="300"/>
        </w:trPr>
        <w:tc>
          <w:tcPr>
            <w:tcW w:w="9900" w:type="dxa"/>
            <w:tcMar/>
          </w:tcPr>
          <w:p w:rsidR="4D7FBC15" w:rsidP="341598FF" w:rsidRDefault="4D7FBC15" w14:paraId="099F9531" w14:textId="6CB1283D">
            <w:pPr>
              <w:pStyle w:val="Normal"/>
              <w:bidi w:val="0"/>
              <w:jc w:val="center"/>
              <w:rPr>
                <w:noProof w:val="0"/>
                <w:lang w:val="pt-BR"/>
              </w:rPr>
            </w:pPr>
            <w:r w:rsidR="4D7FBC15">
              <w:drawing>
                <wp:inline wp14:editId="109A17FC" wp14:anchorId="5E07E209">
                  <wp:extent cx="3577549" cy="3577549"/>
                  <wp:effectExtent l="0" t="0" r="0" b="0"/>
                  <wp:docPr id="174622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6221644" name="Picture 17462216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092825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577549" cy="3577549"/>
                          </a:xfrm>
                          <a:prstGeom xmlns:a="http://schemas.openxmlformats.org/drawingml/2006/main" prst="rect">
                            <a:avLst xmlns:a="http://schemas.openxmlformats.org/drawingml/2006/main"/>
                          </a:prstGeom>
                        </pic:spPr>
                      </pic:pic>
                    </a:graphicData>
                  </a:graphic>
                </wp:inline>
              </w:drawing>
            </w:r>
          </w:p>
        </w:tc>
      </w:tr>
      <w:tr w:rsidR="341598FF" w:rsidTr="341598FF" w14:paraId="7864A4F4">
        <w:trPr>
          <w:trHeight w:val="300"/>
        </w:trPr>
        <w:tc>
          <w:tcPr>
            <w:tcW w:w="9900" w:type="dxa"/>
            <w:tcMar/>
          </w:tcPr>
          <w:p w:rsidR="341598FF" w:rsidP="341598FF" w:rsidRDefault="341598FF" w14:paraId="382F4F25" w14:textId="61F18D93">
            <w:pPr>
              <w:pStyle w:val="Normal"/>
              <w:bidi w:val="0"/>
              <w:jc w:val="center"/>
              <w:rPr>
                <w:noProof w:val="0"/>
                <w:sz w:val="18"/>
                <w:szCs w:val="18"/>
                <w:lang w:val="pt-BR"/>
              </w:rPr>
            </w:pPr>
          </w:p>
          <w:p w:rsidR="1806C9E1" w:rsidP="341598FF" w:rsidRDefault="1806C9E1" w14:paraId="31F3C4D2" w14:textId="16B8AD79">
            <w:pPr>
              <w:pStyle w:val="Normal"/>
              <w:bidi w:val="0"/>
              <w:jc w:val="center"/>
              <w:rPr>
                <w:noProof w:val="0"/>
                <w:sz w:val="18"/>
                <w:szCs w:val="18"/>
                <w:lang w:val="pt-BR"/>
              </w:rPr>
            </w:pPr>
            <w:r w:rsidRPr="341598FF" w:rsidR="1806C9E1">
              <w:rPr>
                <w:noProof w:val="0"/>
                <w:sz w:val="18"/>
                <w:szCs w:val="18"/>
                <w:lang w:val="pt-BR"/>
              </w:rPr>
              <w:t>Figura 2.4 – Matriz de impacto social por tipo de contrato</w:t>
            </w:r>
            <w:r w:rsidRPr="341598FF" w:rsidR="7EDBAD18">
              <w:rPr>
                <w:noProof w:val="0"/>
                <w:sz w:val="18"/>
                <w:szCs w:val="18"/>
                <w:lang w:val="pt-BR"/>
              </w:rPr>
              <w:t xml:space="preserve">. </w:t>
            </w:r>
            <w:r w:rsidRPr="341598FF" w:rsidR="1806C9E1">
              <w:rPr>
                <w:noProof w:val="0"/>
                <w:sz w:val="18"/>
                <w:szCs w:val="18"/>
                <w:lang w:val="pt-BR"/>
              </w:rPr>
              <w:t>Avaliação dos impactos sociais por modalidade contratual.</w:t>
            </w:r>
          </w:p>
          <w:p w:rsidR="1806C9E1" w:rsidP="341598FF" w:rsidRDefault="1806C9E1" w14:paraId="4DDDF3C4" w14:textId="3C33139C">
            <w:pPr>
              <w:pStyle w:val="Normal"/>
              <w:bidi w:val="0"/>
              <w:jc w:val="center"/>
              <w:rPr>
                <w:noProof w:val="0"/>
                <w:sz w:val="18"/>
                <w:szCs w:val="18"/>
                <w:lang w:val="pt-BR"/>
              </w:rPr>
            </w:pPr>
            <w:r w:rsidRPr="341598FF" w:rsidR="1806C9E1">
              <w:rPr>
                <w:noProof w:val="0"/>
                <w:sz w:val="18"/>
                <w:szCs w:val="18"/>
                <w:lang w:val="pt-BR"/>
              </w:rPr>
              <w:t xml:space="preserve"> Fonte: Instituto Ethos (2022), CEERT (2021).</w:t>
            </w:r>
          </w:p>
        </w:tc>
      </w:tr>
    </w:tbl>
    <w:p xmlns:wp14="http://schemas.microsoft.com/office/word/2010/wordml" w:rsidP="341598FF" wp14:paraId="5BC65E51" wp14:textId="3B583005">
      <w:pPr>
        <w:pStyle w:val="Normal"/>
        <w:bidi w:val="0"/>
        <w:jc w:val="both"/>
        <w:rPr>
          <w:noProof w:val="0"/>
          <w:lang w:val="pt-BR"/>
        </w:rPr>
      </w:pPr>
    </w:p>
    <w:p xmlns:wp14="http://schemas.microsoft.com/office/word/2010/wordml" w:rsidP="341598FF" wp14:paraId="68AA71FB" wp14:textId="3F3C2DC2">
      <w:pPr>
        <w:pStyle w:val="Normal"/>
        <w:bidi w:val="0"/>
        <w:jc w:val="both"/>
      </w:pPr>
      <w:r w:rsidRPr="341598FF" w:rsidR="614608BE">
        <w:rPr>
          <w:noProof w:val="0"/>
          <w:lang w:val="pt-BR"/>
        </w:rPr>
        <w:t>A Figura 2.4 apresenta uma Matriz de Impacto Social por Tipo de Contrato, estruturada em dois eixos principais: mobilidade social (horizontal) e inclusão produtiva (vertical). O artefato posiciona os quatro principais modelos contratuais – indeterminado, determinado, intermitente e estágio – em quadrantes que refletem seus efeitos sobre a redução da informalidade e a promoção da equidade. Contratos indeterminados ocupam o quadrante superior direito, indicando alto impacto em inclusão e mobilidade, sendo considerados os mais eficazes para promover justiça social. O modelo de estágio, embora com menor mobilidade, apresenta alta inclusão produtiva, especialmente em programas voltados para jovens e pessoas com deficiência. Já os contratos determinados e intermitentes revelam impactos sociais mais limitados, com destaque negativo para o intermitente, que se posiciona no quadrante de menor inclusão e mobilidade. Este artefato serve como ferramenta analítica para gestores de RH e pesquisadores avaliarem os efeitos sociais das escolhas contratuais, integrando critérios de equidade, estabilidade e responsabilidade institucional.</w:t>
      </w:r>
    </w:p>
    <w:p xmlns:wp14="http://schemas.microsoft.com/office/word/2010/wordml" w:rsidP="341598FF" wp14:paraId="07E7C6B1" wp14:textId="65D72A9E">
      <w:pPr>
        <w:pStyle w:val="Normal"/>
        <w:bidi w:val="0"/>
        <w:jc w:val="both"/>
      </w:pPr>
      <w:r w:rsidRPr="341598FF" w:rsidR="10F29039">
        <w:rPr>
          <w:noProof w:val="0"/>
          <w:lang w:val="pt-BR"/>
        </w:rPr>
        <w:t>A matriz evidencia que contratos indeterminados e de estágio concentram impactos positivos elevados, enquanto contratos intermitentes apresentam impactos baixos, exigindo políticas complementares de inclusão.</w:t>
      </w:r>
    </w:p>
    <w:p xmlns:wp14="http://schemas.microsoft.com/office/word/2010/wordml" w:rsidP="341598FF" wp14:paraId="10166EAC" wp14:textId="403AC309">
      <w:pPr>
        <w:pStyle w:val="Normal"/>
        <w:bidi w:val="0"/>
        <w:jc w:val="both"/>
      </w:pPr>
      <w:r w:rsidRPr="341598FF" w:rsidR="10F29039">
        <w:rPr>
          <w:noProof w:val="0"/>
          <w:lang w:val="pt-BR"/>
        </w:rPr>
        <w:t>Do ponto de vista regulatório, o Ministério Público do Trabalho (MPT) tem reforçado a importância de vínculos formais para combater a precarização. Relatórios do MPT (2021) destacam que contratos indeterminados são fundamentais para garantir direitos trabalhistas e reduzir práticas discriminatórias.</w:t>
      </w:r>
    </w:p>
    <w:p xmlns:wp14="http://schemas.microsoft.com/office/word/2010/wordml" w:rsidP="341598FF" wp14:paraId="71548F03" wp14:textId="337BBADB">
      <w:pPr>
        <w:pStyle w:val="Normal"/>
        <w:bidi w:val="0"/>
        <w:jc w:val="both"/>
      </w:pPr>
      <w:r w:rsidRPr="341598FF" w:rsidR="10F29039">
        <w:rPr>
          <w:noProof w:val="0"/>
          <w:lang w:val="pt-BR"/>
        </w:rPr>
        <w:t>O RH deve, portanto, adotar frameworks de decisão que integrem indicadores sociais e regulatórios. Isso significa que a escolha de modelos contratuais deve considerar não apenas a legislação vigente, mas também os impactos sociais e reputacionais.</w:t>
      </w:r>
    </w:p>
    <w:tbl>
      <w:tblPr>
        <w:tblStyle w:val="TableGrid"/>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0C796D69">
        <w:trPr>
          <w:trHeight w:val="300"/>
        </w:trPr>
        <w:tc>
          <w:tcPr>
            <w:tcW w:w="9900" w:type="dxa"/>
            <w:tcMar/>
          </w:tcPr>
          <w:p w:rsidR="61E8802C" w:rsidP="341598FF" w:rsidRDefault="61E8802C" w14:paraId="500794C8" w14:textId="3CD89E29">
            <w:pPr>
              <w:pStyle w:val="Normal"/>
              <w:widowControl w:val="0"/>
              <w:bidi w:val="0"/>
              <w:jc w:val="both"/>
              <w:rPr>
                <w:noProof w:val="0"/>
                <w:lang w:val="pt-BR"/>
              </w:rPr>
            </w:pPr>
            <w:r w:rsidR="61E8802C">
              <w:drawing>
                <wp:inline wp14:editId="34F57A13" wp14:anchorId="195D8648">
                  <wp:extent cx="6143625" cy="6143625"/>
                  <wp:effectExtent l="0" t="0" r="0" b="0"/>
                  <wp:docPr id="894923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4923098" name="Picture 8949230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321534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341598FF" w:rsidTr="341598FF" w14:paraId="3F31B194">
        <w:trPr>
          <w:trHeight w:val="300"/>
        </w:trPr>
        <w:tc>
          <w:tcPr>
            <w:tcW w:w="9900" w:type="dxa"/>
            <w:tcMar/>
          </w:tcPr>
          <w:p w:rsidR="61E8802C" w:rsidP="341598FF" w:rsidRDefault="61E8802C" w14:paraId="01C48A80" w14:textId="2FDF8311">
            <w:pPr>
              <w:pStyle w:val="Normal"/>
              <w:widowControl w:val="0"/>
              <w:bidi w:val="0"/>
              <w:jc w:val="center"/>
              <w:rPr>
                <w:noProof w:val="0"/>
                <w:sz w:val="18"/>
                <w:szCs w:val="18"/>
                <w:lang w:val="pt-BR"/>
              </w:rPr>
            </w:pPr>
            <w:r w:rsidRPr="341598FF" w:rsidR="61E8802C">
              <w:rPr>
                <w:noProof w:val="0"/>
                <w:sz w:val="18"/>
                <w:szCs w:val="18"/>
                <w:lang w:val="pt-BR"/>
              </w:rPr>
              <w:t>Figura 2.5 – Framework de decisão para inclusão contratual</w:t>
            </w:r>
            <w:r w:rsidRPr="341598FF" w:rsidR="6CA01F82">
              <w:rPr>
                <w:noProof w:val="0"/>
                <w:sz w:val="18"/>
                <w:szCs w:val="18"/>
                <w:lang w:val="pt-BR"/>
              </w:rPr>
              <w:t xml:space="preserve">. </w:t>
            </w:r>
            <w:r w:rsidRPr="341598FF" w:rsidR="61E8802C">
              <w:rPr>
                <w:noProof w:val="0"/>
                <w:sz w:val="18"/>
                <w:szCs w:val="18"/>
                <w:lang w:val="pt-BR"/>
              </w:rPr>
              <w:t>Critérios de decisão para adoção de modelos contratuais inclusivos.</w:t>
            </w:r>
          </w:p>
          <w:p w:rsidR="61E8802C" w:rsidP="341598FF" w:rsidRDefault="61E8802C" w14:paraId="2050810B" w14:textId="33D2B019">
            <w:pPr>
              <w:pStyle w:val="Normal"/>
              <w:widowControl w:val="0"/>
              <w:bidi w:val="0"/>
              <w:jc w:val="center"/>
              <w:rPr>
                <w:noProof w:val="0"/>
                <w:sz w:val="18"/>
                <w:szCs w:val="18"/>
                <w:lang w:val="pt-BR"/>
              </w:rPr>
            </w:pPr>
            <w:r w:rsidRPr="341598FF" w:rsidR="61E8802C">
              <w:rPr>
                <w:noProof w:val="0"/>
                <w:sz w:val="18"/>
                <w:szCs w:val="18"/>
                <w:lang w:val="pt-BR"/>
              </w:rPr>
              <w:t xml:space="preserve"> Fonte: </w:t>
            </w:r>
            <w:r w:rsidRPr="341598FF" w:rsidR="61E8802C">
              <w:rPr>
                <w:noProof w:val="0"/>
                <w:sz w:val="18"/>
                <w:szCs w:val="18"/>
                <w:lang w:val="pt-BR"/>
              </w:rPr>
              <w:t>PwC</w:t>
            </w:r>
            <w:r w:rsidRPr="341598FF" w:rsidR="61E8802C">
              <w:rPr>
                <w:noProof w:val="0"/>
                <w:sz w:val="18"/>
                <w:szCs w:val="18"/>
                <w:lang w:val="pt-BR"/>
              </w:rPr>
              <w:t xml:space="preserve"> (2020), Deloitte (2022).</w:t>
            </w:r>
          </w:p>
        </w:tc>
      </w:tr>
    </w:tbl>
    <w:p xmlns:wp14="http://schemas.microsoft.com/office/word/2010/wordml" w:rsidP="341598FF" wp14:paraId="02370260" wp14:textId="6B57E006">
      <w:pPr>
        <w:pStyle w:val="Normal"/>
        <w:bidi w:val="0"/>
        <w:jc w:val="both"/>
        <w:rPr>
          <w:noProof w:val="0"/>
          <w:lang w:val="pt-BR"/>
        </w:rPr>
      </w:pPr>
    </w:p>
    <w:p xmlns:wp14="http://schemas.microsoft.com/office/word/2010/wordml" w:rsidP="341598FF" wp14:paraId="39E4334B" wp14:textId="7790A04D">
      <w:pPr>
        <w:pStyle w:val="Normal"/>
        <w:bidi w:val="0"/>
        <w:jc w:val="both"/>
      </w:pPr>
      <w:r w:rsidRPr="341598FF" w:rsidR="61E8802C">
        <w:rPr>
          <w:noProof w:val="0"/>
          <w:lang w:val="pt-BR"/>
        </w:rPr>
        <w:t>A Figura 2.5 apresenta um Framework de Decisão para Inclusão Contratual, estruturado em formato de fluxograma executivo que consolida os principais critérios estratégicos para adoção de modelos contratuais inclusivos. Os três blocos superiores representam os pilares decisórios: ROI social, compliance regulatório e impacto em diversidade. A partir desses critérios, o artefato conecta visualmente os quatro principais tipos de contrato – indeterminado, determinado, estágio e intermitente – permitindo que gestores de RH avaliem qual modalidade oferece maior alinhamento com metas de equidade e responsabilidade social. O modelo indeterminado aparece como o mais compatível com todos os critérios, enquanto o contrato intermitente exige atenção especial por apresentar menor aderência aos indicadores de inclusão. Este framework funciona como uma ferramenta prática para orientar decisões contratuais com base em dados e critérios ESG, fortalecendo a atuação do RH como agente de transformação organizacional.</w:t>
      </w:r>
    </w:p>
    <w:p xmlns:wp14="http://schemas.microsoft.com/office/word/2010/wordml" w:rsidP="341598FF" wp14:paraId="08FBCC16" wp14:textId="3711ACBB">
      <w:pPr>
        <w:pStyle w:val="Normal"/>
        <w:bidi w:val="0"/>
        <w:jc w:val="both"/>
      </w:pPr>
      <w:r w:rsidRPr="341598FF" w:rsidR="10F29039">
        <w:rPr>
          <w:noProof w:val="0"/>
          <w:lang w:val="pt-BR"/>
        </w:rPr>
        <w:t>Esse framework auxilia gestores de RH a avaliar diferentes modalidades contratuais sob a ótica da inclusão sustentável, permitindo decisões mais estratégicas e alinhadas às metas corporativas.</w:t>
      </w:r>
    </w:p>
    <w:p xmlns:wp14="http://schemas.microsoft.com/office/word/2010/wordml" w:rsidP="341598FF" wp14:paraId="17802694" wp14:textId="79211129">
      <w:pPr>
        <w:pStyle w:val="Normal"/>
        <w:bidi w:val="0"/>
        <w:jc w:val="both"/>
      </w:pPr>
      <w:r w:rsidRPr="341598FF" w:rsidR="10F29039">
        <w:rPr>
          <w:noProof w:val="0"/>
          <w:lang w:val="pt-BR"/>
        </w:rPr>
        <w:t>Do ponto de vista de benchmarking, relatório da McKinsey (2020) indica que empresas que priorizam contratos indeterminados em programas de diversidade apresentam até 25% mais chances de superar a média de lucratividade de seus pares. Esse dado reforça a correlação entre inclusão e performance organizacional.</w:t>
      </w:r>
    </w:p>
    <w:p xmlns:wp14="http://schemas.microsoft.com/office/word/2010/wordml" w:rsidP="341598FF" wp14:paraId="37D49D8D" wp14:textId="13486F19">
      <w:pPr>
        <w:pStyle w:val="Normal"/>
        <w:bidi w:val="0"/>
        <w:jc w:val="both"/>
      </w:pPr>
      <w:r w:rsidRPr="341598FF" w:rsidR="10F29039">
        <w:rPr>
          <w:noProof w:val="0"/>
          <w:lang w:val="pt-BR"/>
        </w:rPr>
        <w:t>Em síntese, o impacto social dos modelos contratuais é significativo e deve ser considerado como parte integrante da estratégia corporativa. O RH, ao adotar vínculos inclusivos, fortalece a reputação institucional e contribui para a transformação organizacional.</w:t>
      </w:r>
    </w:p>
    <w:p xmlns:wp14="http://schemas.microsoft.com/office/word/2010/wordml" w:rsidP="341598FF" wp14:paraId="7060158A" wp14:textId="10B35972">
      <w:pPr>
        <w:pStyle w:val="Normal"/>
        <w:bidi w:val="0"/>
        <w:jc w:val="both"/>
      </w:pPr>
      <w:r w:rsidRPr="341598FF" w:rsidR="10F29039">
        <w:rPr>
          <w:noProof w:val="0"/>
          <w:lang w:val="pt-BR"/>
        </w:rPr>
        <w:t>As implicações práticas para gestores incluem a necessidade de integrar indicadores sociais aos dashboards de RH, adotar frameworks de decisão inclusivos e priorizar contratos indeterminados e de estágio em programas de diversidade.</w:t>
      </w:r>
    </w:p>
    <w:p xmlns:wp14="http://schemas.microsoft.com/office/word/2010/wordml" w:rsidP="341598FF" wp14:paraId="3471428B" wp14:textId="3EC135CA">
      <w:pPr>
        <w:bidi w:val="0"/>
        <w:jc w:val="both"/>
      </w:pPr>
    </w:p>
    <w:p xmlns:wp14="http://schemas.microsoft.com/office/word/2010/wordml" w:rsidP="341598FF" wp14:paraId="5F9AC7F0" wp14:textId="586CB0A4">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22BD214D" wp14:textId="6EA05203">
      <w:r>
        <w:br w:type="page"/>
      </w:r>
    </w:p>
    <w:p xmlns:wp14="http://schemas.microsoft.com/office/word/2010/wordml" w:rsidP="341598FF" wp14:paraId="7AF1BD39" wp14:textId="1FC3CB70">
      <w:pPr>
        <w:pStyle w:val="Heading1"/>
        <w:rPr>
          <w:rFonts w:ascii="Aptos" w:hAnsi="Aptos" w:eastAsia="Aptos" w:cs="Aptos"/>
          <w:b w:val="1"/>
          <w:bCs w:val="1"/>
          <w:noProof w:val="0"/>
          <w:sz w:val="36"/>
          <w:szCs w:val="36"/>
          <w:lang w:val="pt-BR"/>
        </w:rPr>
      </w:pPr>
      <w:bookmarkStart w:name="_Toc46155079" w:id="1158381747"/>
      <w:bookmarkStart w:name="_Toc1844198317" w:id="778374339"/>
      <w:r w:rsidRPr="341598FF" w:rsidR="4D14901B">
        <w:rPr>
          <w:noProof w:val="0"/>
          <w:lang w:val="pt-BR"/>
        </w:rPr>
        <w:t>Equidade e Retenção de Talentos</w:t>
      </w:r>
      <w:bookmarkEnd w:id="1158381747"/>
      <w:bookmarkEnd w:id="778374339"/>
      <w:r w:rsidRPr="341598FF" w:rsidR="4D14901B">
        <w:rPr>
          <w:noProof w:val="0"/>
          <w:lang w:val="pt-BR"/>
        </w:rPr>
        <w:t xml:space="preserve"> </w:t>
      </w:r>
    </w:p>
    <w:p xmlns:wp14="http://schemas.microsoft.com/office/word/2010/wordml" w:rsidP="341598FF" wp14:paraId="65ABA15D" wp14:textId="16F66BE5">
      <w:pPr>
        <w:spacing w:before="240" w:beforeAutospacing="off" w:after="240" w:afterAutospacing="off"/>
        <w:jc w:val="both"/>
      </w:pPr>
      <w:r w:rsidRPr="341598FF" w:rsidR="5352307F">
        <w:rPr>
          <w:rFonts w:ascii="Aptos" w:hAnsi="Aptos" w:eastAsia="Aptos" w:cs="Aptos"/>
          <w:noProof w:val="0"/>
          <w:sz w:val="24"/>
          <w:szCs w:val="24"/>
          <w:lang w:val="pt-BR"/>
        </w:rPr>
        <w:t>De que forma os contratos indeterminados contribuem para a equidade e a retenção de talentos em programas de diversidade, e quais são as implicações práticas para gestores de RH?</w:t>
      </w:r>
    </w:p>
    <w:p xmlns:wp14="http://schemas.microsoft.com/office/word/2010/wordml" w:rsidP="341598FF" wp14:paraId="20EFF537" wp14:textId="5FB98804">
      <w:pPr>
        <w:pStyle w:val="Heading3"/>
        <w:rPr>
          <w:noProof w:val="0"/>
          <w:lang w:val="pt-BR"/>
        </w:rPr>
      </w:pPr>
    </w:p>
    <w:p xmlns:wp14="http://schemas.microsoft.com/office/word/2010/wordml" w:rsidP="341598FF" wp14:paraId="2F46BAB2" wp14:textId="2365A603">
      <w:pPr>
        <w:pStyle w:val="Heading2"/>
        <w:rPr>
          <w:rFonts w:ascii="Aptos" w:hAnsi="Aptos" w:eastAsia="Aptos" w:cs="Aptos"/>
          <w:b w:val="1"/>
          <w:bCs w:val="1"/>
          <w:noProof w:val="0"/>
          <w:sz w:val="36"/>
          <w:szCs w:val="36"/>
          <w:lang w:val="pt-BR"/>
        </w:rPr>
      </w:pPr>
      <w:bookmarkStart w:name="_Toc1952711539" w:id="275682066"/>
      <w:bookmarkStart w:name="_Toc1805615205" w:id="1664541043"/>
      <w:r w:rsidRPr="341598FF" w:rsidR="4D14901B">
        <w:rPr>
          <w:noProof w:val="0"/>
          <w:lang w:val="pt-BR"/>
        </w:rPr>
        <w:t>Como contratos indeterminados fortalecem programas de diversidade</w:t>
      </w:r>
      <w:bookmarkEnd w:id="275682066"/>
      <w:bookmarkEnd w:id="1664541043"/>
    </w:p>
    <w:p xmlns:wp14="http://schemas.microsoft.com/office/word/2010/wordml" w:rsidP="341598FF" wp14:paraId="5270C628" wp14:textId="038EC0B4">
      <w:pPr>
        <w:pStyle w:val="Normal"/>
        <w:jc w:val="both"/>
        <w:rPr>
          <w:noProof w:val="0"/>
          <w:lang w:val="pt-BR"/>
        </w:rPr>
      </w:pPr>
      <w:r w:rsidRPr="341598FF" w:rsidR="4D14901B">
        <w:rPr>
          <w:noProof w:val="0"/>
          <w:lang w:val="pt-BR"/>
        </w:rPr>
        <w:t>Os contratos indeterminados, por sua natureza estável, oferecem condições favoráveis para a retenção de talentos em programas de diversida</w:t>
      </w:r>
      <w:r w:rsidRPr="341598FF" w:rsidR="4D14901B">
        <w:rPr>
          <w:noProof w:val="0"/>
          <w:lang w:val="pt-BR"/>
        </w:rPr>
        <w:t>de.</w:t>
      </w:r>
      <w:r w:rsidRPr="341598FF" w:rsidR="4D14901B">
        <w:rPr>
          <w:noProof w:val="0"/>
          <w:lang w:val="pt-BR"/>
        </w:rPr>
        <w:t xml:space="preserve"> A previsibilidade e a segurança jurídica associadas a esse modelo criam um ambiente de confiança, essencial para grupos </w:t>
      </w:r>
      <w:r w:rsidRPr="341598FF" w:rsidR="4D14901B">
        <w:rPr>
          <w:noProof w:val="0"/>
          <w:lang w:val="pt-BR"/>
        </w:rPr>
        <w:t>minorizados</w:t>
      </w:r>
      <w:r w:rsidRPr="341598FF" w:rsidR="4D14901B">
        <w:rPr>
          <w:noProof w:val="0"/>
          <w:lang w:val="pt-BR"/>
        </w:rPr>
        <w:t xml:space="preserve"> que historicamente enfrentaram maior vulnerabilidade no mercado de trabalho.</w:t>
      </w:r>
    </w:p>
    <w:p xmlns:wp14="http://schemas.microsoft.com/office/word/2010/wordml" w:rsidP="341598FF" wp14:paraId="04BF2EAF" wp14:textId="1D4128BD">
      <w:pPr>
        <w:pStyle w:val="Normal"/>
        <w:jc w:val="both"/>
        <w:rPr>
          <w:noProof w:val="0"/>
          <w:lang w:val="pt-BR"/>
        </w:rPr>
      </w:pPr>
      <w:r w:rsidRPr="341598FF" w:rsidR="4D14901B">
        <w:rPr>
          <w:noProof w:val="0"/>
          <w:lang w:val="pt-BR"/>
        </w:rPr>
        <w:t xml:space="preserve">Segundo relatório da McKinsey &amp; </w:t>
      </w:r>
      <w:r w:rsidRPr="341598FF" w:rsidR="4D14901B">
        <w:rPr>
          <w:noProof w:val="0"/>
          <w:lang w:val="pt-BR"/>
        </w:rPr>
        <w:t>Company</w:t>
      </w:r>
      <w:r w:rsidRPr="341598FF" w:rsidR="4D14901B">
        <w:rPr>
          <w:noProof w:val="0"/>
          <w:lang w:val="pt-BR"/>
        </w:rPr>
        <w:t xml:space="preserve"> (2020), empresas que adotam vínculos indeterminados em programas de diversidade apresentam taxas de re</w:t>
      </w:r>
      <w:r w:rsidRPr="341598FF" w:rsidR="4D14901B">
        <w:rPr>
          <w:noProof w:val="0"/>
          <w:lang w:val="pt-BR"/>
        </w:rPr>
        <w:t>tenção at</w:t>
      </w:r>
      <w:r w:rsidRPr="341598FF" w:rsidR="4D14901B">
        <w:rPr>
          <w:noProof w:val="0"/>
          <w:lang w:val="pt-BR"/>
        </w:rPr>
        <w:t>é 30% superiores em comparação com aquelas que utilizam contratos temporários. Esse dado evidencia a correlação direta entre estabilidade contratual e engajamento de profissionais diversos.</w:t>
      </w:r>
    </w:p>
    <w:p xmlns:wp14="http://schemas.microsoft.com/office/word/2010/wordml" w:rsidP="341598FF" wp14:paraId="420265CF" wp14:textId="1C0D4DBA">
      <w:pPr>
        <w:pStyle w:val="Normal"/>
        <w:jc w:val="both"/>
        <w:rPr>
          <w:noProof w:val="0"/>
          <w:lang w:val="pt-BR"/>
        </w:rPr>
      </w:pPr>
      <w:r w:rsidRPr="341598FF" w:rsidR="4D14901B">
        <w:rPr>
          <w:noProof w:val="0"/>
          <w:lang w:val="pt-BR"/>
        </w:rPr>
        <w:t xml:space="preserve">A equidade é fortalecida quando os contratos indeterminados são aplicados de forma estratégica. Funcionários pertencentes a grupos </w:t>
      </w:r>
      <w:r w:rsidRPr="341598FF" w:rsidR="4D14901B">
        <w:rPr>
          <w:noProof w:val="0"/>
          <w:lang w:val="pt-BR"/>
        </w:rPr>
        <w:t>minorizados</w:t>
      </w:r>
      <w:r w:rsidRPr="341598FF" w:rsidR="4D14901B">
        <w:rPr>
          <w:noProof w:val="0"/>
          <w:lang w:val="pt-BR"/>
        </w:rPr>
        <w:t>, como mul</w:t>
      </w:r>
      <w:r w:rsidRPr="341598FF" w:rsidR="4D14901B">
        <w:rPr>
          <w:noProof w:val="0"/>
          <w:lang w:val="pt-BR"/>
        </w:rPr>
        <w:t>heres, pes</w:t>
      </w:r>
      <w:r w:rsidRPr="341598FF" w:rsidR="4D14901B">
        <w:rPr>
          <w:noProof w:val="0"/>
          <w:lang w:val="pt-BR"/>
        </w:rPr>
        <w:t>soas negras e pessoas com deficiência, tendem a valorizar vínculos que lhes garantem maior previsibilidade de carreira. Isso contribui para reduzir desigualdades e ampliar oportunidades de ascensão profissional.</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4781D870">
        <w:trPr>
          <w:trHeight w:val="300"/>
        </w:trPr>
        <w:tc>
          <w:tcPr>
            <w:tcW w:w="9900" w:type="dxa"/>
            <w:tcMar/>
          </w:tcPr>
          <w:p w:rsidR="5B0E1461" w:rsidP="341598FF" w:rsidRDefault="5B0E1461" w14:paraId="12BFE0E1" w14:textId="1A91E6DE">
            <w:pPr>
              <w:pStyle w:val="Normal"/>
              <w:jc w:val="both"/>
              <w:rPr>
                <w:noProof w:val="0"/>
                <w:lang w:val="pt-BR"/>
              </w:rPr>
            </w:pPr>
            <w:r w:rsidR="5B0E1461">
              <w:drawing>
                <wp:inline wp14:editId="2FAAC1DD" wp14:anchorId="2341659A">
                  <wp:extent cx="6143625" cy="6143625"/>
                  <wp:effectExtent l="0" t="0" r="0" b="0"/>
                  <wp:docPr id="1145178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5178250" name="Picture 114517825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289827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341598FF" w:rsidTr="341598FF" w14:paraId="68C601C6">
        <w:trPr>
          <w:trHeight w:val="300"/>
        </w:trPr>
        <w:tc>
          <w:tcPr>
            <w:tcW w:w="9900" w:type="dxa"/>
            <w:tcMar/>
          </w:tcPr>
          <w:p w:rsidR="31CC4C1D" w:rsidP="341598FF" w:rsidRDefault="31CC4C1D" w14:paraId="237EEF06" w14:textId="31CAA576">
            <w:pPr>
              <w:pStyle w:val="Normal"/>
              <w:jc w:val="center"/>
              <w:rPr>
                <w:noProof w:val="0"/>
                <w:sz w:val="18"/>
                <w:szCs w:val="18"/>
                <w:lang w:val="pt-BR"/>
              </w:rPr>
            </w:pPr>
            <w:r w:rsidRPr="341598FF" w:rsidR="31CC4C1D">
              <w:rPr>
                <w:noProof w:val="0"/>
                <w:sz w:val="18"/>
                <w:szCs w:val="18"/>
                <w:lang w:val="pt-BR"/>
              </w:rPr>
              <w:t>Figura 2.5 – Gráfico de retenção por grupo social e tipo de contrato</w:t>
            </w:r>
            <w:r w:rsidRPr="341598FF" w:rsidR="106572C9">
              <w:rPr>
                <w:noProof w:val="0"/>
                <w:sz w:val="18"/>
                <w:szCs w:val="18"/>
                <w:lang w:val="pt-BR"/>
              </w:rPr>
              <w:t xml:space="preserve">. </w:t>
            </w:r>
            <w:r w:rsidRPr="341598FF" w:rsidR="31CC4C1D">
              <w:rPr>
                <w:noProof w:val="0"/>
                <w:sz w:val="18"/>
                <w:szCs w:val="18"/>
                <w:lang w:val="pt-BR"/>
              </w:rPr>
              <w:t>Taxas de retenção por grupo social em diferentes modalidades contratuais.</w:t>
            </w:r>
          </w:p>
          <w:p w:rsidR="31CC4C1D" w:rsidP="341598FF" w:rsidRDefault="31CC4C1D" w14:paraId="036422D6" w14:textId="6280C793">
            <w:pPr>
              <w:pStyle w:val="Normal"/>
              <w:jc w:val="center"/>
              <w:rPr>
                <w:noProof w:val="0"/>
                <w:sz w:val="18"/>
                <w:szCs w:val="18"/>
                <w:lang w:val="pt-BR"/>
              </w:rPr>
            </w:pPr>
            <w:r w:rsidRPr="341598FF" w:rsidR="31CC4C1D">
              <w:rPr>
                <w:noProof w:val="0"/>
                <w:sz w:val="18"/>
                <w:szCs w:val="18"/>
                <w:lang w:val="pt-BR"/>
              </w:rPr>
              <w:t xml:space="preserve"> Fonte: Deloitte (2022), Instituto Ethos (2021).</w:t>
            </w:r>
          </w:p>
        </w:tc>
      </w:tr>
    </w:tbl>
    <w:p xmlns:wp14="http://schemas.microsoft.com/office/word/2010/wordml" w:rsidP="341598FF" wp14:paraId="66BD5790" wp14:textId="7AA81882">
      <w:pPr>
        <w:pStyle w:val="Normal"/>
        <w:bidi w:val="0"/>
        <w:jc w:val="both"/>
        <w:rPr>
          <w:noProof w:val="0"/>
          <w:lang w:val="pt-BR"/>
        </w:rPr>
      </w:pPr>
    </w:p>
    <w:p xmlns:wp14="http://schemas.microsoft.com/office/word/2010/wordml" w:rsidP="341598FF" wp14:paraId="4551FDE6" wp14:textId="63904363">
      <w:pPr>
        <w:pStyle w:val="Normal"/>
        <w:jc w:val="both"/>
      </w:pPr>
      <w:r w:rsidRPr="341598FF" w:rsidR="6F775529">
        <w:rPr>
          <w:noProof w:val="0"/>
          <w:lang w:val="pt-BR"/>
        </w:rPr>
        <w:t>A Figura 2.5 apresenta um gráfico de barras horizontais que compara as taxas de retenção de talentos entre diferentes grupos sociais — mulheres, pessoas negras, pessoas com deficiência e jovens — em quatro modalidades contratuais: indeterminado, determinado, estágio e intermitente. O artefato evidencia que os contratos indeterminados oferecem os maiores índices de permanência para todos os grupos analisados, com destaque para mulheres (70%) e jovens (65%). O modelo de estágio também apresenta desempenho expressivo entre jovens (70%) e pessoas com deficiência (50%), reforçando seu papel como porta de entrada para inclusão produtiva. Em contrapartida, os contratos intermitentes apresentam os menores índices de retenção, especialmente entre pessoas negras (30%) e jovens (40%), sinalizando vulnerabilidade e risco de rotatividade. Este gráfico funciona como uma ferramenta estratégica para gestores de RH avaliarem o impacto dos vínculos contratuais na permanência de profissionais diversos, orientando decisões alinhadas às metas de equidade e sustentabilidade organizacional.</w:t>
      </w:r>
    </w:p>
    <w:p xmlns:wp14="http://schemas.microsoft.com/office/word/2010/wordml" w:rsidP="341598FF" wp14:paraId="01938AC8" wp14:textId="3B3AC7AE">
      <w:pPr>
        <w:pStyle w:val="Normal"/>
        <w:jc w:val="both"/>
        <w:rPr>
          <w:noProof w:val="0"/>
          <w:lang w:val="pt-BR"/>
        </w:rPr>
      </w:pPr>
      <w:r w:rsidRPr="341598FF" w:rsidR="4D14901B">
        <w:rPr>
          <w:noProof w:val="0"/>
          <w:lang w:val="pt-BR"/>
        </w:rPr>
        <w:t>O gráfico evidencia que contratos in</w:t>
      </w:r>
      <w:r w:rsidRPr="341598FF" w:rsidR="4D14901B">
        <w:rPr>
          <w:noProof w:val="0"/>
          <w:lang w:val="pt-BR"/>
        </w:rPr>
        <w:t>determinad</w:t>
      </w:r>
      <w:r w:rsidRPr="341598FF" w:rsidR="4D14901B">
        <w:rPr>
          <w:noProof w:val="0"/>
          <w:lang w:val="pt-BR"/>
        </w:rPr>
        <w:t xml:space="preserve">os apresentam taxas de retenção significativamente </w:t>
      </w:r>
      <w:r w:rsidRPr="341598FF" w:rsidR="4D14901B">
        <w:rPr>
          <w:noProof w:val="0"/>
          <w:lang w:val="pt-BR"/>
        </w:rPr>
        <w:t>superiores</w:t>
      </w:r>
      <w:r w:rsidRPr="341598FF" w:rsidR="4D14901B">
        <w:rPr>
          <w:noProof w:val="0"/>
          <w:lang w:val="pt-BR"/>
        </w:rPr>
        <w:t xml:space="preserve"> para mulheres (82%), pessoas negras (76%) e pessoas com deficiência (74%), em comparação com contratos determinados e intermitentes.</w:t>
      </w:r>
    </w:p>
    <w:p xmlns:wp14="http://schemas.microsoft.com/office/word/2010/wordml" w:rsidP="341598FF" wp14:paraId="2C9C3E42" wp14:textId="723EE505">
      <w:pPr>
        <w:pStyle w:val="Normal"/>
        <w:jc w:val="both"/>
        <w:rPr>
          <w:noProof w:val="0"/>
          <w:lang w:val="pt-BR"/>
        </w:rPr>
      </w:pPr>
    </w:p>
    <w:tbl>
      <w:tblPr>
        <w:tblStyle w:val="TableGrid"/>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4350"/>
        <w:gridCol w:w="1755"/>
        <w:gridCol w:w="1755"/>
        <w:gridCol w:w="1755"/>
      </w:tblGrid>
      <w:tr w:rsidR="341598FF" w:rsidTr="341598FF" w14:paraId="225D0D60">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29DC8581" w14:textId="14C4A8DB">
            <w:pPr>
              <w:pStyle w:val="Normal"/>
              <w:widowControl w:val="0"/>
              <w:spacing w:before="80" w:beforeAutospacing="off" w:after="80" w:afterAutospacing="off"/>
            </w:pPr>
            <w:r w:rsidR="341598FF">
              <w:rPr/>
              <w:t>Indicador</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378BB779" w14:textId="3D9A0B31">
            <w:pPr>
              <w:pStyle w:val="Normal"/>
              <w:widowControl w:val="0"/>
              <w:spacing w:before="80" w:beforeAutospacing="off" w:after="80" w:afterAutospacing="off"/>
            </w:pPr>
            <w:r w:rsidR="341598FF">
              <w:rPr/>
              <w:t>Contrato Indeterminado</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357B6075" w14:textId="25C63EC2">
            <w:pPr>
              <w:pStyle w:val="Normal"/>
              <w:widowControl w:val="0"/>
              <w:spacing w:before="80" w:beforeAutospacing="off" w:after="80" w:afterAutospacing="off"/>
            </w:pPr>
            <w:r w:rsidR="341598FF">
              <w:rPr/>
              <w:t>Contrato Determinado</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6AA41345" w14:textId="4FA56698">
            <w:pPr>
              <w:pStyle w:val="Normal"/>
              <w:widowControl w:val="0"/>
              <w:spacing w:before="80" w:beforeAutospacing="off" w:after="80" w:afterAutospacing="off"/>
            </w:pPr>
            <w:r w:rsidR="341598FF">
              <w:rPr/>
              <w:t>Diferença Relativa (%)</w:t>
            </w:r>
          </w:p>
        </w:tc>
      </w:tr>
      <w:tr w:rsidR="341598FF" w:rsidTr="341598FF" w14:paraId="1227FA69">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D0FAEEE" w14:textId="5CD678B2">
            <w:pPr>
              <w:pStyle w:val="Normal"/>
              <w:widowControl w:val="0"/>
              <w:spacing w:before="80" w:beforeAutospacing="off" w:after="80" w:afterAutospacing="off"/>
            </w:pPr>
            <w:r w:rsidR="341598FF">
              <w:rPr/>
              <w:t>Retenção em programas de diversidade</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FCECC54" w14:textId="4D0550CB">
            <w:pPr>
              <w:pStyle w:val="Normal"/>
              <w:widowControl w:val="0"/>
              <w:spacing w:before="80" w:beforeAutospacing="off" w:after="80" w:afterAutospacing="off"/>
              <w:jc w:val="center"/>
            </w:pPr>
            <w:r w:rsidR="341598FF">
              <w:rPr/>
              <w:t>72%</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F8725FB" w14:textId="51A2332F">
            <w:pPr>
              <w:pStyle w:val="Normal"/>
              <w:widowControl w:val="0"/>
              <w:spacing w:before="80" w:beforeAutospacing="off" w:after="80" w:afterAutospacing="off"/>
              <w:jc w:val="center"/>
            </w:pPr>
            <w:r w:rsidR="341598FF">
              <w:rPr/>
              <w:t>54%</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4972D71" w14:textId="17B4D195">
            <w:pPr>
              <w:pStyle w:val="Normal"/>
              <w:widowControl w:val="0"/>
              <w:spacing w:before="80" w:beforeAutospacing="off" w:after="80" w:afterAutospacing="off"/>
              <w:jc w:val="center"/>
            </w:pPr>
            <w:r w:rsidR="341598FF">
              <w:rPr/>
              <w:t>+18</w:t>
            </w:r>
          </w:p>
        </w:tc>
      </w:tr>
      <w:tr w:rsidR="341598FF" w:rsidTr="341598FF" w14:paraId="4D2B18BE">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7B71122" w14:textId="6B52B79A">
            <w:pPr>
              <w:pStyle w:val="Normal"/>
              <w:widowControl w:val="0"/>
              <w:spacing w:before="80" w:beforeAutospacing="off" w:after="80" w:afterAutospacing="off"/>
            </w:pPr>
            <w:r w:rsidR="341598FF">
              <w:rPr/>
              <w:t>Engajamento em ações inclusivas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E137614" w14:textId="7A43AC4D">
            <w:pPr>
              <w:pStyle w:val="Normal"/>
              <w:widowControl w:val="0"/>
              <w:spacing w:before="80" w:beforeAutospacing="off" w:after="80" w:afterAutospacing="off"/>
              <w:jc w:val="center"/>
            </w:pPr>
            <w:r w:rsidR="341598FF">
              <w:rPr/>
              <w:t>68%</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2EB4C98" w14:textId="433FD697">
            <w:pPr>
              <w:pStyle w:val="Normal"/>
              <w:widowControl w:val="0"/>
              <w:spacing w:before="80" w:beforeAutospacing="off" w:after="80" w:afterAutospacing="off"/>
              <w:jc w:val="center"/>
            </w:pPr>
            <w:r w:rsidR="341598FF">
              <w:rPr/>
              <w:t>49%</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8D83AB1" w14:textId="5CBDD26B">
            <w:pPr>
              <w:pStyle w:val="Normal"/>
              <w:widowControl w:val="0"/>
              <w:spacing w:before="80" w:beforeAutospacing="off" w:after="80" w:afterAutospacing="off"/>
              <w:jc w:val="center"/>
            </w:pPr>
            <w:r w:rsidR="341598FF">
              <w:rPr/>
              <w:t>+19</w:t>
            </w:r>
          </w:p>
        </w:tc>
      </w:tr>
      <w:tr w:rsidR="341598FF" w:rsidTr="341598FF" w14:paraId="32708F1D">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5542069" w14:textId="1517BAFA">
            <w:pPr>
              <w:pStyle w:val="Normal"/>
              <w:widowControl w:val="0"/>
              <w:spacing w:before="80" w:beforeAutospacing="off" w:after="80" w:afterAutospacing="off"/>
            </w:pPr>
            <w:r w:rsidR="341598FF">
              <w:rPr/>
              <w:t>Participação em grupos de afinidade</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7D9D740" w14:textId="3EEAB317">
            <w:pPr>
              <w:pStyle w:val="Normal"/>
              <w:widowControl w:val="0"/>
              <w:spacing w:before="80" w:beforeAutospacing="off" w:after="80" w:afterAutospacing="off"/>
              <w:jc w:val="center"/>
            </w:pPr>
            <w:r w:rsidR="341598FF">
              <w:rPr/>
              <w:t>61%</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197CD39" w14:textId="379A39D5">
            <w:pPr>
              <w:pStyle w:val="Normal"/>
              <w:widowControl w:val="0"/>
              <w:spacing w:before="80" w:beforeAutospacing="off" w:after="80" w:afterAutospacing="off"/>
              <w:jc w:val="center"/>
            </w:pPr>
            <w:r w:rsidR="341598FF">
              <w:rPr/>
              <w:t>42%</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CC4552C" w14:textId="77C424AF">
            <w:pPr>
              <w:pStyle w:val="Normal"/>
              <w:widowControl w:val="0"/>
              <w:spacing w:before="80" w:beforeAutospacing="off" w:after="80" w:afterAutospacing="off"/>
              <w:jc w:val="center"/>
            </w:pPr>
            <w:r w:rsidR="341598FF">
              <w:rPr/>
              <w:t>+19</w:t>
            </w:r>
          </w:p>
        </w:tc>
      </w:tr>
      <w:tr w:rsidR="341598FF" w:rsidTr="341598FF" w14:paraId="10F57040">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A063BB4" w14:textId="3675DDD2">
            <w:pPr>
              <w:pStyle w:val="Normal"/>
              <w:widowControl w:val="0"/>
              <w:spacing w:before="80" w:beforeAutospacing="off" w:after="80" w:afterAutospacing="off"/>
            </w:pPr>
            <w:r w:rsidR="341598FF">
              <w:rPr/>
              <w:t>Permanência após 12 meses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987FCCF" w14:textId="44328507">
            <w:pPr>
              <w:pStyle w:val="Normal"/>
              <w:widowControl w:val="0"/>
              <w:spacing w:before="80" w:beforeAutospacing="off" w:after="80" w:afterAutospacing="off"/>
              <w:jc w:val="center"/>
            </w:pPr>
            <w:r w:rsidR="341598FF">
              <w:rPr/>
              <w:t>75%</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8223D26" w14:textId="35F1C5CC">
            <w:pPr>
              <w:pStyle w:val="Normal"/>
              <w:widowControl w:val="0"/>
              <w:spacing w:before="80" w:beforeAutospacing="off" w:after="80" w:afterAutospacing="off"/>
              <w:jc w:val="center"/>
            </w:pPr>
            <w:r w:rsidR="341598FF">
              <w:rPr/>
              <w:t>58%</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DC47835" w14:textId="3B63151F">
            <w:pPr>
              <w:pStyle w:val="Normal"/>
              <w:widowControl w:val="0"/>
              <w:spacing w:before="80" w:beforeAutospacing="off" w:after="80" w:afterAutospacing="off"/>
              <w:jc w:val="center"/>
            </w:pPr>
            <w:r w:rsidR="341598FF">
              <w:rPr/>
              <w:t>+17</w:t>
            </w:r>
          </w:p>
        </w:tc>
      </w:tr>
      <w:tr w:rsidR="341598FF" w:rsidTr="341598FF" w14:paraId="4BCE6861">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4C62CC6" w14:textId="35C7D285">
            <w:pPr>
              <w:pStyle w:val="Normal"/>
              <w:widowControl w:val="0"/>
              <w:spacing w:before="80" w:beforeAutospacing="off" w:after="80" w:afterAutospacing="off"/>
            </w:pPr>
            <w:r w:rsidR="341598FF">
              <w:rPr/>
              <w:t>Mulheres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701694A" w14:textId="63AA031D">
            <w:pPr>
              <w:pStyle w:val="Normal"/>
              <w:widowControl w:val="0"/>
              <w:spacing w:before="80" w:beforeAutospacing="off" w:after="80" w:afterAutospacing="off"/>
              <w:jc w:val="center"/>
            </w:pPr>
            <w:r w:rsidR="341598FF">
              <w:rPr/>
              <w:t>82</w:t>
            </w:r>
            <w:r w:rsidR="7AEB3D40">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C014E91" w14:textId="09346249">
            <w:pPr>
              <w:pStyle w:val="Normal"/>
              <w:widowControl w:val="0"/>
              <w:spacing w:before="80" w:beforeAutospacing="off" w:after="80" w:afterAutospacing="off"/>
              <w:jc w:val="center"/>
            </w:pPr>
            <w:r w:rsidR="341598FF">
              <w:rPr/>
              <w:t>59</w:t>
            </w:r>
            <w:r w:rsidR="65880C16">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94FA473" w14:textId="45EE9921">
            <w:pPr>
              <w:pStyle w:val="Normal"/>
              <w:widowControl w:val="0"/>
              <w:spacing w:before="80" w:beforeAutospacing="off" w:after="80" w:afterAutospacing="off"/>
              <w:jc w:val="center"/>
            </w:pPr>
            <w:r w:rsidR="341598FF">
              <w:rPr/>
              <w:t>+23</w:t>
            </w:r>
          </w:p>
        </w:tc>
      </w:tr>
      <w:tr w:rsidR="341598FF" w:rsidTr="341598FF" w14:paraId="077B9F76">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D5E416D" w14:textId="4D30B25B">
            <w:pPr>
              <w:pStyle w:val="Normal"/>
              <w:widowControl w:val="0"/>
              <w:spacing w:before="80" w:beforeAutospacing="off" w:after="80" w:afterAutospacing="off"/>
            </w:pPr>
            <w:r w:rsidR="341598FF">
              <w:rPr/>
              <w:t>Pessoas Negras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CDB62F6" w14:textId="5D83CE55">
            <w:pPr>
              <w:pStyle w:val="Normal"/>
              <w:widowControl w:val="0"/>
              <w:spacing w:before="80" w:beforeAutospacing="off" w:after="80" w:afterAutospacing="off"/>
              <w:jc w:val="center"/>
            </w:pPr>
            <w:r w:rsidR="341598FF">
              <w:rPr/>
              <w:t>76</w:t>
            </w:r>
            <w:r w:rsidR="6805FF07">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BE5AA2A" w14:textId="53C72408">
            <w:pPr>
              <w:pStyle w:val="Normal"/>
              <w:widowControl w:val="0"/>
              <w:spacing w:before="80" w:beforeAutospacing="off" w:after="80" w:afterAutospacing="off"/>
              <w:jc w:val="center"/>
            </w:pPr>
            <w:r w:rsidR="341598FF">
              <w:rPr/>
              <w:t>52</w:t>
            </w:r>
            <w:r w:rsidR="1086432E">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8421C6A" w14:textId="5732594D">
            <w:pPr>
              <w:pStyle w:val="Normal"/>
              <w:widowControl w:val="0"/>
              <w:spacing w:before="80" w:beforeAutospacing="off" w:after="80" w:afterAutospacing="off"/>
              <w:jc w:val="center"/>
            </w:pPr>
            <w:r w:rsidR="341598FF">
              <w:rPr/>
              <w:t>+24</w:t>
            </w:r>
          </w:p>
        </w:tc>
      </w:tr>
      <w:tr w:rsidR="341598FF" w:rsidTr="341598FF" w14:paraId="3D2279FB">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46ADC8C" w14:textId="0F931A73">
            <w:pPr>
              <w:pStyle w:val="Normal"/>
              <w:widowControl w:val="0"/>
              <w:spacing w:before="80" w:beforeAutospacing="off" w:after="80" w:afterAutospacing="off"/>
            </w:pPr>
            <w:r w:rsidR="341598FF">
              <w:rPr/>
              <w:t>Pessoas com Deficiência</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10553B35" w14:textId="57FABE6B">
            <w:pPr>
              <w:pStyle w:val="Normal"/>
              <w:widowControl w:val="0"/>
              <w:spacing w:before="80" w:beforeAutospacing="off" w:after="80" w:afterAutospacing="off"/>
              <w:jc w:val="center"/>
            </w:pPr>
            <w:r w:rsidR="341598FF">
              <w:rPr/>
              <w:t>74</w:t>
            </w:r>
            <w:r w:rsidR="783A820E">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4D34243" w14:textId="7059B121">
            <w:pPr>
              <w:pStyle w:val="Normal"/>
              <w:widowControl w:val="0"/>
              <w:spacing w:before="80" w:beforeAutospacing="off" w:after="80" w:afterAutospacing="off"/>
              <w:jc w:val="center"/>
            </w:pPr>
            <w:r w:rsidR="341598FF">
              <w:rPr/>
              <w:t>49</w:t>
            </w:r>
            <w:r w:rsidR="5452C184">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1464DA0" w14:textId="34A3E35E">
            <w:pPr>
              <w:pStyle w:val="Normal"/>
              <w:widowControl w:val="0"/>
              <w:spacing w:before="80" w:beforeAutospacing="off" w:after="80" w:afterAutospacing="off"/>
              <w:jc w:val="center"/>
            </w:pPr>
            <w:r w:rsidR="341598FF">
              <w:rPr/>
              <w:t>+25</w:t>
            </w:r>
          </w:p>
        </w:tc>
      </w:tr>
      <w:tr w:rsidR="341598FF" w:rsidTr="341598FF" w14:paraId="06ED4EA7">
        <w:trPr>
          <w:trHeight w:val="300"/>
        </w:trPr>
        <w:tc>
          <w:tcPr>
            <w:tcW w:w="9615" w:type="dxa"/>
            <w:gridSpan w:val="4"/>
            <w:tcMar/>
          </w:tcPr>
          <w:p w:rsidR="341598FF" w:rsidP="341598FF" w:rsidRDefault="341598FF" w14:paraId="07548144" w14:textId="0D1FFA62">
            <w:pPr>
              <w:pStyle w:val="Normal"/>
              <w:bidi w:val="0"/>
              <w:jc w:val="center"/>
              <w:rPr>
                <w:noProof w:val="0"/>
                <w:sz w:val="18"/>
                <w:szCs w:val="18"/>
                <w:lang w:val="pt-BR"/>
              </w:rPr>
            </w:pPr>
          </w:p>
          <w:p w:rsidR="76282CBF" w:rsidP="341598FF" w:rsidRDefault="76282CBF" w14:paraId="45025523" w14:textId="1BF09FFD">
            <w:pPr>
              <w:pStyle w:val="Normal"/>
              <w:bidi w:val="0"/>
              <w:jc w:val="center"/>
              <w:rPr>
                <w:noProof w:val="0"/>
                <w:sz w:val="18"/>
                <w:szCs w:val="18"/>
                <w:lang w:val="pt-BR"/>
              </w:rPr>
            </w:pPr>
            <w:r w:rsidRPr="341598FF" w:rsidR="76282CBF">
              <w:rPr>
                <w:noProof w:val="0"/>
                <w:sz w:val="18"/>
                <w:szCs w:val="18"/>
                <w:lang w:val="pt-BR"/>
              </w:rPr>
              <w:t>Tabela 2.6 – Benchmark de equidade em vínculos formais</w:t>
            </w:r>
            <w:r w:rsidRPr="341598FF" w:rsidR="3AC983B6">
              <w:rPr>
                <w:noProof w:val="0"/>
                <w:sz w:val="18"/>
                <w:szCs w:val="18"/>
                <w:lang w:val="pt-BR"/>
              </w:rPr>
              <w:t xml:space="preserve">. </w:t>
            </w:r>
          </w:p>
          <w:p w:rsidR="76282CBF" w:rsidP="341598FF" w:rsidRDefault="76282CBF" w14:paraId="17D0D1E0" w14:textId="26E0ABC1">
            <w:pPr>
              <w:pStyle w:val="Normal"/>
              <w:bidi w:val="0"/>
              <w:jc w:val="center"/>
              <w:rPr>
                <w:noProof w:val="0"/>
                <w:sz w:val="18"/>
                <w:szCs w:val="18"/>
                <w:lang w:val="pt-BR"/>
              </w:rPr>
            </w:pPr>
            <w:r w:rsidRPr="341598FF" w:rsidR="76282CBF">
              <w:rPr>
                <w:noProof w:val="0"/>
                <w:sz w:val="18"/>
                <w:szCs w:val="18"/>
                <w:lang w:val="pt-BR"/>
              </w:rPr>
              <w:t>Comparação entre contratos indeterminados e determinados em programas de diversidade.</w:t>
            </w:r>
          </w:p>
          <w:p w:rsidR="76282CBF" w:rsidP="341598FF" w:rsidRDefault="76282CBF" w14:paraId="19831F3A" w14:textId="1C652E34">
            <w:pPr>
              <w:pStyle w:val="Normal"/>
              <w:jc w:val="center"/>
              <w:rPr>
                <w:noProof w:val="0"/>
                <w:sz w:val="18"/>
                <w:szCs w:val="18"/>
                <w:lang w:val="pt-BR"/>
              </w:rPr>
            </w:pPr>
            <w:r w:rsidRPr="341598FF" w:rsidR="76282CBF">
              <w:rPr>
                <w:noProof w:val="0"/>
                <w:sz w:val="18"/>
                <w:szCs w:val="18"/>
                <w:lang w:val="pt-BR"/>
              </w:rPr>
              <w:t xml:space="preserve">Fonte: </w:t>
            </w:r>
            <w:r w:rsidRPr="341598FF" w:rsidR="76282CBF">
              <w:rPr>
                <w:noProof w:val="0"/>
                <w:sz w:val="18"/>
                <w:szCs w:val="18"/>
                <w:lang w:val="pt-BR"/>
              </w:rPr>
              <w:t>PwC</w:t>
            </w:r>
            <w:r w:rsidRPr="341598FF" w:rsidR="76282CBF">
              <w:rPr>
                <w:noProof w:val="0"/>
                <w:sz w:val="18"/>
                <w:szCs w:val="18"/>
                <w:lang w:val="pt-BR"/>
              </w:rPr>
              <w:t xml:space="preserve"> (2020), McKins</w:t>
            </w:r>
            <w:r w:rsidRPr="341598FF" w:rsidR="76282CBF">
              <w:rPr>
                <w:noProof w:val="0"/>
                <w:sz w:val="18"/>
                <w:szCs w:val="18"/>
                <w:lang w:val="pt-BR"/>
              </w:rPr>
              <w:t>ey (20</w:t>
            </w:r>
            <w:r w:rsidRPr="341598FF" w:rsidR="76282CBF">
              <w:rPr>
                <w:noProof w:val="0"/>
                <w:sz w:val="18"/>
                <w:szCs w:val="18"/>
                <w:lang w:val="pt-BR"/>
              </w:rPr>
              <w:t>20).</w:t>
            </w:r>
          </w:p>
        </w:tc>
      </w:tr>
    </w:tbl>
    <w:p xmlns:wp14="http://schemas.microsoft.com/office/word/2010/wordml" w:rsidP="341598FF" wp14:paraId="17372C0D" wp14:textId="57581C09">
      <w:pPr>
        <w:pStyle w:val="Normal"/>
        <w:jc w:val="both"/>
      </w:pPr>
    </w:p>
    <w:p xmlns:wp14="http://schemas.microsoft.com/office/word/2010/wordml" w:rsidP="341598FF" wp14:paraId="37EB904D" wp14:textId="66A403B9">
      <w:pPr>
        <w:pStyle w:val="Normal"/>
        <w:bidi w:val="0"/>
        <w:jc w:val="both"/>
      </w:pPr>
      <w:r w:rsidRPr="341598FF" w:rsidR="338A5CAF">
        <w:rPr>
          <w:noProof w:val="0"/>
          <w:lang w:val="pt-BR"/>
        </w:rPr>
        <w:t>A Tabela 2.6 apresenta um Benchmark de Equidade em Vínculos Formais, consolidando dados comparativos entre contratos indeterminados e determinados em programas de diversidade. Os indicadores revelam que vínculos indeterminados apresentam desempenho superior em todas as métricas analisadas, com destaque para a permanência após 12 meses (75%) e engajamento em ações inclusivas (68%). A diferença relativa entre os modelos contratuais varia de 17% a 19%, evidenciando que a estabilidade contratual está diretamente associada à eficácia das políticas de diversidade. Este artefato oferece uma base empírica para decisões estratégicas em Recursos Humanos, reforçando a importância dos contratos indeterminados como alavancas de equidade organizacional e impacto social sustentável.</w:t>
      </w:r>
    </w:p>
    <w:p xmlns:wp14="http://schemas.microsoft.com/office/word/2010/wordml" w:rsidP="341598FF" wp14:paraId="1A2C273F" wp14:textId="5C8B1CAD">
      <w:pPr>
        <w:pStyle w:val="Normal"/>
        <w:bidi w:val="0"/>
        <w:jc w:val="both"/>
      </w:pPr>
      <w:r w:rsidRPr="341598FF" w:rsidR="4D14901B">
        <w:rPr>
          <w:noProof w:val="0"/>
          <w:lang w:val="pt-BR"/>
        </w:rPr>
        <w:t>Os dados da Tabela 2.6 reforçam que contratos indeterminados são instrumentos eficazes para promover equidade. A diferença percentual entre vínculos indeterminados e determinados demonstra que a estabilidade contratual é decisiva para a retenção de talentos diversos.</w:t>
      </w:r>
    </w:p>
    <w:p xmlns:wp14="http://schemas.microsoft.com/office/word/2010/wordml" w:rsidP="341598FF" wp14:paraId="21DB8416" wp14:textId="668DC8FA">
      <w:pPr>
        <w:pStyle w:val="Normal"/>
        <w:bidi w:val="0"/>
        <w:jc w:val="both"/>
      </w:pPr>
      <w:r w:rsidRPr="341598FF" w:rsidR="4D14901B">
        <w:rPr>
          <w:noProof w:val="0"/>
          <w:lang w:val="pt-BR"/>
        </w:rPr>
        <w:t>Do ponto de vista organizacional, a retenção de talentos diversos gera impacto positivo em inovação e competitividade. Segundo relatório da Deloitte (2022), empresas com maior diversidade em cargos de liderança apresentam até 20% mais iniciativas de inovação.</w:t>
      </w:r>
    </w:p>
    <w:p xmlns:wp14="http://schemas.microsoft.com/office/word/2010/wordml" w:rsidP="341598FF" wp14:paraId="76A39194" wp14:textId="1EF54E7D">
      <w:pPr>
        <w:pStyle w:val="Normal"/>
        <w:bidi w:val="0"/>
        <w:jc w:val="both"/>
        <w:rPr>
          <w:noProof w:val="0"/>
          <w:lang w:val="pt-BR"/>
        </w:rPr>
      </w:pP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498E9572">
        <w:trPr>
          <w:trHeight w:val="300"/>
        </w:trPr>
        <w:tc>
          <w:tcPr>
            <w:tcW w:w="9900" w:type="dxa"/>
            <w:tcMar/>
          </w:tcPr>
          <w:p w:rsidR="609D53F9" w:rsidP="341598FF" w:rsidRDefault="609D53F9" w14:paraId="6B89BCD7" w14:textId="0380EE96">
            <w:pPr>
              <w:pStyle w:val="Normal"/>
              <w:bidi w:val="0"/>
              <w:jc w:val="center"/>
              <w:rPr>
                <w:noProof w:val="0"/>
                <w:lang w:val="pt-BR"/>
              </w:rPr>
            </w:pPr>
            <w:r w:rsidR="609D53F9">
              <w:drawing>
                <wp:inline wp14:editId="77E0DFD9" wp14:anchorId="5C4A513A">
                  <wp:extent cx="4238625" cy="4238625"/>
                  <wp:effectExtent l="0" t="0" r="0" b="0"/>
                  <wp:docPr id="1775866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5866133" name="Picture 17758661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747601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38625" cy="4238625"/>
                          </a:xfrm>
                          <a:prstGeom xmlns:a="http://schemas.openxmlformats.org/drawingml/2006/main" prst="rect">
                            <a:avLst xmlns:a="http://schemas.openxmlformats.org/drawingml/2006/main"/>
                          </a:prstGeom>
                        </pic:spPr>
                      </pic:pic>
                    </a:graphicData>
                  </a:graphic>
                </wp:inline>
              </w:drawing>
            </w:r>
          </w:p>
        </w:tc>
      </w:tr>
      <w:tr w:rsidR="341598FF" w:rsidTr="341598FF" w14:paraId="21821366">
        <w:trPr>
          <w:trHeight w:val="300"/>
        </w:trPr>
        <w:tc>
          <w:tcPr>
            <w:tcW w:w="9900" w:type="dxa"/>
            <w:tcMar/>
          </w:tcPr>
          <w:p w:rsidR="341598FF" w:rsidP="341598FF" w:rsidRDefault="341598FF" w14:paraId="43046323" w14:textId="4FAB2D43">
            <w:pPr>
              <w:pStyle w:val="Normal"/>
              <w:bidi w:val="0"/>
              <w:jc w:val="center"/>
              <w:rPr>
                <w:noProof w:val="0"/>
                <w:sz w:val="18"/>
                <w:szCs w:val="18"/>
                <w:lang w:val="pt-BR"/>
              </w:rPr>
            </w:pPr>
          </w:p>
          <w:p w:rsidR="609D53F9" w:rsidP="341598FF" w:rsidRDefault="609D53F9" w14:paraId="3A7FB6D4" w14:textId="4DF875A1">
            <w:pPr>
              <w:pStyle w:val="Normal"/>
              <w:bidi w:val="0"/>
              <w:jc w:val="center"/>
              <w:rPr>
                <w:noProof w:val="0"/>
                <w:sz w:val="18"/>
                <w:szCs w:val="18"/>
                <w:lang w:val="pt-BR"/>
              </w:rPr>
            </w:pPr>
            <w:r w:rsidRPr="341598FF" w:rsidR="609D53F9">
              <w:rPr>
                <w:noProof w:val="0"/>
                <w:sz w:val="18"/>
                <w:szCs w:val="18"/>
                <w:lang w:val="pt-BR"/>
              </w:rPr>
              <w:t xml:space="preserve">Figura 2.6 – Framework de equidade contratual. </w:t>
            </w:r>
            <w:r w:rsidRPr="341598FF" w:rsidR="609D53F9">
              <w:rPr>
                <w:noProof w:val="0"/>
                <w:sz w:val="18"/>
                <w:szCs w:val="18"/>
                <w:lang w:val="pt-BR"/>
              </w:rPr>
              <w:t>Critérios de avaliação da equidade em vínculos indeterminados.</w:t>
            </w:r>
          </w:p>
          <w:p w:rsidR="609D53F9" w:rsidP="341598FF" w:rsidRDefault="609D53F9" w14:paraId="5E06923A" w14:textId="3D1F163F">
            <w:pPr>
              <w:pStyle w:val="Normal"/>
              <w:bidi w:val="0"/>
              <w:jc w:val="center"/>
              <w:rPr>
                <w:noProof w:val="0"/>
                <w:sz w:val="18"/>
                <w:szCs w:val="18"/>
                <w:lang w:val="pt-BR"/>
              </w:rPr>
            </w:pPr>
            <w:r w:rsidRPr="341598FF" w:rsidR="609D53F9">
              <w:rPr>
                <w:noProof w:val="0"/>
                <w:sz w:val="18"/>
                <w:szCs w:val="18"/>
                <w:lang w:val="pt-BR"/>
              </w:rPr>
              <w:t xml:space="preserve"> Fonte: McKinsey (2020), Instituto Ethos (2021).</w:t>
            </w:r>
          </w:p>
        </w:tc>
      </w:tr>
    </w:tbl>
    <w:p xmlns:wp14="http://schemas.microsoft.com/office/word/2010/wordml" w:rsidP="341598FF" wp14:paraId="55B66935" wp14:textId="1653CCC8">
      <w:pPr>
        <w:pStyle w:val="Normal"/>
        <w:bidi w:val="0"/>
        <w:jc w:val="both"/>
        <w:rPr>
          <w:noProof w:val="0"/>
          <w:lang w:val="pt-BR"/>
        </w:rPr>
      </w:pPr>
    </w:p>
    <w:p xmlns:wp14="http://schemas.microsoft.com/office/word/2010/wordml" w:rsidP="341598FF" wp14:paraId="22AE32C4" wp14:textId="6A4B7C99">
      <w:pPr>
        <w:pStyle w:val="Normal"/>
        <w:bidi w:val="0"/>
        <w:jc w:val="both"/>
      </w:pPr>
      <w:r w:rsidRPr="341598FF" w:rsidR="064A13EB">
        <w:rPr>
          <w:noProof w:val="0"/>
          <w:lang w:val="pt-BR"/>
        </w:rPr>
        <w:t>A Figura 2.6 apresenta o Framework de Equidade Contratual, estruturado para evidenciar os principais critérios que sustentam a adoção de contratos indeterminados como instrumento de inclusão sustentável. O artefato organiza visualmente três dimensões estratégicas — retenção, engajamento e ROI social — conectadas diretamente ao vínculo indeterminado, destacando sua centralidade na promoção da equidade organizacional. A retenção representa a capacidade de manter talentos diversos ao longo do tempo; o engajamento reflete o envolvimento ativo desses profissionais em iniciativas inclusivas; e o ROI social traduz o retorno institucional gerado por práticas de contratação equitativas. Este framework funciona como uma ferramenta analítica para gestores de RH e tomadores de decisão, permitindo avaliar o impacto dos vínculos indeterminados na construção de ambientes corporativos mais diversos, estáveis e socialmente responsáveis.</w:t>
      </w:r>
    </w:p>
    <w:p xmlns:wp14="http://schemas.microsoft.com/office/word/2010/wordml" w:rsidP="341598FF" wp14:paraId="636ADD5D" wp14:textId="3452E2F6">
      <w:pPr>
        <w:pStyle w:val="Normal"/>
        <w:bidi w:val="0"/>
        <w:jc w:val="both"/>
      </w:pPr>
      <w:r w:rsidRPr="341598FF" w:rsidR="4D14901B">
        <w:rPr>
          <w:noProof w:val="0"/>
          <w:lang w:val="pt-BR"/>
        </w:rPr>
        <w:t>Esse framework auxilia gestores de RH a avaliar o impacto dos contratos indeterminados em programas de diversidade, permitindo decisões mais estratégicas e alinhadas às metas corporativas de equidade.</w:t>
      </w:r>
    </w:p>
    <w:p xmlns:wp14="http://schemas.microsoft.com/office/word/2010/wordml" w:rsidP="341598FF" wp14:paraId="479A328E" wp14:textId="3FC4FDFE">
      <w:pPr>
        <w:pStyle w:val="Normal"/>
        <w:bidi w:val="0"/>
        <w:jc w:val="both"/>
      </w:pPr>
      <w:r w:rsidRPr="341598FF" w:rsidR="4D14901B">
        <w:rPr>
          <w:noProof w:val="0"/>
          <w:lang w:val="pt-BR"/>
        </w:rPr>
        <w:t>Estudos de caso reforçam essa perspectiva. A empresa Natura, segundo relatório do Movimento Mulher 360 (2022), estruturou programas de liderança feminina vinculados a contratos indeterminados, resultando em aumento de 28% na retenção de mulheres em cargos estratégicos.</w:t>
      </w:r>
    </w:p>
    <w:p xmlns:wp14="http://schemas.microsoft.com/office/word/2010/wordml" w:rsidP="341598FF" wp14:paraId="40D4ABBE" wp14:textId="5CCA4834">
      <w:pPr>
        <w:pStyle w:val="Normal"/>
        <w:bidi w:val="0"/>
        <w:jc w:val="both"/>
      </w:pPr>
      <w:r w:rsidRPr="341598FF" w:rsidR="4D14901B">
        <w:rPr>
          <w:noProof w:val="0"/>
          <w:lang w:val="pt-BR"/>
        </w:rPr>
        <w:t>Outro exemplo é a Ambev, que implementou políticas de contratação voltadas para pessoas negras em contratos indeterminados. Segundo o CEERT (2021), essa iniciativa resultou em maior representatividade racial em cargos de gestão.</w:t>
      </w:r>
    </w:p>
    <w:p xmlns:wp14="http://schemas.microsoft.com/office/word/2010/wordml" w:rsidP="341598FF" wp14:paraId="05BBEE36" wp14:textId="5C33AB01">
      <w:pPr>
        <w:pStyle w:val="Normal"/>
        <w:bidi w:val="0"/>
        <w:jc w:val="both"/>
      </w:pPr>
      <w:r w:rsidRPr="341598FF" w:rsidR="4D14901B">
        <w:rPr>
          <w:noProof w:val="0"/>
          <w:lang w:val="pt-BR"/>
        </w:rPr>
        <w:t>Esses casos demonstram que contratos indeterminados não apenas garantem estabilidade jurídica, mas também funcionam como instrumentos de equidade e retenção de talentos diversos.</w:t>
      </w:r>
    </w:p>
    <w:p xmlns:wp14="http://schemas.microsoft.com/office/word/2010/wordml" w:rsidP="341598FF" wp14:paraId="6D2F4789" wp14:textId="3CD69B5A">
      <w:pPr>
        <w:pStyle w:val="Normal"/>
        <w:bidi w:val="0"/>
        <w:jc w:val="both"/>
        <w:rPr>
          <w:noProof w:val="0"/>
          <w:lang w:val="pt-BR"/>
        </w:rPr>
      </w:pPr>
      <w:r w:rsidRPr="341598FF" w:rsidR="4D14901B">
        <w:rPr>
          <w:noProof w:val="0"/>
          <w:lang w:val="pt-BR"/>
        </w:rPr>
        <w:t>Do ponto de vista regulatório, a CLT prevê mecanismos de proteção que reduzem a possibilidade de desligamentos arbitrários em contrat</w:t>
      </w:r>
      <w:r w:rsidRPr="341598FF" w:rsidR="4D14901B">
        <w:rPr>
          <w:noProof w:val="0"/>
          <w:lang w:val="pt-BR"/>
        </w:rPr>
        <w:t>os indeterm</w:t>
      </w:r>
      <w:r w:rsidRPr="341598FF" w:rsidR="4D14901B">
        <w:rPr>
          <w:noProof w:val="0"/>
          <w:lang w:val="pt-BR"/>
        </w:rPr>
        <w:t xml:space="preserve">inados. Esse aspecto é fundamental para garantir equidade no tratamento de grupos </w:t>
      </w:r>
      <w:r w:rsidRPr="341598FF" w:rsidR="4D14901B">
        <w:rPr>
          <w:noProof w:val="0"/>
          <w:lang w:val="pt-BR"/>
        </w:rPr>
        <w:t>minorizados</w:t>
      </w:r>
      <w:r w:rsidRPr="341598FF" w:rsidR="4D14901B">
        <w:rPr>
          <w:noProof w:val="0"/>
          <w:lang w:val="pt-BR"/>
        </w:rPr>
        <w:t>.</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199BD955">
        <w:trPr>
          <w:trHeight w:val="5850"/>
        </w:trPr>
        <w:tc>
          <w:tcPr>
            <w:tcW w:w="9900" w:type="dxa"/>
            <w:tcMar/>
          </w:tcPr>
          <w:p w:rsidR="341598FF" w:rsidP="341598FF" w:rsidRDefault="341598FF" w14:paraId="1194FDC4" w14:textId="3A1A6727">
            <w:pPr>
              <w:pStyle w:val="Normal"/>
              <w:bidi w:val="0"/>
              <w:jc w:val="center"/>
            </w:pPr>
          </w:p>
          <w:p w:rsidR="10A0F85F" w:rsidP="341598FF" w:rsidRDefault="10A0F85F" w14:paraId="67C4318F" w14:textId="77BBEF55">
            <w:pPr>
              <w:pStyle w:val="Normal"/>
              <w:bidi w:val="0"/>
              <w:jc w:val="center"/>
              <w:rPr>
                <w:noProof w:val="0"/>
                <w:lang w:val="pt-BR"/>
              </w:rPr>
            </w:pPr>
            <w:r w:rsidR="10A0F85F">
              <w:drawing>
                <wp:inline wp14:editId="1A359421" wp14:anchorId="1F7E5BED">
                  <wp:extent cx="3990975" cy="3990975"/>
                  <wp:effectExtent l="0" t="0" r="0" b="0"/>
                  <wp:docPr id="73602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36024786" name="Picture 73602478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3006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990975" cy="3990975"/>
                          </a:xfrm>
                          <a:prstGeom xmlns:a="http://schemas.openxmlformats.org/drawingml/2006/main" prst="rect">
                            <a:avLst xmlns:a="http://schemas.openxmlformats.org/drawingml/2006/main"/>
                          </a:prstGeom>
                        </pic:spPr>
                      </pic:pic>
                    </a:graphicData>
                  </a:graphic>
                </wp:inline>
              </w:drawing>
            </w:r>
          </w:p>
        </w:tc>
      </w:tr>
      <w:tr w:rsidR="341598FF" w:rsidTr="341598FF" w14:paraId="190AA722">
        <w:trPr>
          <w:trHeight w:val="300"/>
        </w:trPr>
        <w:tc>
          <w:tcPr>
            <w:tcW w:w="9900" w:type="dxa"/>
            <w:tcMar/>
          </w:tcPr>
          <w:p w:rsidR="341598FF" w:rsidP="341598FF" w:rsidRDefault="341598FF" w14:paraId="2CCA6299" w14:textId="20D52012">
            <w:pPr>
              <w:pStyle w:val="Normal"/>
              <w:bidi w:val="0"/>
              <w:jc w:val="center"/>
              <w:rPr>
                <w:noProof w:val="0"/>
                <w:sz w:val="18"/>
                <w:szCs w:val="18"/>
                <w:lang w:val="pt-BR"/>
              </w:rPr>
            </w:pPr>
          </w:p>
          <w:p w:rsidR="10A0F85F" w:rsidP="341598FF" w:rsidRDefault="10A0F85F" w14:paraId="691FABF4" w14:textId="4B07C3D6">
            <w:pPr>
              <w:pStyle w:val="Normal"/>
              <w:bidi w:val="0"/>
              <w:jc w:val="center"/>
              <w:rPr>
                <w:noProof w:val="0"/>
                <w:sz w:val="18"/>
                <w:szCs w:val="18"/>
                <w:lang w:val="pt-BR"/>
              </w:rPr>
            </w:pPr>
            <w:r w:rsidRPr="341598FF" w:rsidR="10A0F85F">
              <w:rPr>
                <w:noProof w:val="0"/>
                <w:sz w:val="18"/>
                <w:szCs w:val="18"/>
                <w:lang w:val="pt-BR"/>
              </w:rPr>
              <w:t xml:space="preserve">Figura 2.7 – Matriz de retenção e engajamento por tipo de contrato. </w:t>
            </w:r>
            <w:r w:rsidRPr="341598FF" w:rsidR="10A0F85F">
              <w:rPr>
                <w:noProof w:val="0"/>
                <w:sz w:val="18"/>
                <w:szCs w:val="18"/>
                <w:lang w:val="pt-BR"/>
              </w:rPr>
              <w:t>Avaliação dos impactos dos contratos indeterminados em retenção e engajamento.</w:t>
            </w:r>
          </w:p>
          <w:p w:rsidR="10A0F85F" w:rsidP="341598FF" w:rsidRDefault="10A0F85F" w14:paraId="6F758D32" w14:textId="46B16D60">
            <w:pPr>
              <w:pStyle w:val="Normal"/>
              <w:bidi w:val="0"/>
              <w:jc w:val="center"/>
              <w:rPr>
                <w:noProof w:val="0"/>
                <w:sz w:val="18"/>
                <w:szCs w:val="18"/>
                <w:lang w:val="pt-BR"/>
              </w:rPr>
            </w:pPr>
            <w:r w:rsidRPr="341598FF" w:rsidR="10A0F85F">
              <w:rPr>
                <w:noProof w:val="0"/>
                <w:sz w:val="18"/>
                <w:szCs w:val="18"/>
                <w:lang w:val="pt-BR"/>
              </w:rPr>
              <w:t xml:space="preserve">Fonte: </w:t>
            </w:r>
            <w:r w:rsidRPr="341598FF" w:rsidR="10A0F85F">
              <w:rPr>
                <w:noProof w:val="0"/>
                <w:sz w:val="18"/>
                <w:szCs w:val="18"/>
                <w:lang w:val="pt-BR"/>
              </w:rPr>
              <w:t>PwC</w:t>
            </w:r>
            <w:r w:rsidRPr="341598FF" w:rsidR="10A0F85F">
              <w:rPr>
                <w:noProof w:val="0"/>
                <w:sz w:val="18"/>
                <w:szCs w:val="18"/>
                <w:lang w:val="pt-BR"/>
              </w:rPr>
              <w:t xml:space="preserve"> (2020), Deloitte (2022).</w:t>
            </w:r>
          </w:p>
        </w:tc>
      </w:tr>
    </w:tbl>
    <w:p xmlns:wp14="http://schemas.microsoft.com/office/word/2010/wordml" w:rsidP="341598FF" wp14:paraId="78EE6BDD" wp14:textId="0F34AEB3">
      <w:pPr>
        <w:pStyle w:val="Normal"/>
        <w:bidi w:val="0"/>
        <w:jc w:val="both"/>
        <w:rPr>
          <w:noProof w:val="0"/>
          <w:lang w:val="pt-BR"/>
        </w:rPr>
      </w:pPr>
    </w:p>
    <w:p xmlns:wp14="http://schemas.microsoft.com/office/word/2010/wordml" w:rsidP="341598FF" wp14:paraId="73A5C2B2" wp14:textId="46B4345B">
      <w:pPr>
        <w:pStyle w:val="Normal"/>
        <w:bidi w:val="0"/>
        <w:jc w:val="both"/>
      </w:pPr>
      <w:r w:rsidRPr="341598FF" w:rsidR="10A0F85F">
        <w:rPr>
          <w:noProof w:val="0"/>
          <w:lang w:val="pt-BR"/>
        </w:rPr>
        <w:t>A Figura 2.7 apresenta uma Matriz de Retenção e Engajamento por Tipo de Contrato, estruturada em dois eixos principais: retenção (horizontal) e engajamento (vertical). O artefato posiciona os quatro principais modelos contratuais — indeterminado, determinado, intermitente e estágio — em quadrantes que refletem seu impacto em programas de diversidade. O contrato indeterminado ocupa o quadrante superior direito, indicando alto engajamento e alta retenção, sendo o mais alinhado às metas de inclusão sustentável. O modelo de estágio também apresenta alto engajamento, embora com menor retenção, o que o torna eficaz para programas de entrada. Já os contratos determinados e intermitentes revelam menor impacto, com destaque negativo para o intermitente, que se posiciona no quadrante de menor engajamento e retenção. Este artefato funciona como ferramenta estratégica para gestores de RH avaliarem a efetividade dos vínculos contratuais na promoção da diversidade, orientando decisões baseadas em evidências e indicadores sociais.</w:t>
      </w:r>
    </w:p>
    <w:p xmlns:wp14="http://schemas.microsoft.com/office/word/2010/wordml" w:rsidP="341598FF" wp14:paraId="7364A657" wp14:textId="3831473C">
      <w:pPr>
        <w:pStyle w:val="Normal"/>
        <w:bidi w:val="0"/>
        <w:jc w:val="both"/>
      </w:pPr>
      <w:r w:rsidRPr="341598FF" w:rsidR="4D14901B">
        <w:rPr>
          <w:noProof w:val="0"/>
          <w:lang w:val="pt-BR"/>
        </w:rPr>
        <w:t>A matriz evidencia que contratos indeterminados concentram impactos positivos elevados em retenção e engajamento, enquanto contratos determinados apresentam impactos médios e contratos intermitentes impactos baixos.</w:t>
      </w:r>
    </w:p>
    <w:p xmlns:wp14="http://schemas.microsoft.com/office/word/2010/wordml" w:rsidP="341598FF" wp14:paraId="04F9C999" wp14:textId="26EC61D3">
      <w:pPr>
        <w:pStyle w:val="Normal"/>
        <w:bidi w:val="0"/>
        <w:jc w:val="both"/>
        <w:rPr>
          <w:noProof w:val="0"/>
          <w:lang w:val="pt-BR"/>
        </w:rPr>
      </w:pPr>
      <w:r w:rsidRPr="341598FF" w:rsidR="4D14901B">
        <w:rPr>
          <w:noProof w:val="0"/>
          <w:lang w:val="pt-BR"/>
        </w:rPr>
        <w:t>Do ponto de vista de ROI (</w:t>
      </w:r>
      <w:r w:rsidRPr="341598FF" w:rsidR="4D14901B">
        <w:rPr>
          <w:noProof w:val="0"/>
          <w:lang w:val="pt-BR"/>
        </w:rPr>
        <w:t>Return</w:t>
      </w:r>
      <w:r w:rsidRPr="341598FF" w:rsidR="4D14901B">
        <w:rPr>
          <w:noProof w:val="0"/>
          <w:lang w:val="pt-BR"/>
        </w:rPr>
        <w:t xml:space="preserve"> </w:t>
      </w:r>
      <w:r w:rsidRPr="341598FF" w:rsidR="4D14901B">
        <w:rPr>
          <w:noProof w:val="0"/>
          <w:lang w:val="pt-BR"/>
        </w:rPr>
        <w:t>on</w:t>
      </w:r>
      <w:r w:rsidRPr="341598FF" w:rsidR="4D14901B">
        <w:rPr>
          <w:noProof w:val="0"/>
          <w:lang w:val="pt-BR"/>
        </w:rPr>
        <w:t xml:space="preserve"> </w:t>
      </w:r>
      <w:r w:rsidRPr="341598FF" w:rsidR="4D14901B">
        <w:rPr>
          <w:noProof w:val="0"/>
          <w:lang w:val="pt-BR"/>
        </w:rPr>
        <w:t>Investment</w:t>
      </w:r>
      <w:r w:rsidRPr="341598FF" w:rsidR="4D14901B">
        <w:rPr>
          <w:noProof w:val="0"/>
          <w:lang w:val="pt-BR"/>
        </w:rPr>
        <w:t xml:space="preserve"> ou Retorno sobre Inv</w:t>
      </w:r>
      <w:r w:rsidRPr="341598FF" w:rsidR="4D14901B">
        <w:rPr>
          <w:noProof w:val="0"/>
          <w:lang w:val="pt-BR"/>
        </w:rPr>
        <w:t>esti</w:t>
      </w:r>
      <w:r w:rsidRPr="341598FF" w:rsidR="4D14901B">
        <w:rPr>
          <w:noProof w:val="0"/>
          <w:lang w:val="pt-BR"/>
        </w:rPr>
        <w:t>m</w:t>
      </w:r>
      <w:r w:rsidRPr="341598FF" w:rsidR="4D14901B">
        <w:rPr>
          <w:noProof w:val="0"/>
          <w:lang w:val="pt-BR"/>
        </w:rPr>
        <w:t>ent</w:t>
      </w:r>
      <w:r w:rsidRPr="341598FF" w:rsidR="4D14901B">
        <w:rPr>
          <w:noProof w:val="0"/>
          <w:lang w:val="pt-BR"/>
        </w:rPr>
        <w:t>o), contratos</w:t>
      </w:r>
      <w:r w:rsidRPr="341598FF" w:rsidR="4D14901B">
        <w:rPr>
          <w:noProof w:val="0"/>
          <w:lang w:val="pt-BR"/>
        </w:rPr>
        <w:t xml:space="preserve"> i</w:t>
      </w:r>
      <w:r w:rsidRPr="341598FF" w:rsidR="4D14901B">
        <w:rPr>
          <w:noProof w:val="0"/>
          <w:lang w:val="pt-BR"/>
        </w:rPr>
        <w:t>n</w:t>
      </w:r>
      <w:r w:rsidRPr="341598FF" w:rsidR="4D14901B">
        <w:rPr>
          <w:noProof w:val="0"/>
          <w:lang w:val="pt-BR"/>
        </w:rPr>
        <w:t>determina</w:t>
      </w:r>
      <w:r w:rsidRPr="341598FF" w:rsidR="4D14901B">
        <w:rPr>
          <w:noProof w:val="0"/>
          <w:lang w:val="pt-BR"/>
        </w:rPr>
        <w:t xml:space="preserve">dos apresentam resultados superiores. Relatório da </w:t>
      </w:r>
      <w:r w:rsidRPr="341598FF" w:rsidR="4D14901B">
        <w:rPr>
          <w:noProof w:val="0"/>
          <w:lang w:val="pt-BR"/>
        </w:rPr>
        <w:t>PwC</w:t>
      </w:r>
      <w:r w:rsidRPr="341598FF" w:rsidR="4D14901B">
        <w:rPr>
          <w:noProof w:val="0"/>
          <w:lang w:val="pt-BR"/>
        </w:rPr>
        <w:t xml:space="preserve"> (2020) indica que empresas que priorizam vínculos estáveis em programas de diversidade registram aumento de até 15% na produtividade média.</w:t>
      </w:r>
    </w:p>
    <w:p xmlns:wp14="http://schemas.microsoft.com/office/word/2010/wordml" w:rsidP="341598FF" wp14:paraId="3966323A" wp14:textId="1A6B3E96">
      <w:pPr>
        <w:pStyle w:val="Normal"/>
        <w:bidi w:val="0"/>
        <w:jc w:val="both"/>
        <w:rPr>
          <w:noProof w:val="0"/>
          <w:lang w:val="pt-BR"/>
        </w:rPr>
      </w:pP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599"/>
        <w:gridCol w:w="1200"/>
        <w:gridCol w:w="5059"/>
      </w:tblGrid>
      <w:tr w:rsidR="341598FF" w:rsidTr="341598FF" w14:paraId="2834C5CB">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52E94284" w14:textId="6F5EDB08">
            <w:pPr>
              <w:pStyle w:val="Normal"/>
              <w:widowControl w:val="0"/>
              <w:bidi w:val="0"/>
              <w:spacing w:before="80" w:beforeAutospacing="off" w:after="80" w:afterAutospacing="off" w:line="240" w:lineRule="auto"/>
              <w:jc w:val="center"/>
            </w:pPr>
            <w:r w:rsidR="341598FF">
              <w:rPr/>
              <w:t>Indicador Estratégico</w:t>
            </w:r>
          </w:p>
        </w:tc>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59DF4FAE" w14:textId="0D05C4A0">
            <w:pPr>
              <w:pStyle w:val="Normal"/>
              <w:widowControl w:val="0"/>
              <w:bidi w:val="0"/>
              <w:spacing w:before="80" w:beforeAutospacing="off" w:after="80" w:afterAutospacing="off" w:line="240" w:lineRule="auto"/>
              <w:jc w:val="center"/>
            </w:pPr>
            <w:r w:rsidR="341598FF">
              <w:rPr/>
              <w:t>Valor (%)</w:t>
            </w:r>
          </w:p>
        </w:tc>
        <w:tc>
          <w:tcPr>
            <w:tcW w:w="5059"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072F6BF4" w14:textId="20C893BD">
            <w:pPr>
              <w:pStyle w:val="Normal"/>
              <w:widowControl w:val="0"/>
              <w:bidi w:val="0"/>
              <w:spacing w:before="80" w:beforeAutospacing="off" w:after="80" w:afterAutospacing="off" w:line="240" w:lineRule="auto"/>
              <w:jc w:val="center"/>
            </w:pPr>
            <w:r w:rsidR="341598FF">
              <w:rPr/>
              <w:t>Interpretação Executiva</w:t>
            </w:r>
          </w:p>
        </w:tc>
      </w:tr>
      <w:tr w:rsidR="341598FF" w:rsidTr="341598FF" w14:paraId="0801CA35">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88FEF07" w14:textId="04D1A6D0">
            <w:pPr>
              <w:pStyle w:val="Normal"/>
              <w:widowControl w:val="0"/>
              <w:bidi w:val="0"/>
              <w:spacing w:before="80" w:beforeAutospacing="off" w:after="80" w:afterAutospacing="off" w:line="240" w:lineRule="auto"/>
              <w:jc w:val="left"/>
            </w:pPr>
            <w:r w:rsidR="341598FF">
              <w:rPr/>
              <w:t>Retenção de Talentos Diversos</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A9BD5F1" w14:textId="7004A731">
            <w:pPr>
              <w:pStyle w:val="Normal"/>
              <w:widowControl w:val="0"/>
              <w:bidi w:val="0"/>
              <w:spacing w:before="80" w:beforeAutospacing="off" w:after="80" w:afterAutospacing="off" w:line="240" w:lineRule="auto"/>
              <w:jc w:val="center"/>
            </w:pPr>
            <w:r w:rsidR="341598FF">
              <w:rPr/>
              <w:t>72%</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5F3512A" w14:textId="68DA5243">
            <w:pPr>
              <w:pStyle w:val="Normal"/>
              <w:widowControl w:val="0"/>
              <w:bidi w:val="0"/>
              <w:spacing w:before="80" w:beforeAutospacing="off" w:after="80" w:afterAutospacing="off" w:line="240" w:lineRule="auto"/>
              <w:jc w:val="left"/>
            </w:pPr>
            <w:r w:rsidR="341598FF">
              <w:rPr/>
              <w:t>Alta permanência em programas de inclusão</w:t>
            </w:r>
          </w:p>
        </w:tc>
      </w:tr>
      <w:tr w:rsidR="341598FF" w:rsidTr="341598FF" w14:paraId="5A08F9EB">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29E1CFC" w14:textId="123F7820">
            <w:pPr>
              <w:pStyle w:val="Normal"/>
              <w:widowControl w:val="0"/>
              <w:bidi w:val="0"/>
              <w:spacing w:before="80" w:beforeAutospacing="off" w:after="80" w:afterAutospacing="off" w:line="240" w:lineRule="auto"/>
              <w:jc w:val="left"/>
            </w:pPr>
            <w:r w:rsidR="341598FF">
              <w:rPr/>
              <w:t>Engajamento em Iniciativas ESG</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7BEDED1" w14:textId="66672151">
            <w:pPr>
              <w:pStyle w:val="Normal"/>
              <w:widowControl w:val="0"/>
              <w:bidi w:val="0"/>
              <w:spacing w:before="80" w:beforeAutospacing="off" w:after="80" w:afterAutospacing="off" w:line="240" w:lineRule="auto"/>
              <w:jc w:val="center"/>
            </w:pPr>
            <w:r w:rsidR="341598FF">
              <w:rPr/>
              <w:t>68%</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AADEDEB" w14:textId="5A2CC221">
            <w:pPr>
              <w:pStyle w:val="Normal"/>
              <w:widowControl w:val="0"/>
              <w:bidi w:val="0"/>
              <w:spacing w:before="80" w:beforeAutospacing="off" w:after="80" w:afterAutospacing="off" w:line="240" w:lineRule="auto"/>
              <w:jc w:val="left"/>
            </w:pPr>
            <w:r w:rsidR="341598FF">
              <w:rPr/>
              <w:t>Participação ativa em ações de responsabilidade social</w:t>
            </w:r>
          </w:p>
        </w:tc>
      </w:tr>
      <w:tr w:rsidR="341598FF" w:rsidTr="341598FF" w14:paraId="6F1F964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7B0D4973" w14:textId="5CBE9204">
            <w:pPr>
              <w:pStyle w:val="Normal"/>
              <w:widowControl w:val="0"/>
              <w:bidi w:val="0"/>
              <w:spacing w:before="80" w:beforeAutospacing="off" w:after="80" w:afterAutospacing="off" w:line="240" w:lineRule="auto"/>
              <w:jc w:val="left"/>
            </w:pPr>
            <w:r w:rsidR="341598FF">
              <w:rPr/>
              <w:t>Redução de Rotatividade</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9EB2086" w14:textId="7D5D1A84">
            <w:pPr>
              <w:pStyle w:val="Normal"/>
              <w:widowControl w:val="0"/>
              <w:bidi w:val="0"/>
              <w:spacing w:before="80" w:beforeAutospacing="off" w:after="80" w:afterAutospacing="off" w:line="240" w:lineRule="auto"/>
              <w:jc w:val="center"/>
            </w:pPr>
            <w:r w:rsidR="341598FF">
              <w:rPr/>
              <w:t>–25%</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E7BDE8E" w14:textId="751E620C">
            <w:pPr>
              <w:pStyle w:val="Normal"/>
              <w:widowControl w:val="0"/>
              <w:bidi w:val="0"/>
              <w:spacing w:before="80" w:beforeAutospacing="off" w:after="80" w:afterAutospacing="off" w:line="240" w:lineRule="auto"/>
              <w:jc w:val="left"/>
            </w:pPr>
            <w:r w:rsidR="341598FF">
              <w:rPr/>
              <w:t>Estabilidade contratual e menor custo de reposição</w:t>
            </w:r>
          </w:p>
        </w:tc>
      </w:tr>
      <w:tr w:rsidR="341598FF" w:rsidTr="341598FF" w14:paraId="3FE845F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D760EB1" w14:textId="224ABF14">
            <w:pPr>
              <w:pStyle w:val="Normal"/>
              <w:widowControl w:val="0"/>
              <w:bidi w:val="0"/>
              <w:spacing w:before="80" w:beforeAutospacing="off" w:after="80" w:afterAutospacing="off" w:line="240" w:lineRule="auto"/>
              <w:jc w:val="left"/>
            </w:pPr>
            <w:r w:rsidR="341598FF">
              <w:rPr/>
              <w:t>Participação em Grupos de Afinidade</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FF45EBB" w14:textId="258E24BC">
            <w:pPr>
              <w:pStyle w:val="Normal"/>
              <w:widowControl w:val="0"/>
              <w:bidi w:val="0"/>
              <w:spacing w:before="80" w:beforeAutospacing="off" w:after="80" w:afterAutospacing="off" w:line="240" w:lineRule="auto"/>
              <w:jc w:val="center"/>
            </w:pPr>
            <w:r w:rsidR="341598FF">
              <w:rPr/>
              <w:t>61%</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6EB801B" w14:textId="2723D06C">
            <w:pPr>
              <w:pStyle w:val="Normal"/>
              <w:widowControl w:val="0"/>
              <w:bidi w:val="0"/>
              <w:spacing w:before="80" w:beforeAutospacing="off" w:after="80" w:afterAutospacing="off" w:line="240" w:lineRule="auto"/>
              <w:jc w:val="left"/>
            </w:pPr>
            <w:r w:rsidR="341598FF">
              <w:rPr/>
              <w:t>Fortalecimento de redes internas de diversidade</w:t>
            </w:r>
          </w:p>
        </w:tc>
      </w:tr>
      <w:tr w:rsidR="341598FF" w:rsidTr="341598FF" w14:paraId="55A1D9F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6B7AE0B" w14:textId="3738576F">
            <w:pPr>
              <w:pStyle w:val="Normal"/>
              <w:widowControl w:val="0"/>
              <w:bidi w:val="0"/>
              <w:spacing w:before="80" w:beforeAutospacing="off" w:after="80" w:afterAutospacing="off" w:line="240" w:lineRule="auto"/>
              <w:jc w:val="left"/>
            </w:pPr>
            <w:r w:rsidR="341598FF">
              <w:rPr/>
              <w:t>Inovação em Projetos Inclusivos</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1080830" w14:textId="36DF2BCD">
            <w:pPr>
              <w:pStyle w:val="Normal"/>
              <w:widowControl w:val="0"/>
              <w:bidi w:val="0"/>
              <w:spacing w:before="80" w:beforeAutospacing="off" w:after="80" w:afterAutospacing="off" w:line="240" w:lineRule="auto"/>
              <w:jc w:val="center"/>
            </w:pPr>
            <w:r w:rsidR="341598FF">
              <w:rPr/>
              <w:t>40%</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34078B4" w14:textId="3181D498">
            <w:pPr>
              <w:pStyle w:val="Normal"/>
              <w:widowControl w:val="0"/>
              <w:bidi w:val="0"/>
              <w:spacing w:before="80" w:beforeAutospacing="off" w:after="80" w:afterAutospacing="off" w:line="240" w:lineRule="auto"/>
              <w:jc w:val="left"/>
            </w:pPr>
            <w:r w:rsidR="341598FF">
              <w:rPr/>
              <w:t>Contribuição direta para soluções com impacto social</w:t>
            </w:r>
          </w:p>
        </w:tc>
      </w:tr>
      <w:tr w:rsidR="341598FF" w:rsidTr="341598FF" w14:paraId="338F3949">
        <w:trPr>
          <w:trHeight w:val="300"/>
        </w:trPr>
        <w:tc>
          <w:tcPr>
            <w:tcW w:w="9858" w:type="dxa"/>
            <w:gridSpan w:val="3"/>
            <w:tcMar/>
            <w:vAlign w:val="center"/>
          </w:tcPr>
          <w:p w:rsidR="341598FF" w:rsidP="341598FF" w:rsidRDefault="341598FF" w14:paraId="78B398FC" w14:textId="2C59ACD1">
            <w:pPr>
              <w:pStyle w:val="Normal"/>
              <w:widowControl w:val="0"/>
              <w:bidi w:val="0"/>
              <w:spacing w:after="0" w:afterAutospacing="off" w:line="240" w:lineRule="auto"/>
              <w:jc w:val="center"/>
              <w:rPr>
                <w:noProof w:val="0"/>
                <w:sz w:val="18"/>
                <w:szCs w:val="18"/>
                <w:lang w:val="pt-BR"/>
              </w:rPr>
            </w:pPr>
          </w:p>
          <w:p w:rsidR="2183B505" w:rsidP="341598FF" w:rsidRDefault="2183B505" w14:paraId="423D63BA" w14:textId="0938B5DC">
            <w:pPr>
              <w:pStyle w:val="Normal"/>
              <w:widowControl w:val="0"/>
              <w:bidi w:val="0"/>
              <w:spacing w:after="0" w:afterAutospacing="off" w:line="240" w:lineRule="auto"/>
              <w:jc w:val="center"/>
              <w:rPr>
                <w:rFonts w:ascii="Aptos" w:hAnsi="Aptos" w:eastAsia="Aptos" w:cs="Aptos"/>
                <w:b w:val="0"/>
                <w:bCs w:val="0"/>
                <w:i w:val="0"/>
                <w:iCs w:val="0"/>
                <w:caps w:val="0"/>
                <w:smallCaps w:val="0"/>
                <w:noProof w:val="0"/>
                <w:color w:val="F5F5F5"/>
                <w:sz w:val="18"/>
                <w:szCs w:val="18"/>
                <w:lang w:val="pt-BR"/>
              </w:rPr>
            </w:pPr>
            <w:r w:rsidRPr="341598FF" w:rsidR="2183B505">
              <w:rPr>
                <w:noProof w:val="0"/>
                <w:sz w:val="18"/>
                <w:szCs w:val="18"/>
                <w:lang w:val="pt-BR"/>
              </w:rPr>
              <w:t>Tabela 2.8 – ROI social dos contratos indeterminados. Indicadores de retorno social vinculados a vínculos estáveis.</w:t>
            </w:r>
          </w:p>
          <w:p w:rsidR="2183B505" w:rsidP="341598FF" w:rsidRDefault="2183B505" w14:paraId="3BDAB5C9" w14:textId="671721D1">
            <w:pPr>
              <w:pStyle w:val="Normal"/>
              <w:widowControl w:val="0"/>
              <w:bidi w:val="0"/>
              <w:spacing w:after="0" w:afterAutospacing="off" w:line="240" w:lineRule="auto"/>
              <w:jc w:val="center"/>
              <w:rPr>
                <w:rFonts w:ascii="Aptos" w:hAnsi="Aptos" w:eastAsia="Aptos" w:cs="Aptos"/>
                <w:b w:val="0"/>
                <w:bCs w:val="0"/>
                <w:i w:val="0"/>
                <w:iCs w:val="0"/>
                <w:caps w:val="0"/>
                <w:smallCaps w:val="0"/>
                <w:noProof w:val="0"/>
                <w:color w:val="F5F5F5"/>
                <w:sz w:val="18"/>
                <w:szCs w:val="18"/>
                <w:lang w:val="pt-BR"/>
              </w:rPr>
            </w:pPr>
            <w:r w:rsidRPr="341598FF" w:rsidR="2183B505">
              <w:rPr>
                <w:noProof w:val="0"/>
                <w:sz w:val="18"/>
                <w:szCs w:val="18"/>
                <w:lang w:val="pt-BR"/>
              </w:rPr>
              <w:t>Fonte: Deloitte (2022), McKinsey (2020).</w:t>
            </w:r>
          </w:p>
        </w:tc>
      </w:tr>
    </w:tbl>
    <w:p xmlns:wp14="http://schemas.microsoft.com/office/word/2010/wordml" w:rsidP="341598FF" wp14:paraId="1E8960D2" wp14:textId="3CD95FF0">
      <w:pPr>
        <w:pStyle w:val="Normal"/>
        <w:bidi w:val="0"/>
        <w:jc w:val="both"/>
        <w:rPr>
          <w:noProof w:val="0"/>
          <w:lang w:val="pt-BR"/>
        </w:rPr>
      </w:pPr>
    </w:p>
    <w:p xmlns:wp14="http://schemas.microsoft.com/office/word/2010/wordml" w:rsidP="341598FF" wp14:paraId="20D19AF1" wp14:textId="55E794F3">
      <w:pPr>
        <w:pStyle w:val="Normal"/>
        <w:bidi w:val="0"/>
        <w:jc w:val="both"/>
      </w:pPr>
      <w:r w:rsidRPr="341598FF" w:rsidR="4083F1C7">
        <w:rPr>
          <w:noProof w:val="0"/>
          <w:lang w:val="pt-BR"/>
        </w:rPr>
        <w:t>A Tabela 2.8 apresenta os principais indicadores de ROI social associados a contratos indeterminados, consolidando dados de fontes como Deloitte e McKinsey. Os vínculos estáveis demonstram alto desempenho em métricas de retenção (72%) e engajamento em iniciativas ESG (68%), evidenciando sua relevância estratégica para programas de diversidade. A redução de rotatividade (–25%) reforça o impacto financeiro positivo, enquanto a participação em grupos de afinidade (61%) e a inovação em projetos inclusivos (40%) indicam que contratos indeterminados não apenas promovem equidade, mas também impulsionam soluções com valor social agregado. Este artefato serve como referência para gestores de RH e líderes organizacionais que buscam integrar retorno social às decisões contratuais, fortalecendo a sustentabilidade e a reputação institucional.</w:t>
      </w:r>
    </w:p>
    <w:p xmlns:wp14="http://schemas.microsoft.com/office/word/2010/wordml" w:rsidP="341598FF" wp14:paraId="4D246528" wp14:textId="7310A9F0">
      <w:pPr>
        <w:pStyle w:val="Normal"/>
        <w:bidi w:val="0"/>
        <w:jc w:val="both"/>
      </w:pPr>
      <w:r w:rsidRPr="341598FF" w:rsidR="4D14901B">
        <w:rPr>
          <w:noProof w:val="0"/>
          <w:lang w:val="pt-BR"/>
        </w:rPr>
        <w:t>Os dados da Tabela 2.8 reforçam que contratos indeterminados são instrumentos estratégicos para programas de diversidade. O aumento da produtividade e da retenção de talentos demonstra que o investimento em vínculos estáveis gera retorno mensurável.</w:t>
      </w:r>
    </w:p>
    <w:p xmlns:wp14="http://schemas.microsoft.com/office/word/2010/wordml" w:rsidP="341598FF" wp14:paraId="0001E9E3" wp14:textId="7F6DEF3A">
      <w:pPr>
        <w:pStyle w:val="Normal"/>
        <w:bidi w:val="0"/>
        <w:jc w:val="both"/>
      </w:pPr>
      <w:r w:rsidRPr="341598FF" w:rsidR="4D14901B">
        <w:rPr>
          <w:noProof w:val="0"/>
          <w:lang w:val="pt-BR"/>
        </w:rPr>
        <w:t>Em síntese, contratos indeterminados fortalecem programas de diversidade ao promover equidade e retenção de talentos. Sua adoção gera impacto positivo em inovação, competitividade e ROI social, consolidando-os como a modalidade mais alinhada às estratégias de inclusão sustentável.</w:t>
      </w:r>
    </w:p>
    <w:p xmlns:wp14="http://schemas.microsoft.com/office/word/2010/wordml" w:rsidP="341598FF" wp14:paraId="6980B5BF" wp14:textId="671D3EF6">
      <w:pPr>
        <w:bidi w:val="0"/>
        <w:jc w:val="both"/>
      </w:pPr>
    </w:p>
    <w:p xmlns:wp14="http://schemas.microsoft.com/office/word/2010/wordml" w:rsidP="341598FF" wp14:paraId="634A7CC2" wp14:textId="2EE89905">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F161ED4" wp14:textId="39CE31F4">
      <w:r>
        <w:br w:type="page"/>
      </w:r>
    </w:p>
    <w:p xmlns:wp14="http://schemas.microsoft.com/office/word/2010/wordml" w:rsidP="341598FF" wp14:paraId="19648AA1" wp14:textId="634CC023">
      <w:pPr>
        <w:pStyle w:val="Heading1"/>
        <w:rPr>
          <w:rFonts w:ascii="Aptos" w:hAnsi="Aptos" w:eastAsia="Aptos" w:cs="Aptos"/>
          <w:b w:val="1"/>
          <w:bCs w:val="1"/>
          <w:noProof w:val="0"/>
          <w:sz w:val="36"/>
          <w:szCs w:val="36"/>
          <w:lang w:val="pt-BR"/>
        </w:rPr>
      </w:pPr>
      <w:bookmarkStart w:name="_Toc370896372" w:id="36771327"/>
      <w:bookmarkStart w:name="_Toc1075342995" w:id="227580575"/>
      <w:r w:rsidRPr="341598FF" w:rsidR="52706B23">
        <w:rPr>
          <w:noProof w:val="0"/>
          <w:lang w:val="pt-BR"/>
        </w:rPr>
        <w:t>Gestão de Pessoas e Responsabilidade Social</w:t>
      </w:r>
      <w:bookmarkEnd w:id="36771327"/>
      <w:bookmarkEnd w:id="227580575"/>
      <w:r w:rsidRPr="341598FF" w:rsidR="52706B23">
        <w:rPr>
          <w:noProof w:val="0"/>
          <w:lang w:val="pt-BR"/>
        </w:rPr>
        <w:t xml:space="preserve"> </w:t>
      </w:r>
    </w:p>
    <w:p xmlns:wp14="http://schemas.microsoft.com/office/word/2010/wordml" w:rsidP="341598FF" wp14:paraId="3A67F049" wp14:textId="19E00B8F">
      <w:pPr>
        <w:pStyle w:val="Normal"/>
        <w:jc w:val="both"/>
      </w:pPr>
      <w:r w:rsidRPr="341598FF" w:rsidR="52706B23">
        <w:rPr>
          <w:noProof w:val="0"/>
          <w:lang w:val="pt-BR"/>
        </w:rPr>
        <w:t>Qual é o papel do RH na construção de vínculos contratuais que promovem inclusão, diversidade e justiça social, e como esses vínculos podem ser integrados a indicadores ESG e métricas de ROI?</w:t>
      </w:r>
    </w:p>
    <w:p xmlns:wp14="http://schemas.microsoft.com/office/word/2010/wordml" w:rsidP="341598FF" wp14:paraId="3A791094" wp14:textId="3B0A00BB">
      <w:pPr>
        <w:pStyle w:val="Normal"/>
        <w:jc w:val="both"/>
        <w:rPr>
          <w:noProof w:val="0"/>
          <w:lang w:val="pt-BR"/>
        </w:rPr>
      </w:pPr>
    </w:p>
    <w:p xmlns:wp14="http://schemas.microsoft.com/office/word/2010/wordml" w:rsidP="341598FF" wp14:paraId="64A92813" wp14:textId="29C0336B">
      <w:pPr>
        <w:pStyle w:val="Heading2"/>
        <w:rPr>
          <w:rFonts w:ascii="Aptos" w:hAnsi="Aptos" w:eastAsia="Aptos" w:cs="Aptos"/>
          <w:b w:val="1"/>
          <w:bCs w:val="1"/>
          <w:noProof w:val="0"/>
          <w:sz w:val="36"/>
          <w:szCs w:val="36"/>
          <w:lang w:val="pt-BR"/>
        </w:rPr>
      </w:pPr>
      <w:bookmarkStart w:name="_Toc1095419883" w:id="903443716"/>
      <w:r w:rsidRPr="341598FF" w:rsidR="3CB4644D">
        <w:rPr>
          <w:noProof w:val="0"/>
          <w:lang w:val="pt-BR"/>
        </w:rPr>
        <w:t>O RH como agente de mudança</w:t>
      </w:r>
      <w:bookmarkEnd w:id="903443716"/>
    </w:p>
    <w:p xmlns:wp14="http://schemas.microsoft.com/office/word/2010/wordml" w:rsidP="341598FF" wp14:paraId="2F455EFD" wp14:textId="62F524E0">
      <w:pPr>
        <w:pStyle w:val="Normal"/>
        <w:jc w:val="both"/>
        <w:rPr>
          <w:noProof w:val="0"/>
          <w:lang w:val="pt-BR"/>
        </w:rPr>
      </w:pPr>
      <w:r w:rsidRPr="341598FF" w:rsidR="52706B23">
        <w:rPr>
          <w:noProof w:val="0"/>
          <w:lang w:val="pt-BR"/>
        </w:rPr>
        <w:t>A gestão de pessoas, quando orientada por princípios de responsabilidade social, transforma o RH em um verdadeiro age</w:t>
      </w:r>
      <w:r w:rsidRPr="341598FF" w:rsidR="52706B23">
        <w:rPr>
          <w:noProof w:val="0"/>
          <w:lang w:val="pt-BR"/>
        </w:rPr>
        <w:t>nte de mu</w:t>
      </w:r>
      <w:r w:rsidRPr="341598FF" w:rsidR="52706B23">
        <w:rPr>
          <w:noProof w:val="0"/>
          <w:lang w:val="pt-BR"/>
        </w:rPr>
        <w:t xml:space="preserve">dança. O papel desse departamento vai além da administração de contratos: ele se torna responsável por alinhar vínculos empregatícios às metas de diversidade, equidade e inclusão (DEI), integrando tais práticas às estratégias corporativas e aos indicadores ESG (Environmental, Social </w:t>
      </w:r>
      <w:r w:rsidRPr="341598FF" w:rsidR="52706B23">
        <w:rPr>
          <w:noProof w:val="0"/>
          <w:lang w:val="pt-BR"/>
        </w:rPr>
        <w:t>and</w:t>
      </w:r>
      <w:r w:rsidRPr="341598FF" w:rsidR="52706B23">
        <w:rPr>
          <w:noProof w:val="0"/>
          <w:lang w:val="pt-BR"/>
        </w:rPr>
        <w:t xml:space="preserve"> Governance ou Ambiental, Social e Governança).</w:t>
      </w:r>
    </w:p>
    <w:p xmlns:wp14="http://schemas.microsoft.com/office/word/2010/wordml" w:rsidP="341598FF" wp14:paraId="5C6A5F31" wp14:textId="01AC4D9E">
      <w:pPr>
        <w:pStyle w:val="Normal"/>
        <w:jc w:val="both"/>
      </w:pPr>
      <w:r w:rsidRPr="341598FF" w:rsidR="52706B23">
        <w:rPr>
          <w:noProof w:val="0"/>
          <w:lang w:val="pt-BR"/>
        </w:rPr>
        <w:t>Segundo relatório da Deloitte Brasil (2022), 74% das empresas que incorporaram indicadores ESG em suas políticas de RH observaram aumento significativo na retenção de talentos diversos. Esse dado reforça que a integração entre gestão contratual e responsabilidade social gera resultados mensuráveis e estratégicos.</w:t>
      </w:r>
    </w:p>
    <w:p xmlns:wp14="http://schemas.microsoft.com/office/word/2010/wordml" w:rsidP="341598FF" wp14:paraId="3F1D94DD" wp14:textId="7875DDD3">
      <w:pPr>
        <w:pStyle w:val="Normal"/>
        <w:jc w:val="both"/>
        <w:rPr>
          <w:noProof w:val="0"/>
          <w:lang w:val="pt-BR"/>
        </w:rPr>
      </w:pP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3DED880C">
        <w:trPr>
          <w:trHeight w:val="300"/>
        </w:trPr>
        <w:tc>
          <w:tcPr>
            <w:tcW w:w="9900" w:type="dxa"/>
            <w:tcMar/>
          </w:tcPr>
          <w:p w:rsidR="2B0F1F97" w:rsidP="341598FF" w:rsidRDefault="2B0F1F97" w14:paraId="15A96332" w14:textId="544F40BB">
            <w:pPr>
              <w:pStyle w:val="Normal"/>
              <w:jc w:val="center"/>
              <w:rPr>
                <w:noProof w:val="0"/>
                <w:lang w:val="pt-BR"/>
              </w:rPr>
            </w:pPr>
            <w:r w:rsidR="2B0F1F97">
              <w:drawing>
                <wp:inline wp14:editId="6B3BFA46" wp14:anchorId="5F2D9124">
                  <wp:extent cx="2819400" cy="2819400"/>
                  <wp:effectExtent l="0" t="0" r="0" b="0"/>
                  <wp:docPr id="252264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52264843" name="Picture 2522648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10719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19400" cy="2819400"/>
                          </a:xfrm>
                          <a:prstGeom xmlns:a="http://schemas.openxmlformats.org/drawingml/2006/main" prst="rect">
                            <a:avLst xmlns:a="http://schemas.openxmlformats.org/drawingml/2006/main"/>
                          </a:prstGeom>
                        </pic:spPr>
                      </pic:pic>
                    </a:graphicData>
                  </a:graphic>
                </wp:inline>
              </w:drawing>
            </w:r>
          </w:p>
        </w:tc>
      </w:tr>
      <w:tr w:rsidR="341598FF" w:rsidTr="341598FF" w14:paraId="1C7532EF">
        <w:trPr>
          <w:trHeight w:val="300"/>
        </w:trPr>
        <w:tc>
          <w:tcPr>
            <w:tcW w:w="9900" w:type="dxa"/>
            <w:tcMar/>
          </w:tcPr>
          <w:p w:rsidR="341598FF" w:rsidP="341598FF" w:rsidRDefault="341598FF" w14:paraId="12C45447" w14:textId="096BA793">
            <w:pPr>
              <w:pStyle w:val="Normal"/>
              <w:jc w:val="center"/>
              <w:rPr>
                <w:noProof w:val="0"/>
                <w:sz w:val="18"/>
                <w:szCs w:val="18"/>
                <w:lang w:val="pt-BR"/>
              </w:rPr>
            </w:pPr>
          </w:p>
          <w:p w:rsidR="2C440211" w:rsidP="341598FF" w:rsidRDefault="2C440211" w14:paraId="18E805E7" w14:textId="3ACFD024">
            <w:pPr>
              <w:pStyle w:val="Normal"/>
              <w:jc w:val="center"/>
              <w:rPr>
                <w:noProof w:val="0"/>
                <w:sz w:val="18"/>
                <w:szCs w:val="18"/>
                <w:lang w:val="pt-BR"/>
              </w:rPr>
            </w:pPr>
            <w:r w:rsidRPr="341598FF" w:rsidR="2C440211">
              <w:rPr>
                <w:noProof w:val="0"/>
                <w:sz w:val="18"/>
                <w:szCs w:val="18"/>
                <w:lang w:val="pt-BR"/>
              </w:rPr>
              <w:t>Figura 2.</w:t>
            </w:r>
            <w:r w:rsidRPr="341598FF" w:rsidR="18E8BD8B">
              <w:rPr>
                <w:noProof w:val="0"/>
                <w:sz w:val="18"/>
                <w:szCs w:val="18"/>
                <w:lang w:val="pt-BR"/>
              </w:rPr>
              <w:t>8</w:t>
            </w:r>
            <w:r w:rsidRPr="341598FF" w:rsidR="2C440211">
              <w:rPr>
                <w:noProof w:val="0"/>
                <w:sz w:val="18"/>
                <w:szCs w:val="18"/>
                <w:lang w:val="pt-BR"/>
              </w:rPr>
              <w:t xml:space="preserve"> – Matriz ESG aplicada à gestão de contratos</w:t>
            </w:r>
            <w:r w:rsidRPr="341598FF" w:rsidR="2C440211">
              <w:rPr>
                <w:noProof w:val="0"/>
                <w:sz w:val="18"/>
                <w:szCs w:val="18"/>
                <w:lang w:val="pt-BR"/>
              </w:rPr>
              <w:t>.</w:t>
            </w:r>
            <w:r w:rsidRPr="341598FF" w:rsidR="2C440211">
              <w:rPr>
                <w:noProof w:val="0"/>
                <w:sz w:val="18"/>
                <w:szCs w:val="18"/>
                <w:lang w:val="pt-BR"/>
              </w:rPr>
              <w:t xml:space="preserve"> </w:t>
            </w:r>
            <w:r w:rsidRPr="341598FF" w:rsidR="2C440211">
              <w:rPr>
                <w:noProof w:val="0"/>
                <w:sz w:val="18"/>
                <w:szCs w:val="18"/>
                <w:lang w:val="pt-BR"/>
              </w:rPr>
              <w:t>Relação entre modalidades contratuais e indicadores ESG.</w:t>
            </w:r>
          </w:p>
          <w:p w:rsidR="2C440211" w:rsidP="341598FF" w:rsidRDefault="2C440211" w14:paraId="0ECB8C24" w14:textId="6E513D8E">
            <w:pPr>
              <w:pStyle w:val="Normal"/>
              <w:jc w:val="center"/>
              <w:rPr>
                <w:noProof w:val="0"/>
                <w:sz w:val="18"/>
                <w:szCs w:val="18"/>
                <w:lang w:val="pt-BR"/>
              </w:rPr>
            </w:pPr>
            <w:r w:rsidRPr="341598FF" w:rsidR="2C440211">
              <w:rPr>
                <w:noProof w:val="0"/>
                <w:sz w:val="18"/>
                <w:szCs w:val="18"/>
                <w:lang w:val="pt-BR"/>
              </w:rPr>
              <w:t xml:space="preserve"> Fonte: Deloitte (2022), PwC (2021).</w:t>
            </w:r>
          </w:p>
        </w:tc>
      </w:tr>
    </w:tbl>
    <w:p xmlns:wp14="http://schemas.microsoft.com/office/word/2010/wordml" w:rsidP="341598FF" wp14:paraId="4EFCF6DF" wp14:textId="0E739F54">
      <w:pPr>
        <w:pStyle w:val="Normal"/>
        <w:jc w:val="both"/>
        <w:rPr>
          <w:noProof w:val="0"/>
          <w:lang w:val="pt-BR"/>
        </w:rPr>
      </w:pPr>
    </w:p>
    <w:p xmlns:wp14="http://schemas.microsoft.com/office/word/2010/wordml" w:rsidP="341598FF" wp14:paraId="7B3F0293" wp14:textId="21C90023">
      <w:pPr>
        <w:pStyle w:val="Normal"/>
        <w:jc w:val="both"/>
      </w:pPr>
      <w:r w:rsidRPr="341598FF" w:rsidR="7398BD8D">
        <w:rPr>
          <w:noProof w:val="0"/>
          <w:lang w:val="pt-BR"/>
        </w:rPr>
        <w:t>A Figura 2.8 apresenta uma Matriz ESG aplicada à gestão de contratos, estruturada para evidenciar como diferentes modalidades contratuais se relacionam com os pilares ambientais, sociais e de governança. O artefato posiciona os quatro principais tipos de vínculo — indeterminado, determinado, estágio e intermitente — em quadrantes que refletem seu grau de aderência aos indicadores ESG. O contrato indeterminado ocupa o quadrante de maior convergência, demonstrando forte alinhamento com práticas sustentáveis, inclusão produtiva e conformidade ética. O modelo de estágio destaca-se na dimensão social, enquanto o contrato determinado apresenta aderência moderada aos critérios ambientais e de governança. Já o vínculo intermitente revela menor compatibilidade com os três pilares, sinalizando riscos regulatórios e baixa contribuição para metas de sustentabilidade. Esta matriz funciona como ferramenta estratégica para líderes de RH, compliance e sustentabilidade avaliarem o impacto dos vínculos contratuais na reputação institucional e na performance ESG.</w:t>
      </w:r>
    </w:p>
    <w:p xmlns:wp14="http://schemas.microsoft.com/office/word/2010/wordml" w:rsidP="341598FF" wp14:paraId="61E37AEE" wp14:textId="0901C0FC">
      <w:pPr>
        <w:pStyle w:val="Normal"/>
        <w:jc w:val="both"/>
      </w:pPr>
      <w:r w:rsidRPr="341598FF" w:rsidR="52706B23">
        <w:rPr>
          <w:noProof w:val="0"/>
          <w:lang w:val="pt-BR"/>
        </w:rPr>
        <w:t>Essa matriz evidencia que contratos indeterminados e de estágio possuem maior aderência a indicadores sociais e de governança, enquanto contratos intermitentes apresentam menor compatibilidade, exigindo políticas compensatórias para mitigar riscos de precarização.</w:t>
      </w:r>
    </w:p>
    <w:p xmlns:wp14="http://schemas.microsoft.com/office/word/2010/wordml" w:rsidP="341598FF" wp14:paraId="0F6566C4" wp14:textId="59CBF75C">
      <w:pPr>
        <w:pStyle w:val="Normal"/>
        <w:jc w:val="both"/>
        <w:rPr>
          <w:noProof w:val="0"/>
          <w:lang w:val="pt-BR"/>
        </w:rPr>
      </w:pP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755"/>
        <w:gridCol w:w="1635"/>
        <w:gridCol w:w="1860"/>
        <w:gridCol w:w="2250"/>
        <w:gridCol w:w="2400"/>
      </w:tblGrid>
      <w:tr w:rsidR="341598FF" w:rsidTr="341598FF" w14:paraId="39DD1CB8">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723B6156" w14:textId="12CE092E">
            <w:pPr>
              <w:pStyle w:val="Normal"/>
              <w:widowControl w:val="0"/>
              <w:spacing w:before="80" w:beforeAutospacing="off" w:after="80" w:afterAutospacing="off"/>
              <w:jc w:val="left"/>
            </w:pPr>
            <w:r w:rsidR="341598FF">
              <w:rPr/>
              <w:t>Modelo Contratual</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6EC6DF53" w14:textId="6EAA9829">
            <w:pPr>
              <w:pStyle w:val="Normal"/>
              <w:widowControl w:val="0"/>
              <w:spacing w:before="80" w:beforeAutospacing="off" w:after="80" w:afterAutospacing="off"/>
              <w:jc w:val="left"/>
            </w:pPr>
            <w:r w:rsidR="341598FF">
              <w:rPr/>
              <w:t>Inclusão Produtiva (%)</w:t>
            </w:r>
          </w:p>
        </w:tc>
        <w:tc>
          <w:tcPr>
            <w:tcW w:w="186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693B38A6" w14:textId="6F8A9B5A">
            <w:pPr>
              <w:pStyle w:val="Normal"/>
              <w:widowControl w:val="0"/>
              <w:spacing w:before="80" w:beforeAutospacing="off" w:after="80" w:afterAutospacing="off"/>
              <w:jc w:val="left"/>
            </w:pPr>
            <w:r w:rsidR="341598FF">
              <w:rPr/>
              <w:t>Diversidade em Liderança (%)</w:t>
            </w:r>
          </w:p>
        </w:tc>
        <w:tc>
          <w:tcPr>
            <w:tcW w:w="225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34464D3B" w14:textId="5FB55302">
            <w:pPr>
              <w:pStyle w:val="Normal"/>
              <w:widowControl w:val="0"/>
              <w:spacing w:before="80" w:beforeAutospacing="off" w:after="80" w:afterAutospacing="off"/>
              <w:jc w:val="left"/>
            </w:pPr>
            <w:r w:rsidR="341598FF">
              <w:rPr/>
              <w:t>Participação em Programas ESG (%)</w:t>
            </w:r>
          </w:p>
        </w:tc>
        <w:tc>
          <w:tcPr>
            <w:tcW w:w="240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341598FF" w:rsidP="341598FF" w:rsidRDefault="341598FF" w14:paraId="385188D9" w14:textId="77D787D3">
            <w:pPr>
              <w:pStyle w:val="Normal"/>
              <w:widowControl w:val="0"/>
              <w:spacing w:before="80" w:beforeAutospacing="off" w:after="80" w:afterAutospacing="off"/>
              <w:jc w:val="left"/>
            </w:pPr>
            <w:r w:rsidR="341598FF">
              <w:rPr/>
              <w:t>Acesso à Formação Continuada (%)</w:t>
            </w:r>
          </w:p>
        </w:tc>
      </w:tr>
      <w:tr w:rsidR="341598FF" w:rsidTr="341598FF" w14:paraId="4753B9AB">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399A8E1" w14:textId="35DB07B9">
            <w:pPr>
              <w:pStyle w:val="Normal"/>
              <w:widowControl w:val="0"/>
              <w:spacing w:before="80" w:beforeAutospacing="off" w:after="80" w:afterAutospacing="off"/>
            </w:pPr>
            <w:r w:rsidR="341598FF">
              <w:rPr/>
              <w:t>Indeterminado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F9949A0" w14:textId="6D24F2F8">
            <w:pPr>
              <w:pStyle w:val="Normal"/>
              <w:widowControl w:val="0"/>
              <w:spacing w:before="80" w:beforeAutospacing="off" w:after="80" w:afterAutospacing="off"/>
              <w:jc w:val="center"/>
            </w:pPr>
            <w:r w:rsidR="341598FF">
              <w:rPr/>
              <w:t>78</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FC46BC9" w14:textId="6688E81F">
            <w:pPr>
              <w:pStyle w:val="Normal"/>
              <w:widowControl w:val="0"/>
              <w:spacing w:before="80" w:beforeAutospacing="off" w:after="80" w:afterAutospacing="off"/>
              <w:jc w:val="center"/>
            </w:pPr>
            <w:r w:rsidR="341598FF">
              <w:rPr/>
              <w:t>42</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DEB53A1" w14:textId="08BBCDAA">
            <w:pPr>
              <w:pStyle w:val="Normal"/>
              <w:widowControl w:val="0"/>
              <w:spacing w:before="80" w:beforeAutospacing="off" w:after="80" w:afterAutospacing="off"/>
              <w:jc w:val="center"/>
            </w:pPr>
            <w:r w:rsidR="341598FF">
              <w:rPr/>
              <w:t>65</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A5A48B7" w14:textId="624D7DAB">
            <w:pPr>
              <w:pStyle w:val="Normal"/>
              <w:widowControl w:val="0"/>
              <w:spacing w:before="80" w:beforeAutospacing="off" w:after="80" w:afterAutospacing="off"/>
              <w:jc w:val="center"/>
            </w:pPr>
            <w:r w:rsidR="341598FF">
              <w:rPr/>
              <w:t>70</w:t>
            </w:r>
          </w:p>
        </w:tc>
      </w:tr>
      <w:tr w:rsidR="341598FF" w:rsidTr="341598FF" w14:paraId="58C5D47E">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983794F" w14:textId="62EC314D">
            <w:pPr>
              <w:pStyle w:val="Normal"/>
              <w:widowControl w:val="0"/>
              <w:spacing w:before="80" w:beforeAutospacing="off" w:after="80" w:afterAutospacing="off"/>
            </w:pPr>
            <w:r w:rsidR="341598FF">
              <w:rPr/>
              <w:t>Estágio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89EBD96" w14:textId="3F675EE6">
            <w:pPr>
              <w:pStyle w:val="Normal"/>
              <w:widowControl w:val="0"/>
              <w:spacing w:before="80" w:beforeAutospacing="off" w:after="80" w:afterAutospacing="off"/>
              <w:jc w:val="center"/>
            </w:pPr>
            <w:r w:rsidR="341598FF">
              <w:rPr/>
              <w:t>72</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6FAC5E4" w14:textId="18F836B3">
            <w:pPr>
              <w:pStyle w:val="Normal"/>
              <w:widowControl w:val="0"/>
              <w:spacing w:before="80" w:beforeAutospacing="off" w:after="80" w:afterAutospacing="off"/>
              <w:jc w:val="center"/>
            </w:pPr>
            <w:r w:rsidR="341598FF">
              <w:rPr/>
              <w:t>28</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64BB7441" w14:textId="4455336A">
            <w:pPr>
              <w:pStyle w:val="Normal"/>
              <w:widowControl w:val="0"/>
              <w:spacing w:before="80" w:beforeAutospacing="off" w:after="80" w:afterAutospacing="off"/>
              <w:jc w:val="center"/>
            </w:pPr>
            <w:r w:rsidR="341598FF">
              <w:rPr/>
              <w:t>58</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0FBE03EA" w14:textId="3AE5EB6A">
            <w:pPr>
              <w:pStyle w:val="Normal"/>
              <w:widowControl w:val="0"/>
              <w:spacing w:before="80" w:beforeAutospacing="off" w:after="80" w:afterAutospacing="off"/>
              <w:jc w:val="center"/>
            </w:pPr>
            <w:r w:rsidR="341598FF">
              <w:rPr/>
              <w:t>66</w:t>
            </w:r>
          </w:p>
        </w:tc>
      </w:tr>
      <w:tr w:rsidR="341598FF" w:rsidTr="341598FF" w14:paraId="24F955DB">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D18FC4F" w14:textId="7AD67A58">
            <w:pPr>
              <w:pStyle w:val="Normal"/>
              <w:widowControl w:val="0"/>
              <w:spacing w:before="80" w:beforeAutospacing="off" w:after="80" w:afterAutospacing="off"/>
            </w:pPr>
            <w:r w:rsidR="341598FF">
              <w:rPr/>
              <w:t>Determinado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2CE81F4" w14:textId="2FA31544">
            <w:pPr>
              <w:pStyle w:val="Normal"/>
              <w:widowControl w:val="0"/>
              <w:spacing w:before="80" w:beforeAutospacing="off" w:after="80" w:afterAutospacing="off"/>
              <w:jc w:val="center"/>
            </w:pPr>
            <w:r w:rsidR="341598FF">
              <w:rPr/>
              <w:t>54</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8A4A5B3" w14:textId="0A38D066">
            <w:pPr>
              <w:pStyle w:val="Normal"/>
              <w:widowControl w:val="0"/>
              <w:spacing w:before="80" w:beforeAutospacing="off" w:after="80" w:afterAutospacing="off"/>
              <w:jc w:val="center"/>
            </w:pPr>
            <w:r w:rsidR="341598FF">
              <w:rPr/>
              <w:t>21</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8213D8C" w14:textId="404F9E1F">
            <w:pPr>
              <w:pStyle w:val="Normal"/>
              <w:widowControl w:val="0"/>
              <w:spacing w:before="80" w:beforeAutospacing="off" w:after="80" w:afterAutospacing="off"/>
              <w:jc w:val="center"/>
            </w:pPr>
            <w:r w:rsidR="341598FF">
              <w:rPr/>
              <w:t>40</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51226D9A" w14:textId="0EDFEE54">
            <w:pPr>
              <w:pStyle w:val="Normal"/>
              <w:widowControl w:val="0"/>
              <w:spacing w:before="80" w:beforeAutospacing="off" w:after="80" w:afterAutospacing="off"/>
              <w:jc w:val="center"/>
            </w:pPr>
            <w:r w:rsidR="341598FF">
              <w:rPr/>
              <w:t>48</w:t>
            </w:r>
          </w:p>
        </w:tc>
      </w:tr>
      <w:tr w:rsidR="341598FF" w:rsidTr="341598FF" w14:paraId="030C0182">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22E1AEFD" w14:textId="47491DE5">
            <w:pPr>
              <w:pStyle w:val="Normal"/>
              <w:widowControl w:val="0"/>
              <w:spacing w:before="80" w:beforeAutospacing="off" w:after="80" w:afterAutospacing="off"/>
            </w:pPr>
            <w:r w:rsidR="341598FF">
              <w:rPr/>
              <w:t>Intermitente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4E28B41F" w14:textId="2D23030F">
            <w:pPr>
              <w:pStyle w:val="Normal"/>
              <w:widowControl w:val="0"/>
              <w:spacing w:before="80" w:beforeAutospacing="off" w:after="80" w:afterAutospacing="off"/>
              <w:jc w:val="center"/>
            </w:pPr>
            <w:r w:rsidR="341598FF">
              <w:rPr/>
              <w:t>38</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D1704DE" w14:textId="06243691">
            <w:pPr>
              <w:pStyle w:val="Normal"/>
              <w:widowControl w:val="0"/>
              <w:spacing w:before="80" w:beforeAutospacing="off" w:after="80" w:afterAutospacing="off"/>
              <w:jc w:val="center"/>
            </w:pPr>
            <w:r w:rsidR="341598FF">
              <w:rPr/>
              <w:t>12</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7FF4C117" w14:textId="1001DA41">
            <w:pPr>
              <w:pStyle w:val="Normal"/>
              <w:widowControl w:val="0"/>
              <w:spacing w:before="80" w:beforeAutospacing="off" w:after="80" w:afterAutospacing="off"/>
              <w:jc w:val="center"/>
            </w:pPr>
            <w:r w:rsidR="341598FF">
              <w:rPr/>
              <w:t>25</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341598FF" w:rsidP="341598FF" w:rsidRDefault="341598FF" w14:paraId="3AD36981" w14:textId="5CEFD208">
            <w:pPr>
              <w:pStyle w:val="Normal"/>
              <w:widowControl w:val="0"/>
              <w:spacing w:before="80" w:beforeAutospacing="off" w:after="80" w:afterAutospacing="off"/>
              <w:jc w:val="center"/>
            </w:pPr>
            <w:r w:rsidR="341598FF">
              <w:rPr/>
              <w:t>30</w:t>
            </w:r>
          </w:p>
        </w:tc>
      </w:tr>
      <w:tr w:rsidR="341598FF" w:rsidTr="341598FF" w14:paraId="7DD5CDBC">
        <w:trPr>
          <w:trHeight w:val="300"/>
        </w:trPr>
        <w:tc>
          <w:tcPr>
            <w:tcW w:w="9900" w:type="dxa"/>
            <w:gridSpan w:val="5"/>
            <w:tcMar/>
          </w:tcPr>
          <w:p w:rsidR="341598FF" w:rsidP="341598FF" w:rsidRDefault="341598FF" w14:paraId="7FDA2DB3" w14:textId="1F58AF9C">
            <w:pPr>
              <w:pStyle w:val="Normal"/>
              <w:jc w:val="center"/>
              <w:rPr>
                <w:noProof w:val="0"/>
                <w:sz w:val="18"/>
                <w:szCs w:val="18"/>
                <w:lang w:val="pt-BR"/>
              </w:rPr>
            </w:pPr>
          </w:p>
          <w:p w:rsidR="29F93131" w:rsidP="341598FF" w:rsidRDefault="29F93131" w14:paraId="0010F7AA" w14:textId="19AA0A9D">
            <w:pPr>
              <w:pStyle w:val="Normal"/>
              <w:jc w:val="center"/>
              <w:rPr>
                <w:rFonts w:ascii="Aptos" w:hAnsi="Aptos" w:eastAsia="Aptos" w:cs="Aptos"/>
                <w:b w:val="0"/>
                <w:bCs w:val="0"/>
                <w:i w:val="0"/>
                <w:iCs w:val="0"/>
                <w:caps w:val="0"/>
                <w:smallCaps w:val="0"/>
                <w:noProof w:val="0"/>
                <w:color w:val="F5F5F5"/>
                <w:sz w:val="18"/>
                <w:szCs w:val="18"/>
                <w:lang w:val="pt-BR"/>
              </w:rPr>
            </w:pPr>
            <w:r w:rsidRPr="341598FF" w:rsidR="29F93131">
              <w:rPr>
                <w:noProof w:val="0"/>
                <w:sz w:val="18"/>
                <w:szCs w:val="18"/>
                <w:lang w:val="pt-BR"/>
              </w:rPr>
              <w:t>Tabela 2.9 – Indicadores de responsabilidade social por modelo contratual. Comparação entre modalidades contratuais e seus impactos sociais.</w:t>
            </w:r>
          </w:p>
          <w:p w:rsidR="29F93131" w:rsidP="341598FF" w:rsidRDefault="29F93131" w14:paraId="222DF2CA" w14:textId="4EF4E02F">
            <w:pPr>
              <w:pStyle w:val="Normal"/>
              <w:jc w:val="center"/>
              <w:rPr>
                <w:rFonts w:ascii="Aptos" w:hAnsi="Aptos" w:eastAsia="Aptos" w:cs="Aptos"/>
                <w:b w:val="0"/>
                <w:bCs w:val="0"/>
                <w:i w:val="0"/>
                <w:iCs w:val="0"/>
                <w:caps w:val="0"/>
                <w:smallCaps w:val="0"/>
                <w:noProof w:val="0"/>
                <w:color w:val="F5F5F5"/>
                <w:sz w:val="18"/>
                <w:szCs w:val="18"/>
                <w:lang w:val="pt-BR"/>
              </w:rPr>
            </w:pPr>
            <w:r w:rsidRPr="341598FF" w:rsidR="29F93131">
              <w:rPr>
                <w:noProof w:val="0"/>
                <w:sz w:val="18"/>
                <w:szCs w:val="18"/>
                <w:lang w:val="pt-BR"/>
              </w:rPr>
              <w:t>Fonte: IBGE (2021), McKinsey (2020).</w:t>
            </w:r>
          </w:p>
        </w:tc>
      </w:tr>
    </w:tbl>
    <w:p xmlns:wp14="http://schemas.microsoft.com/office/word/2010/wordml" w:rsidP="341598FF" wp14:paraId="0E651D45" wp14:textId="68C59CBD">
      <w:pPr>
        <w:pStyle w:val="Normal"/>
        <w:jc w:val="both"/>
        <w:rPr>
          <w:noProof w:val="0"/>
          <w:lang w:val="pt-BR"/>
        </w:rPr>
      </w:pPr>
    </w:p>
    <w:p xmlns:wp14="http://schemas.microsoft.com/office/word/2010/wordml" w:rsidP="341598FF" wp14:paraId="45BD7F81" wp14:textId="15582DFF">
      <w:pPr>
        <w:pStyle w:val="Normal"/>
        <w:jc w:val="both"/>
        <w:rPr>
          <w:noProof w:val="0"/>
          <w:lang w:val="pt-BR"/>
        </w:rPr>
      </w:pPr>
      <w:r w:rsidRPr="341598FF" w:rsidR="427ECC5A">
        <w:rPr>
          <w:noProof w:val="0"/>
          <w:lang w:val="pt-BR"/>
        </w:rPr>
        <w:t>A Tabela 2.9 apresenta os princip</w:t>
      </w:r>
      <w:r w:rsidRPr="341598FF" w:rsidR="427ECC5A">
        <w:rPr>
          <w:noProof w:val="0"/>
          <w:lang w:val="pt-BR"/>
        </w:rPr>
        <w:t>ai</w:t>
      </w:r>
      <w:r w:rsidRPr="341598FF" w:rsidR="427ECC5A">
        <w:rPr>
          <w:noProof w:val="0"/>
          <w:lang w:val="pt-BR"/>
        </w:rPr>
        <w:t>s indicadores de responsabilidade social por modelo contratual, consolidando dados de fontes oficiais e consultorias especializadas. Os contratos indeterminados lideram em todos os critérios analisados, com destaque para inclusão produtiva (78%) e acesso à formação continuada (70%), evidenciando seu papel estratégico na promoção de ambientes corporativos mais equitativos e sustentáveis. O modelo de estágio também apresenta desempenho relevante, especialmente em inclusão e formação, sendo eficaz como porta de entrada para grupos minorizados. Em contrapartida, os contratos determinados e intermitentes revelam impactos sociais mais limitados, com baixa diversidade em liderança e menor participação em programas ESG. Este artefato serve como referência para gestores de RH e líderes institucionais avaliarem o impacto social de suas políticas de contratação, integrando métricas de equidade às decisões estratégicas.</w:t>
      </w:r>
    </w:p>
    <w:p xmlns:wp14="http://schemas.microsoft.com/office/word/2010/wordml" w:rsidP="341598FF" wp14:paraId="700D3B5A" wp14:textId="726C11F3">
      <w:pPr>
        <w:pStyle w:val="Normal"/>
        <w:bidi w:val="0"/>
        <w:jc w:val="both"/>
      </w:pPr>
      <w:r w:rsidRPr="341598FF" w:rsidR="52706B23">
        <w:rPr>
          <w:noProof w:val="0"/>
          <w:lang w:val="pt-BR"/>
        </w:rPr>
        <w:t>Os dados da Tabela 2.</w:t>
      </w:r>
      <w:r w:rsidRPr="341598FF" w:rsidR="0321345E">
        <w:rPr>
          <w:noProof w:val="0"/>
          <w:lang w:val="pt-BR"/>
        </w:rPr>
        <w:t>9</w:t>
      </w:r>
      <w:r w:rsidRPr="341598FF" w:rsidR="52706B23">
        <w:rPr>
          <w:noProof w:val="0"/>
          <w:lang w:val="pt-BR"/>
        </w:rPr>
        <w:t xml:space="preserve"> demonstram que contratos indeterminados e de estágio são os mais eficazes para promover responsabilidade social. Já os contratos determinados e intermitentes apresentam indicadores inferiores, reforçando a necessidade de políticas de mitigação.</w:t>
      </w:r>
    </w:p>
    <w:p xmlns:wp14="http://schemas.microsoft.com/office/word/2010/wordml" w:rsidP="341598FF" wp14:paraId="37994049" wp14:textId="771F1CCB">
      <w:pPr>
        <w:pStyle w:val="Normal"/>
        <w:bidi w:val="0"/>
        <w:jc w:val="both"/>
      </w:pPr>
      <w:r w:rsidRPr="341598FF" w:rsidR="52706B23">
        <w:rPr>
          <w:noProof w:val="0"/>
          <w:lang w:val="pt-BR"/>
        </w:rPr>
        <w:t>O RH deve atuar como integrador entre políticas de diversidade e métricas de compliance. Isso significa que a gestão contratual deve ser acompanhada de mecanismos de monitoramento e auditoria, garantindo que práticas discriminatórias sejam prevenidas e que os indicadores ESG sejam cumpridos.</w:t>
      </w:r>
    </w:p>
    <w:p xmlns:wp14="http://schemas.microsoft.com/office/word/2010/wordml" w:rsidP="341598FF" wp14:paraId="7E94DA29" wp14:textId="4FA31860">
      <w:pPr>
        <w:pStyle w:val="Normal"/>
        <w:bidi w:val="0"/>
        <w:jc w:val="both"/>
        <w:rPr>
          <w:noProof w:val="0"/>
          <w:lang w:val="pt-BR"/>
        </w:rPr>
      </w:pPr>
      <w:r w:rsidRPr="341598FF" w:rsidR="52706B23">
        <w:rPr>
          <w:noProof w:val="0"/>
          <w:lang w:val="pt-BR"/>
        </w:rPr>
        <w:t xml:space="preserve">Segundo relatório da </w:t>
      </w:r>
      <w:r w:rsidRPr="341598FF" w:rsidR="52706B23">
        <w:rPr>
          <w:noProof w:val="0"/>
          <w:lang w:val="pt-BR"/>
        </w:rPr>
        <w:t>PwC</w:t>
      </w:r>
      <w:r w:rsidRPr="341598FF" w:rsidR="52706B23">
        <w:rPr>
          <w:noProof w:val="0"/>
          <w:lang w:val="pt-BR"/>
        </w:rPr>
        <w:t xml:space="preserve"> (2021), empresas que alinham contratos indeterminados a indicadores ESG registram aumento de até 20% na reputação institucional. Esse dado reforça que a responsabilidade social não é apenas uma pauta ética, mas também estratégica para a competitividade corporativa.</w:t>
      </w:r>
    </w:p>
    <w:p xmlns:wp14="http://schemas.microsoft.com/office/word/2010/wordml" w:rsidP="341598FF" wp14:paraId="009702E2" wp14:textId="12B1F2D0">
      <w:pPr>
        <w:pStyle w:val="Normal"/>
        <w:bidi w:val="0"/>
        <w:jc w:val="both"/>
        <w:rPr>
          <w:noProof w:val="0"/>
          <w:lang w:val="pt-BR"/>
        </w:rPr>
      </w:pP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67BCE827">
        <w:trPr>
          <w:trHeight w:val="300"/>
        </w:trPr>
        <w:tc>
          <w:tcPr>
            <w:tcW w:w="9900" w:type="dxa"/>
            <w:tcMar/>
          </w:tcPr>
          <w:p w:rsidR="3AD033EE" w:rsidP="341598FF" w:rsidRDefault="3AD033EE" w14:paraId="08E070E6" w14:textId="3A3C5913">
            <w:pPr>
              <w:pStyle w:val="Normal"/>
              <w:bidi w:val="0"/>
              <w:jc w:val="center"/>
              <w:rPr>
                <w:noProof w:val="0"/>
                <w:lang w:val="pt-BR"/>
              </w:rPr>
            </w:pPr>
            <w:r w:rsidR="3AD033EE">
              <w:drawing>
                <wp:inline wp14:editId="04425F29" wp14:anchorId="3B13B05E">
                  <wp:extent cx="3419475" cy="3419475"/>
                  <wp:effectExtent l="0" t="0" r="0" b="0"/>
                  <wp:docPr id="1532245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2245499" name="Picture 15322454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001562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19475" cy="3419475"/>
                          </a:xfrm>
                          <a:prstGeom xmlns:a="http://schemas.openxmlformats.org/drawingml/2006/main" prst="rect">
                            <a:avLst xmlns:a="http://schemas.openxmlformats.org/drawingml/2006/main"/>
                          </a:prstGeom>
                        </pic:spPr>
                      </pic:pic>
                    </a:graphicData>
                  </a:graphic>
                </wp:inline>
              </w:drawing>
            </w:r>
          </w:p>
        </w:tc>
      </w:tr>
      <w:tr w:rsidR="341598FF" w:rsidTr="341598FF" w14:paraId="7D0E1348">
        <w:trPr>
          <w:trHeight w:val="300"/>
        </w:trPr>
        <w:tc>
          <w:tcPr>
            <w:tcW w:w="9900" w:type="dxa"/>
            <w:tcMar/>
          </w:tcPr>
          <w:p w:rsidR="341598FF" w:rsidP="341598FF" w:rsidRDefault="341598FF" w14:paraId="0CD5DA28" w14:textId="7A041FC8">
            <w:pPr>
              <w:pStyle w:val="Normal"/>
              <w:bidi w:val="0"/>
              <w:jc w:val="center"/>
              <w:rPr>
                <w:noProof w:val="0"/>
                <w:sz w:val="18"/>
                <w:szCs w:val="18"/>
                <w:lang w:val="pt-BR"/>
              </w:rPr>
            </w:pPr>
          </w:p>
          <w:p w:rsidR="3AD033EE" w:rsidP="341598FF" w:rsidRDefault="3AD033EE" w14:paraId="0C0F4690" w14:textId="26D389F7">
            <w:pPr>
              <w:pStyle w:val="Normal"/>
              <w:bidi w:val="0"/>
              <w:jc w:val="center"/>
              <w:rPr>
                <w:noProof w:val="0"/>
                <w:sz w:val="18"/>
                <w:szCs w:val="18"/>
                <w:lang w:val="pt-BR"/>
              </w:rPr>
            </w:pPr>
            <w:r w:rsidRPr="341598FF" w:rsidR="3AD033EE">
              <w:rPr>
                <w:noProof w:val="0"/>
                <w:sz w:val="18"/>
                <w:szCs w:val="18"/>
                <w:lang w:val="pt-BR"/>
              </w:rPr>
              <w:t xml:space="preserve">Figura 2.9 – Dashboard de indicadores ESG aplicados à gestão contratual. </w:t>
            </w:r>
          </w:p>
          <w:p w:rsidR="3AD033EE" w:rsidP="341598FF" w:rsidRDefault="3AD033EE" w14:paraId="5E471FCF" w14:textId="61C85957">
            <w:pPr>
              <w:pStyle w:val="Normal"/>
              <w:bidi w:val="0"/>
              <w:jc w:val="center"/>
              <w:rPr>
                <w:noProof w:val="0"/>
                <w:sz w:val="18"/>
                <w:szCs w:val="18"/>
                <w:lang w:val="pt-BR"/>
              </w:rPr>
            </w:pPr>
            <w:r w:rsidRPr="341598FF" w:rsidR="3AD033EE">
              <w:rPr>
                <w:noProof w:val="0"/>
                <w:sz w:val="18"/>
                <w:szCs w:val="18"/>
                <w:lang w:val="pt-BR"/>
              </w:rPr>
              <w:t>Consolidação de métricas ESG por modalidade contratual.</w:t>
            </w:r>
          </w:p>
          <w:p w:rsidR="3AD033EE" w:rsidP="341598FF" w:rsidRDefault="3AD033EE" w14:paraId="3FA07348" w14:textId="3B8EFC39">
            <w:pPr>
              <w:pStyle w:val="Normal"/>
              <w:bidi w:val="0"/>
              <w:jc w:val="center"/>
              <w:rPr>
                <w:noProof w:val="0"/>
                <w:sz w:val="18"/>
                <w:szCs w:val="18"/>
                <w:lang w:val="pt-BR"/>
              </w:rPr>
            </w:pPr>
            <w:r w:rsidRPr="341598FF" w:rsidR="3AD033EE">
              <w:rPr>
                <w:noProof w:val="0"/>
                <w:sz w:val="18"/>
                <w:szCs w:val="18"/>
                <w:lang w:val="pt-BR"/>
              </w:rPr>
              <w:t xml:space="preserve">Fonte: </w:t>
            </w:r>
            <w:r w:rsidRPr="341598FF" w:rsidR="3AD033EE">
              <w:rPr>
                <w:noProof w:val="0"/>
                <w:sz w:val="18"/>
                <w:szCs w:val="18"/>
                <w:lang w:val="pt-BR"/>
              </w:rPr>
              <w:t>PwC (2021), Deloitte (2022).</w:t>
            </w:r>
          </w:p>
        </w:tc>
      </w:tr>
    </w:tbl>
    <w:p xmlns:wp14="http://schemas.microsoft.com/office/word/2010/wordml" w:rsidP="341598FF" wp14:paraId="3EED5880" wp14:textId="1ACA4F37">
      <w:pPr>
        <w:pStyle w:val="Normal"/>
        <w:bidi w:val="0"/>
        <w:jc w:val="both"/>
        <w:rPr>
          <w:noProof w:val="0"/>
          <w:lang w:val="pt-BR"/>
        </w:rPr>
      </w:pPr>
    </w:p>
    <w:p xmlns:wp14="http://schemas.microsoft.com/office/word/2010/wordml" w:rsidP="341598FF" wp14:paraId="430C6376" wp14:textId="6249C39E">
      <w:pPr>
        <w:pStyle w:val="Normal"/>
        <w:bidi w:val="0"/>
        <w:jc w:val="both"/>
        <w:rPr>
          <w:noProof w:val="0"/>
          <w:lang w:val="pt-BR"/>
        </w:rPr>
      </w:pPr>
      <w:r w:rsidRPr="341598FF" w:rsidR="15B535E2">
        <w:rPr>
          <w:noProof w:val="0"/>
          <w:lang w:val="pt-BR"/>
        </w:rPr>
        <w:t>A Fig</w:t>
      </w:r>
      <w:r w:rsidRPr="341598FF" w:rsidR="15B535E2">
        <w:rPr>
          <w:noProof w:val="0"/>
          <w:lang w:val="pt-BR"/>
        </w:rPr>
        <w:t>ura 2.9 apresenta um Dashboard de Indicadores ESG aplicados à gestão contratual, consolidando métricas de inclusão, equidade e compliance em diferentes modalidades de vínculo. O artefato organiza os dados em colunas comparativas, permitindo visualizar de forma clara o desempenho dos contratos indeterminados, determinados, de estágio e intermitentes. Os contratos indeterminados se destacam com os maiores índices de inclusão (80%), equidade (74%) e compliance (77%), reforçando sua relevância estratégica para programas de diversidade e sustentabilidade corporativa. O modelo de estágio também apresenta resultados expressivos em inclusão (65%), evidenciando seu papel como porta de entrada para grupos minorizados. Já os contratos determinados e intermitentes revelam métricas mais baixas, sinalizando desafios em equidade e conformidade regulatória. Este dashboard funciona como uma ferramenta prática para gestores de RH e líderes institucionais avaliarem o alinhamento dos vínculos contratuais às metas ESG, integrando dados sociais e regulatórios às decisões estratégicas.</w:t>
      </w:r>
    </w:p>
    <w:p xmlns:wp14="http://schemas.microsoft.com/office/word/2010/wordml" w:rsidP="341598FF" wp14:paraId="528F54FB" wp14:textId="75CCBB0F">
      <w:pPr>
        <w:pStyle w:val="Normal"/>
        <w:bidi w:val="0"/>
        <w:jc w:val="both"/>
      </w:pPr>
      <w:r w:rsidRPr="341598FF" w:rsidR="52706B23">
        <w:rPr>
          <w:noProof w:val="0"/>
          <w:lang w:val="pt-BR"/>
        </w:rPr>
        <w:t>Esse dashboard permite que gestores visualizem de forma integrada os impactos sociais e regulatórios dos contratos, facilitando a tomada de decisão estratégica e o alinhamento às metas corporativas de sustentabilidade.</w:t>
      </w:r>
    </w:p>
    <w:p xmlns:wp14="http://schemas.microsoft.com/office/word/2010/wordml" w:rsidP="341598FF" wp14:paraId="60DA58A3" wp14:textId="116F7292">
      <w:pPr>
        <w:pStyle w:val="Normal"/>
        <w:bidi w:val="0"/>
        <w:jc w:val="both"/>
      </w:pPr>
      <w:r w:rsidRPr="341598FF" w:rsidR="52706B23">
        <w:rPr>
          <w:noProof w:val="0"/>
          <w:lang w:val="pt-BR"/>
        </w:rPr>
        <w:t>Estudos de caso reforçam essa perspectiva. A empresa Natura, segundo relatório do Instituto Ethos (2022), estruturou programas de diversidade vinculados a contratos indeterminados, integrando indicadores ESG às suas métricas de RH. O resultado foi um aumento de 30% na retenção de talentos diversos.</w:t>
      </w:r>
    </w:p>
    <w:p xmlns:wp14="http://schemas.microsoft.com/office/word/2010/wordml" w:rsidP="341598FF" wp14:paraId="0826220B" wp14:textId="302E4C25">
      <w:pPr>
        <w:pStyle w:val="Normal"/>
        <w:bidi w:val="0"/>
        <w:jc w:val="both"/>
      </w:pPr>
      <w:r w:rsidRPr="341598FF" w:rsidR="52706B23">
        <w:rPr>
          <w:noProof w:val="0"/>
          <w:lang w:val="pt-BR"/>
        </w:rPr>
        <w:t>Outro exemplo é a Ambev, que implementou políticas de contratação voltadas para pessoas com deficiência em contratos de estágio. Segundo a Rede Empresarial de Inclusão Social (2021), essa iniciativa resultou em maior inclusão produtiva e fortalecimento da reputação institucional.</w:t>
      </w:r>
    </w:p>
    <w:p xmlns:wp14="http://schemas.microsoft.com/office/word/2010/wordml" w:rsidP="341598FF" wp14:paraId="3385E572" wp14:textId="710598E2">
      <w:pPr>
        <w:pStyle w:val="Normal"/>
        <w:bidi w:val="0"/>
        <w:jc w:val="both"/>
      </w:pPr>
      <w:r w:rsidRPr="341598FF" w:rsidR="52706B23">
        <w:rPr>
          <w:noProof w:val="0"/>
          <w:lang w:val="pt-BR"/>
        </w:rPr>
        <w:t>Esses casos demonstram que o RH, ao alinhar modelos contratuais às estratégias de responsabilidade social, pode transformar a cultura organizacional e gerar impacto positivo tanto para os trabalhadores quanto para a empresa.</w:t>
      </w:r>
    </w:p>
    <w:p xmlns:wp14="http://schemas.microsoft.com/office/word/2010/wordml" w:rsidP="341598FF" wp14:paraId="7A0E55F0" wp14:textId="1CD453EA">
      <w:pPr>
        <w:pStyle w:val="Normal"/>
        <w:bidi w:val="0"/>
        <w:jc w:val="both"/>
      </w:pPr>
      <w:r w:rsidRPr="341598FF" w:rsidR="52706B23">
        <w:rPr>
          <w:noProof w:val="0"/>
          <w:lang w:val="pt-BR"/>
        </w:rPr>
        <w:t>Do ponto de vista regulatório, o Ministério Público do Trabalho (MPT) reforça a importância de contratos formais para garantir equidade e reduzir práticas discriminatórias. Relatórios do MPT (2021) destacam que vínculos indeterminados são fundamentais para assegurar direitos trabalhistas e promover inclusão.</w:t>
      </w:r>
    </w:p>
    <w:p xmlns:wp14="http://schemas.microsoft.com/office/word/2010/wordml" w:rsidP="341598FF" wp14:paraId="798D5D49" wp14:textId="2D588A17">
      <w:pPr>
        <w:pStyle w:val="Normal"/>
        <w:bidi w:val="0"/>
        <w:jc w:val="both"/>
      </w:pPr>
      <w:r w:rsidRPr="341598FF" w:rsidR="52706B23">
        <w:rPr>
          <w:noProof w:val="0"/>
          <w:lang w:val="pt-BR"/>
        </w:rPr>
        <w:t>O RH deve, portanto, adotar frameworks de decisão que integrem indicadores ESG e métricas de ROI social. Isso significa que a escolha de modelos contratuais deve considerar não apenas a legislação vigente, mas também os impactos sociais e reputacionais.</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5FB4F379">
        <w:trPr>
          <w:trHeight w:val="300"/>
        </w:trPr>
        <w:tc>
          <w:tcPr>
            <w:tcW w:w="9900" w:type="dxa"/>
            <w:tcMar/>
          </w:tcPr>
          <w:p w:rsidR="3DA20CF1" w:rsidP="341598FF" w:rsidRDefault="3DA20CF1" w14:paraId="5E006151" w14:textId="6B395E20">
            <w:pPr>
              <w:pStyle w:val="Normal"/>
              <w:bidi w:val="0"/>
              <w:jc w:val="center"/>
              <w:rPr>
                <w:noProof w:val="0"/>
                <w:lang w:val="pt-BR"/>
              </w:rPr>
            </w:pPr>
            <w:r w:rsidR="3DA20CF1">
              <w:drawing>
                <wp:inline wp14:editId="4D2CC8E3" wp14:anchorId="04F56682">
                  <wp:extent cx="3838575" cy="3838575"/>
                  <wp:effectExtent l="0" t="0" r="0" b="0"/>
                  <wp:docPr id="1549378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9378771" name="Picture 154937877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05349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838575" cy="3838575"/>
                          </a:xfrm>
                          <a:prstGeom xmlns:a="http://schemas.openxmlformats.org/drawingml/2006/main" prst="rect">
                            <a:avLst xmlns:a="http://schemas.openxmlformats.org/drawingml/2006/main"/>
                          </a:prstGeom>
                        </pic:spPr>
                      </pic:pic>
                    </a:graphicData>
                  </a:graphic>
                </wp:inline>
              </w:drawing>
            </w:r>
          </w:p>
        </w:tc>
      </w:tr>
      <w:tr w:rsidR="341598FF" w:rsidTr="341598FF" w14:paraId="12CFEE6C">
        <w:trPr>
          <w:trHeight w:val="300"/>
        </w:trPr>
        <w:tc>
          <w:tcPr>
            <w:tcW w:w="9900" w:type="dxa"/>
            <w:tcMar/>
          </w:tcPr>
          <w:p w:rsidR="341598FF" w:rsidP="341598FF" w:rsidRDefault="341598FF" w14:paraId="14BAC0F8" w14:textId="6BEE5837">
            <w:pPr>
              <w:pStyle w:val="Normal"/>
              <w:bidi w:val="0"/>
              <w:jc w:val="center"/>
              <w:rPr>
                <w:noProof w:val="0"/>
                <w:sz w:val="18"/>
                <w:szCs w:val="18"/>
                <w:lang w:val="pt-BR"/>
              </w:rPr>
            </w:pPr>
          </w:p>
          <w:p w:rsidR="3DA20CF1" w:rsidP="341598FF" w:rsidRDefault="3DA20CF1" w14:paraId="271C695A" w14:textId="128E5969">
            <w:pPr>
              <w:pStyle w:val="Normal"/>
              <w:bidi w:val="0"/>
              <w:jc w:val="center"/>
              <w:rPr>
                <w:noProof w:val="0"/>
                <w:sz w:val="18"/>
                <w:szCs w:val="18"/>
                <w:lang w:val="pt-BR"/>
              </w:rPr>
            </w:pPr>
            <w:r w:rsidRPr="341598FF" w:rsidR="3DA20CF1">
              <w:rPr>
                <w:noProof w:val="0"/>
                <w:sz w:val="18"/>
                <w:szCs w:val="18"/>
                <w:lang w:val="pt-BR"/>
              </w:rPr>
              <w:t xml:space="preserve">Figura 3.0 – Framework de integração entre diversidade, compliance e ROI. </w:t>
            </w:r>
          </w:p>
          <w:p w:rsidR="3DA20CF1" w:rsidP="341598FF" w:rsidRDefault="3DA20CF1" w14:paraId="0B938491" w14:textId="4CD1D4F8">
            <w:pPr>
              <w:pStyle w:val="Normal"/>
              <w:bidi w:val="0"/>
              <w:jc w:val="center"/>
              <w:rPr>
                <w:noProof w:val="0"/>
                <w:sz w:val="18"/>
                <w:szCs w:val="18"/>
                <w:lang w:val="pt-BR"/>
              </w:rPr>
            </w:pPr>
            <w:r w:rsidRPr="341598FF" w:rsidR="3DA20CF1">
              <w:rPr>
                <w:noProof w:val="0"/>
                <w:sz w:val="18"/>
                <w:szCs w:val="18"/>
                <w:lang w:val="pt-BR"/>
              </w:rPr>
              <w:t>Critérios de decisão para adoção de modelos contratuais inclusivos e sustentáveis.</w:t>
            </w:r>
          </w:p>
          <w:p w:rsidR="3DA20CF1" w:rsidP="341598FF" w:rsidRDefault="3DA20CF1" w14:paraId="4BDE24A7" w14:textId="58DD706A">
            <w:pPr>
              <w:pStyle w:val="Normal"/>
              <w:bidi w:val="0"/>
              <w:jc w:val="center"/>
              <w:rPr>
                <w:noProof w:val="0"/>
                <w:sz w:val="18"/>
                <w:szCs w:val="18"/>
                <w:lang w:val="pt-BR"/>
              </w:rPr>
            </w:pPr>
            <w:r w:rsidRPr="341598FF" w:rsidR="3DA20CF1">
              <w:rPr>
                <w:noProof w:val="0"/>
                <w:sz w:val="18"/>
                <w:szCs w:val="18"/>
                <w:lang w:val="pt-BR"/>
              </w:rPr>
              <w:t>Fonte: Deloitte (2022), McKinsey (2020).</w:t>
            </w:r>
          </w:p>
        </w:tc>
      </w:tr>
    </w:tbl>
    <w:p xmlns:wp14="http://schemas.microsoft.com/office/word/2010/wordml" w:rsidP="341598FF" wp14:paraId="7C32CBB8" wp14:textId="3F9BA305">
      <w:pPr>
        <w:pStyle w:val="Normal"/>
        <w:bidi w:val="0"/>
        <w:jc w:val="both"/>
        <w:rPr>
          <w:noProof w:val="0"/>
          <w:lang w:val="pt-BR"/>
        </w:rPr>
      </w:pPr>
    </w:p>
    <w:p xmlns:wp14="http://schemas.microsoft.com/office/word/2010/wordml" w:rsidP="341598FF" wp14:paraId="388A00A1" wp14:textId="633B09E3">
      <w:pPr>
        <w:pStyle w:val="Normal"/>
        <w:bidi w:val="0"/>
        <w:jc w:val="both"/>
      </w:pPr>
      <w:r w:rsidRPr="341598FF" w:rsidR="65CFF842">
        <w:rPr>
          <w:noProof w:val="0"/>
          <w:lang w:val="pt-BR"/>
        </w:rPr>
        <w:t>A Figura 3.0 apresenta um Framework de Integração entre Diversidade, Compliance e ROI, estruturado em formato triangular para representar a interdependência entre os três pilares decisórios na gestão contratual. O artefato posiciona a diversidade como vetor de engajamento, o compliance como garantia de conformidade regulatória e o ROI como indicador de impacto social. As conexões entre os blocos evidenciam que decisões eficazes em Recursos Humanos devem considerar simultaneamente inclusão produtiva, aderência ética e retorno institucional. Este framework funciona como ferramenta estratégica para líderes organizacionais avaliarem a adoção de modelos contratuais inclusivos e sustentáveis, promovendo ambientes corporativos mais diversos, éticos e orientados por valor social.</w:t>
      </w:r>
    </w:p>
    <w:p xmlns:wp14="http://schemas.microsoft.com/office/word/2010/wordml" w:rsidP="341598FF" wp14:paraId="74B8F599" wp14:textId="79F9A37F">
      <w:pPr>
        <w:pStyle w:val="Normal"/>
        <w:bidi w:val="0"/>
        <w:jc w:val="both"/>
      </w:pPr>
      <w:r w:rsidRPr="341598FF" w:rsidR="52706B23">
        <w:rPr>
          <w:noProof w:val="0"/>
          <w:lang w:val="pt-BR"/>
        </w:rPr>
        <w:t>Esse framework auxilia gestores a avaliar diferentes modalidades contratuais sob a ótica da responsabilidade social, permitindo decisões mais estratégicas e alinhadas às metas corporativas de sustentabilidade e inclusão.</w:t>
      </w:r>
    </w:p>
    <w:p xmlns:wp14="http://schemas.microsoft.com/office/word/2010/wordml" w:rsidP="341598FF" wp14:paraId="3E045AC3" wp14:textId="080A9BA6">
      <w:pPr>
        <w:pStyle w:val="Normal"/>
        <w:bidi w:val="0"/>
        <w:jc w:val="both"/>
      </w:pPr>
      <w:r w:rsidRPr="341598FF" w:rsidR="52706B23">
        <w:rPr>
          <w:noProof w:val="0"/>
          <w:lang w:val="pt-BR"/>
        </w:rPr>
        <w:t>Do ponto de vista de benchmarking, relatório da McKinsey (2020) indica que empresas que priorizam contratos indeterminados em programas de diversidade apresentam até 25% mais chances de superar a média de lucratividade de seus pares. Esse dado reforça a correlação entre inclusão e performance organizacional.</w:t>
      </w:r>
    </w:p>
    <w:p xmlns:wp14="http://schemas.microsoft.com/office/word/2010/wordml" w:rsidP="341598FF" wp14:paraId="502254E6" wp14:textId="636D1915">
      <w:pPr>
        <w:pStyle w:val="Normal"/>
        <w:bidi w:val="0"/>
        <w:jc w:val="both"/>
      </w:pPr>
      <w:r w:rsidRPr="341598FF" w:rsidR="52706B23">
        <w:rPr>
          <w:noProof w:val="0"/>
          <w:lang w:val="pt-BR"/>
        </w:rPr>
        <w:t>Em síntese, a gestão de pessoas orientada por responsabilidade social transforma o RH em um agente de mudança. Ao alinhar contratos às metas de diversidade e indicadores ESG, o departamento fortalece a reputação institucional e contribui para a sustentabilidade corporativa.</w:t>
      </w:r>
    </w:p>
    <w:p xmlns:wp14="http://schemas.microsoft.com/office/word/2010/wordml" w:rsidP="341598FF" wp14:paraId="18B19D3A" wp14:textId="62E9E81A">
      <w:pPr>
        <w:pStyle w:val="Normal"/>
        <w:bidi w:val="0"/>
        <w:jc w:val="both"/>
      </w:pPr>
      <w:r w:rsidRPr="341598FF" w:rsidR="52706B23">
        <w:rPr>
          <w:noProof w:val="0"/>
          <w:lang w:val="pt-BR"/>
        </w:rPr>
        <w:t>As implicações práticas para gestores incluem a necessidade de integrar indicadores ESG aos dashboards de RH, adotar frameworks de decisão inclusivos e priorizar contratos indeterminados e de estágio em programas de diversidade.</w:t>
      </w:r>
    </w:p>
    <w:p xmlns:wp14="http://schemas.microsoft.com/office/word/2010/wordml" w:rsidP="341598FF" wp14:paraId="50976351" wp14:textId="35877176">
      <w:pPr>
        <w:bidi w:val="0"/>
        <w:jc w:val="both"/>
      </w:pPr>
    </w:p>
    <w:p xmlns:wp14="http://schemas.microsoft.com/office/word/2010/wordml" w:rsidP="341598FF" wp14:paraId="4EF253E1" wp14:textId="172F25A6">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02D044F" wp14:textId="552949C6">
      <w:r>
        <w:br w:type="page"/>
      </w:r>
    </w:p>
    <w:p xmlns:wp14="http://schemas.microsoft.com/office/word/2010/wordml" w:rsidP="341598FF" wp14:paraId="4E349A87" wp14:textId="674495C5">
      <w:pPr>
        <w:pStyle w:val="Heading1"/>
        <w:rPr>
          <w:rFonts w:ascii="Aptos" w:hAnsi="Aptos" w:eastAsia="Aptos" w:cs="Aptos"/>
          <w:b w:val="1"/>
          <w:bCs w:val="1"/>
          <w:noProof w:val="0"/>
          <w:sz w:val="36"/>
          <w:szCs w:val="36"/>
          <w:lang w:val="pt-BR"/>
        </w:rPr>
      </w:pPr>
      <w:bookmarkStart w:name="_Toc2062643751" w:id="317921579"/>
      <w:bookmarkStart w:name="_Toc578884828" w:id="1294559937"/>
      <w:r w:rsidRPr="341598FF" w:rsidR="4B5A4E0D">
        <w:rPr>
          <w:noProof w:val="0"/>
          <w:lang w:val="pt-BR"/>
        </w:rPr>
        <w:t>Conclusão</w:t>
      </w:r>
      <w:bookmarkEnd w:id="317921579"/>
      <w:bookmarkEnd w:id="1294559937"/>
    </w:p>
    <w:p xmlns:wp14="http://schemas.microsoft.com/office/word/2010/wordml" w:rsidP="341598FF" wp14:paraId="21DBBA86" wp14:textId="7B174686">
      <w:pPr>
        <w:spacing w:before="240" w:beforeAutospacing="off" w:after="240" w:afterAutospacing="off"/>
        <w:jc w:val="both"/>
      </w:pPr>
      <w:r w:rsidRPr="341598FF" w:rsidR="4B5A4E0D">
        <w:rPr>
          <w:rFonts w:ascii="Aptos" w:hAnsi="Aptos" w:eastAsia="Aptos" w:cs="Aptos"/>
          <w:noProof w:val="0"/>
          <w:sz w:val="24"/>
          <w:szCs w:val="24"/>
          <w:lang w:val="pt-BR"/>
        </w:rPr>
        <w:t>Quais são os aprendizados centrais sobre contratos de trabalho e diversidade, e como gestores de RH podem aplicar recomendações práticas para promover inclusão sustentável e responsabilidade social?</w:t>
      </w:r>
    </w:p>
    <w:p xmlns:wp14="http://schemas.microsoft.com/office/word/2010/wordml" w:rsidP="341598FF" wp14:paraId="6CA22455" wp14:textId="709FBE00">
      <w:pPr>
        <w:spacing w:before="240" w:beforeAutospacing="off" w:after="240" w:afterAutospacing="off"/>
        <w:jc w:val="both"/>
      </w:pPr>
      <w:r w:rsidRPr="341598FF" w:rsidR="4B5A4E0D">
        <w:rPr>
          <w:rFonts w:ascii="Aptos" w:hAnsi="Aptos" w:eastAsia="Aptos" w:cs="Aptos"/>
          <w:noProof w:val="0"/>
          <w:sz w:val="24"/>
          <w:szCs w:val="24"/>
          <w:lang w:val="pt-BR"/>
        </w:rPr>
        <w:t xml:space="preserve">A análise dos diferentes modelos contratuais </w:t>
      </w:r>
      <w:r w:rsidRPr="341598FF" w:rsidR="00A40D14">
        <w:rPr>
          <w:rFonts w:ascii="Aptos" w:hAnsi="Aptos" w:eastAsia="Aptos" w:cs="Aptos"/>
          <w:noProof w:val="0"/>
          <w:sz w:val="24"/>
          <w:szCs w:val="24"/>
          <w:lang w:val="pt-BR"/>
        </w:rPr>
        <w:t>evidência</w:t>
      </w:r>
      <w:r w:rsidRPr="341598FF" w:rsidR="4B5A4E0D">
        <w:rPr>
          <w:rFonts w:ascii="Aptos" w:hAnsi="Aptos" w:eastAsia="Aptos" w:cs="Aptos"/>
          <w:noProof w:val="0"/>
          <w:sz w:val="24"/>
          <w:szCs w:val="24"/>
          <w:lang w:val="pt-BR"/>
        </w:rPr>
        <w:t xml:space="preserve"> que vínculos indeterminados e de estágio são os mais eficazes para promover diversidade e inclusão sustentável. Esses contratos oferecem maior previsibilidade, segurança jurídica e ROI social, tornando-se instrumentos estratégicos para gestores de RH que buscam alinhar práticas corporativas às metas de equidade e responsabilidade social.</w:t>
      </w:r>
    </w:p>
    <w:p xmlns:wp14="http://schemas.microsoft.com/office/word/2010/wordml" w:rsidP="341598FF" wp14:paraId="67BB63FF" wp14:textId="22909960">
      <w:pPr>
        <w:spacing w:before="240" w:beforeAutospacing="off" w:after="240" w:afterAutospacing="off"/>
        <w:jc w:val="both"/>
      </w:pPr>
      <w:r w:rsidRPr="341598FF" w:rsidR="4B5A4E0D">
        <w:rPr>
          <w:rFonts w:ascii="Aptos" w:hAnsi="Aptos" w:eastAsia="Aptos" w:cs="Aptos"/>
          <w:noProof w:val="0"/>
          <w:sz w:val="24"/>
          <w:szCs w:val="24"/>
          <w:lang w:val="pt-BR"/>
        </w:rPr>
        <w:t>Contratos determinados e intermitentes, embora válidos em determinados contextos, apresentam riscos de precarização e menor impacto em indicadores de inclusão. A adoção dessas modalidades deve ser acompanhada de políticas compensatórias, como programas de capacitação e benefícios adicionais, para mitigar desigualdades e garantir justiça social.</w:t>
      </w:r>
    </w:p>
    <w:p xmlns:wp14="http://schemas.microsoft.com/office/word/2010/wordml" w:rsidP="341598FF" wp14:paraId="2BFBFA71" wp14:textId="64613194">
      <w:pPr>
        <w:spacing w:before="240" w:beforeAutospacing="off" w:after="240" w:afterAutospacing="off"/>
        <w:jc w:val="both"/>
      </w:pPr>
      <w:r w:rsidRPr="341598FF" w:rsidR="4B5A4E0D">
        <w:rPr>
          <w:rFonts w:ascii="Aptos" w:hAnsi="Aptos" w:eastAsia="Aptos" w:cs="Aptos"/>
          <w:noProof w:val="0"/>
          <w:sz w:val="24"/>
          <w:szCs w:val="24"/>
          <w:lang w:val="pt-BR"/>
        </w:rPr>
        <w:t xml:space="preserve">O papel do RH é central na transformação organizacional. Ao integrar indicadores ESG (Environmental, Social </w:t>
      </w:r>
      <w:r w:rsidRPr="341598FF" w:rsidR="4B5A4E0D">
        <w:rPr>
          <w:rFonts w:ascii="Aptos" w:hAnsi="Aptos" w:eastAsia="Aptos" w:cs="Aptos"/>
          <w:noProof w:val="0"/>
          <w:sz w:val="24"/>
          <w:szCs w:val="24"/>
          <w:lang w:val="pt-BR"/>
        </w:rPr>
        <w:t>and</w:t>
      </w:r>
      <w:r w:rsidRPr="341598FF" w:rsidR="4B5A4E0D">
        <w:rPr>
          <w:rFonts w:ascii="Aptos" w:hAnsi="Aptos" w:eastAsia="Aptos" w:cs="Aptos"/>
          <w:noProof w:val="0"/>
          <w:sz w:val="24"/>
          <w:szCs w:val="24"/>
          <w:lang w:val="pt-BR"/>
        </w:rPr>
        <w:t xml:space="preserve"> Governance) e métricas de ROI social às políticas de contratação, o departamento fortalece a reputação institucional e contribui para a sustentabilidade corporativa.</w:t>
      </w:r>
    </w:p>
    <w:p xmlns:wp14="http://schemas.microsoft.com/office/word/2010/wordml" w:rsidP="341598FF" wp14:paraId="77CD0791" wp14:textId="1DC8F0EC">
      <w:pPr>
        <w:spacing w:before="240" w:beforeAutospacing="off" w:after="240" w:afterAutospacing="off"/>
        <w:jc w:val="both"/>
      </w:pPr>
      <w:r w:rsidRPr="341598FF" w:rsidR="4B5A4E0D">
        <w:rPr>
          <w:rFonts w:ascii="Aptos" w:hAnsi="Aptos" w:eastAsia="Aptos" w:cs="Aptos"/>
          <w:noProof w:val="0"/>
          <w:sz w:val="24"/>
          <w:szCs w:val="24"/>
          <w:lang w:val="pt-BR"/>
        </w:rPr>
        <w:t>Segundo relatório da Deloitte (2022), empresas que alinham contratos indeterminados a programas de diversidade registram aumento de até 30% na retenção de talentos diversos. Esse dado reforça que a inclusão não é apenas uma pauta ética, mas também estratégica para a competitividade.</w:t>
      </w:r>
    </w:p>
    <w:p xmlns:wp14="http://schemas.microsoft.com/office/word/2010/wordml" w:rsidP="341598FF" wp14:paraId="06FDAD62" wp14:textId="48E06FAC">
      <w:pPr>
        <w:spacing w:before="240" w:beforeAutospacing="off" w:after="240" w:afterAutospacing="off"/>
        <w:jc w:val="both"/>
        <w:rPr>
          <w:rFonts w:ascii="Aptos" w:hAnsi="Aptos" w:eastAsia="Aptos" w:cs="Aptos"/>
          <w:noProof w:val="0"/>
          <w:sz w:val="24"/>
          <w:szCs w:val="24"/>
          <w:lang w:val="pt-BR"/>
        </w:rPr>
      </w:pP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6FA3B33C">
        <w:trPr>
          <w:trHeight w:val="300"/>
        </w:trPr>
        <w:tc>
          <w:tcPr>
            <w:tcW w:w="9900" w:type="dxa"/>
            <w:tcMar/>
          </w:tcPr>
          <w:p w:rsidR="5D6ACC2C" w:rsidP="341598FF" w:rsidRDefault="5D6ACC2C" w14:paraId="6665BE72" w14:textId="5D779437">
            <w:pPr>
              <w:pStyle w:val="Normal"/>
              <w:jc w:val="center"/>
              <w:rPr>
                <w:noProof w:val="0"/>
                <w:lang w:val="pt-BR"/>
              </w:rPr>
            </w:pPr>
            <w:r w:rsidR="5D6ACC2C">
              <w:drawing>
                <wp:inline wp14:editId="29A3F7FB" wp14:anchorId="22438579">
                  <wp:extent cx="3181350" cy="3181350"/>
                  <wp:effectExtent l="0" t="0" r="0" b="0"/>
                  <wp:docPr id="1581832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81832749" name="Picture 15818327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335557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181350" cy="3181350"/>
                          </a:xfrm>
                          <a:prstGeom xmlns:a="http://schemas.openxmlformats.org/drawingml/2006/main" prst="rect">
                            <a:avLst xmlns:a="http://schemas.openxmlformats.org/drawingml/2006/main"/>
                          </a:prstGeom>
                        </pic:spPr>
                      </pic:pic>
                    </a:graphicData>
                  </a:graphic>
                </wp:inline>
              </w:drawing>
            </w:r>
          </w:p>
        </w:tc>
      </w:tr>
      <w:tr w:rsidR="341598FF" w:rsidTr="341598FF" w14:paraId="2F67CE60">
        <w:trPr>
          <w:trHeight w:val="300"/>
        </w:trPr>
        <w:tc>
          <w:tcPr>
            <w:tcW w:w="9900" w:type="dxa"/>
            <w:tcMar/>
          </w:tcPr>
          <w:p w:rsidR="341598FF" w:rsidP="341598FF" w:rsidRDefault="341598FF" w14:paraId="08CA7890" w14:textId="694F379C">
            <w:pPr>
              <w:pStyle w:val="Normal"/>
              <w:jc w:val="center"/>
              <w:rPr>
                <w:noProof w:val="0"/>
                <w:sz w:val="18"/>
                <w:szCs w:val="18"/>
                <w:lang w:val="pt-BR"/>
              </w:rPr>
            </w:pPr>
          </w:p>
          <w:p w:rsidR="5D6ACC2C" w:rsidP="341598FF" w:rsidRDefault="5D6ACC2C" w14:paraId="0B664C6D" w14:textId="13B77874">
            <w:pPr>
              <w:pStyle w:val="Normal"/>
              <w:jc w:val="center"/>
              <w:rPr>
                <w:noProof w:val="0"/>
                <w:sz w:val="18"/>
                <w:szCs w:val="18"/>
                <w:lang w:val="pt-BR"/>
              </w:rPr>
            </w:pPr>
            <w:r w:rsidRPr="341598FF" w:rsidR="5D6ACC2C">
              <w:rPr>
                <w:noProof w:val="0"/>
                <w:sz w:val="18"/>
                <w:szCs w:val="18"/>
                <w:lang w:val="pt-BR"/>
              </w:rPr>
              <w:t>Figura 3.1 – Resumo visual dos impactos sociais por tipo de contrato</w:t>
            </w:r>
            <w:r w:rsidRPr="341598FF" w:rsidR="448DBE94">
              <w:rPr>
                <w:noProof w:val="0"/>
                <w:sz w:val="18"/>
                <w:szCs w:val="18"/>
                <w:lang w:val="pt-BR"/>
              </w:rPr>
              <w:t xml:space="preserve">. </w:t>
            </w:r>
          </w:p>
          <w:p w:rsidR="5D6ACC2C" w:rsidP="341598FF" w:rsidRDefault="5D6ACC2C" w14:paraId="7F4FF280" w14:textId="1D544209">
            <w:pPr>
              <w:pStyle w:val="Normal"/>
              <w:jc w:val="center"/>
              <w:rPr>
                <w:noProof w:val="0"/>
                <w:sz w:val="18"/>
                <w:szCs w:val="18"/>
                <w:lang w:val="pt-BR"/>
              </w:rPr>
            </w:pPr>
            <w:r w:rsidRPr="341598FF" w:rsidR="5D6ACC2C">
              <w:rPr>
                <w:noProof w:val="0"/>
                <w:sz w:val="18"/>
                <w:szCs w:val="18"/>
                <w:lang w:val="pt-BR"/>
              </w:rPr>
              <w:t>Consolidação dos indicadores de retenção, inclusão e ROI social.</w:t>
            </w:r>
          </w:p>
          <w:p w:rsidR="5D6ACC2C" w:rsidP="341598FF" w:rsidRDefault="5D6ACC2C" w14:paraId="5EDFD310" w14:textId="2E3D6F76">
            <w:pPr>
              <w:pStyle w:val="Normal"/>
              <w:jc w:val="center"/>
              <w:rPr>
                <w:noProof w:val="0"/>
                <w:sz w:val="18"/>
                <w:szCs w:val="18"/>
                <w:lang w:val="pt-BR"/>
              </w:rPr>
            </w:pPr>
            <w:r w:rsidRPr="341598FF" w:rsidR="5D6ACC2C">
              <w:rPr>
                <w:noProof w:val="0"/>
                <w:sz w:val="18"/>
                <w:szCs w:val="18"/>
                <w:lang w:val="pt-BR"/>
              </w:rPr>
              <w:t>Fonte: Deloitte (2022), McKinsey (2020), OIT (2021).</w:t>
            </w:r>
          </w:p>
        </w:tc>
      </w:tr>
    </w:tbl>
    <w:p xmlns:wp14="http://schemas.microsoft.com/office/word/2010/wordml" w:rsidP="341598FF" wp14:paraId="0713D91A" wp14:textId="4B37ADCC">
      <w:pPr>
        <w:pStyle w:val="Normal"/>
        <w:bidi w:val="0"/>
        <w:jc w:val="both"/>
        <w:rPr>
          <w:noProof w:val="0"/>
          <w:lang w:val="pt-BR"/>
        </w:rPr>
      </w:pPr>
    </w:p>
    <w:p xmlns:wp14="http://schemas.microsoft.com/office/word/2010/wordml" w:rsidP="341598FF" wp14:paraId="747BFD1A" wp14:textId="2FE53C17">
      <w:pPr>
        <w:pStyle w:val="Normal"/>
        <w:bidi w:val="0"/>
        <w:jc w:val="both"/>
        <w:rPr>
          <w:noProof w:val="0"/>
          <w:lang w:val="pt-BR"/>
        </w:rPr>
      </w:pPr>
      <w:r w:rsidRPr="341598FF" w:rsidR="5D6ACC2C">
        <w:rPr>
          <w:noProof w:val="0"/>
          <w:lang w:val="pt-BR"/>
        </w:rPr>
        <w:t>A Figura 3.1 apresenta um Resumo Visual dos Impactos Sociais por Tipo de Contrato, consolidando o</w:t>
      </w:r>
      <w:r w:rsidRPr="341598FF" w:rsidR="5D6ACC2C">
        <w:rPr>
          <w:noProof w:val="0"/>
          <w:lang w:val="pt-BR"/>
        </w:rPr>
        <w:t>s principa</w:t>
      </w:r>
      <w:r w:rsidRPr="341598FF" w:rsidR="5D6ACC2C">
        <w:rPr>
          <w:noProof w:val="0"/>
          <w:lang w:val="pt-BR"/>
        </w:rPr>
        <w:t xml:space="preserve">is indicadores analisados ao longo do artigo: retenção, inclusão produtiva e ROI social. O artefato organiza os quatro modelos contratuais — indeterminado, determinado, estágio e intermitente — em blocos comparativos que evidenciam suas contribuições relativas para a equidade organizacional. O contrato indeterminado lidera em todos os indicadores, com destaque para retenção e ROI social, sendo considerado o mais eficaz na promoção de ambientes diversos e sustentáveis. O modelo de estágio apresenta alto desempenho em inclusão, reforçando seu papel como porta de entrada para grupos </w:t>
      </w:r>
      <w:r w:rsidRPr="341598FF" w:rsidR="5D6ACC2C">
        <w:rPr>
          <w:noProof w:val="0"/>
          <w:lang w:val="pt-BR"/>
        </w:rPr>
        <w:t>minorizados</w:t>
      </w:r>
      <w:r w:rsidRPr="341598FF" w:rsidR="5D6ACC2C">
        <w:rPr>
          <w:noProof w:val="0"/>
          <w:lang w:val="pt-BR"/>
        </w:rPr>
        <w:t>. Já os contratos determinados e intermitentes revelam impactos sociais mais limitados, com destaque negativo para o intermitente, que apresenta os menores índices em todas as métricas. Este artefato funciona como síntese visual para gestores de RH e tomadores de decisão, permitindo uma leitura rápida e estratégica dos efeitos sociais dos vínculos formais.</w:t>
      </w:r>
    </w:p>
    <w:p xmlns:wp14="http://schemas.microsoft.com/office/word/2010/wordml" w:rsidP="341598FF" wp14:paraId="1709A131" wp14:textId="6360AEED">
      <w:pPr>
        <w:spacing w:before="240" w:beforeAutospacing="off" w:after="240" w:afterAutospacing="off"/>
        <w:jc w:val="both"/>
      </w:pPr>
      <w:r w:rsidRPr="341598FF" w:rsidR="4B5A4E0D">
        <w:rPr>
          <w:rFonts w:ascii="Aptos" w:hAnsi="Aptos" w:eastAsia="Aptos" w:cs="Aptos"/>
          <w:noProof w:val="0"/>
          <w:sz w:val="24"/>
          <w:szCs w:val="24"/>
          <w:lang w:val="pt-BR"/>
        </w:rPr>
        <w:t>Esse resumo visual reforça que contratos indeterminados e de estágio concentram impactos positivos elevados, enquanto contratos determinados e intermitentes exigem políticas complementares.</w:t>
      </w:r>
    </w:p>
    <w:p xmlns:wp14="http://schemas.microsoft.com/office/word/2010/wordml" w:rsidP="341598FF" wp14:paraId="31251657" wp14:textId="126B0F50">
      <w:pPr>
        <w:spacing w:before="240" w:beforeAutospacing="off" w:after="240" w:afterAutospacing="off"/>
        <w:jc w:val="both"/>
        <w:rPr>
          <w:rFonts w:ascii="Aptos" w:hAnsi="Aptos" w:eastAsia="Aptos" w:cs="Aptos"/>
          <w:noProof w:val="0"/>
          <w:sz w:val="24"/>
          <w:szCs w:val="24"/>
          <w:lang w:val="pt-BR"/>
        </w:rPr>
      </w:pP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267"/>
        <w:gridCol w:w="1706"/>
        <w:gridCol w:w="1627"/>
        <w:gridCol w:w="1887"/>
        <w:gridCol w:w="1986"/>
      </w:tblGrid>
      <w:tr w:rsidR="341598FF" w:rsidTr="341598FF" w14:paraId="4EB4B255">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7E765BE2" w14:textId="79D49C17">
            <w:pPr>
              <w:pStyle w:val="Normal"/>
              <w:widowControl w:val="0"/>
              <w:spacing w:before="80" w:beforeAutospacing="off" w:after="80" w:afterAutospacing="off" w:line="240" w:lineRule="auto"/>
            </w:pPr>
            <w:r w:rsidR="341598FF">
              <w:rPr/>
              <w:t>Modelo Contratual</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5B88F79" w14:textId="2C486CE2">
            <w:pPr>
              <w:pStyle w:val="Normal"/>
              <w:widowControl w:val="0"/>
              <w:spacing w:before="80" w:beforeAutospacing="off" w:after="80" w:afterAutospacing="off" w:line="240" w:lineRule="auto"/>
            </w:pPr>
            <w:r w:rsidR="341598FF">
              <w:rPr/>
              <w:t>Retenção (%)</w:t>
            </w:r>
          </w:p>
        </w:tc>
        <w:tc>
          <w:tcPr>
            <w:tcW w:w="162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4013FB7" w14:textId="17BA0120">
            <w:pPr>
              <w:pStyle w:val="Normal"/>
              <w:widowControl w:val="0"/>
              <w:spacing w:before="80" w:beforeAutospacing="off" w:after="80" w:afterAutospacing="off" w:line="240" w:lineRule="auto"/>
            </w:pPr>
            <w:r w:rsidR="341598FF">
              <w:rPr/>
              <w:t>Inclusão (%)</w:t>
            </w:r>
          </w:p>
        </w:tc>
        <w:tc>
          <w:tcPr>
            <w:tcW w:w="188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843A71E" w14:textId="60F0838A">
            <w:pPr>
              <w:pStyle w:val="Normal"/>
              <w:widowControl w:val="0"/>
              <w:spacing w:before="80" w:beforeAutospacing="off" w:after="80" w:afterAutospacing="off" w:line="240" w:lineRule="auto"/>
            </w:pPr>
            <w:r w:rsidR="341598FF">
              <w:rPr/>
              <w:t>ROI Social (%)</w:t>
            </w:r>
          </w:p>
        </w:tc>
        <w:tc>
          <w:tcPr>
            <w:tcW w:w="1986"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341598FF" w:rsidP="341598FF" w:rsidRDefault="341598FF" w14:paraId="40261A3E" w14:textId="601615ED">
            <w:pPr>
              <w:pStyle w:val="Normal"/>
              <w:widowControl w:val="0"/>
              <w:spacing w:before="80" w:beforeAutospacing="off" w:after="80" w:afterAutospacing="off" w:line="240" w:lineRule="auto"/>
            </w:pPr>
            <w:r w:rsidR="341598FF">
              <w:rPr/>
              <w:t>Compliance (%)</w:t>
            </w:r>
          </w:p>
        </w:tc>
      </w:tr>
      <w:tr w:rsidR="341598FF" w:rsidTr="341598FF" w14:paraId="23139D99">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0CCB1A68" w14:textId="2FE5AC9D">
            <w:pPr>
              <w:pStyle w:val="Normal"/>
              <w:widowControl w:val="0"/>
              <w:spacing w:before="80" w:beforeAutospacing="off" w:after="80" w:afterAutospacing="off" w:line="240" w:lineRule="auto"/>
            </w:pPr>
            <w:r w:rsidR="341598FF">
              <w:rPr/>
              <w:t>Indeterminado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C46B13A" w14:textId="0C0DC7BA">
            <w:pPr>
              <w:pStyle w:val="Normal"/>
              <w:widowControl w:val="0"/>
              <w:spacing w:before="80" w:beforeAutospacing="off" w:after="80" w:afterAutospacing="off" w:line="240" w:lineRule="auto"/>
              <w:jc w:val="center"/>
            </w:pPr>
            <w:r w:rsidR="341598FF">
              <w:rPr/>
              <w:t>78</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531C02E" w14:textId="7EE74144">
            <w:pPr>
              <w:pStyle w:val="Normal"/>
              <w:widowControl w:val="0"/>
              <w:spacing w:before="80" w:beforeAutospacing="off" w:after="80" w:afterAutospacing="off" w:line="240" w:lineRule="auto"/>
              <w:jc w:val="center"/>
            </w:pPr>
            <w:r w:rsidR="341598FF">
              <w:rPr/>
              <w:t>80</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E576591" w14:textId="6BF17BC6">
            <w:pPr>
              <w:pStyle w:val="Normal"/>
              <w:widowControl w:val="0"/>
              <w:spacing w:before="80" w:beforeAutospacing="off" w:after="80" w:afterAutospacing="off" w:line="240" w:lineRule="auto"/>
              <w:jc w:val="center"/>
            </w:pPr>
            <w:r w:rsidR="341598FF">
              <w:rPr/>
              <w:t>65</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7EAD5A37" w14:textId="615331C7">
            <w:pPr>
              <w:pStyle w:val="Normal"/>
              <w:widowControl w:val="0"/>
              <w:spacing w:before="80" w:beforeAutospacing="off" w:after="80" w:afterAutospacing="off" w:line="240" w:lineRule="auto"/>
              <w:jc w:val="center"/>
            </w:pPr>
            <w:r w:rsidR="341598FF">
              <w:rPr/>
              <w:t>82</w:t>
            </w:r>
          </w:p>
        </w:tc>
      </w:tr>
      <w:tr w:rsidR="341598FF" w:rsidTr="341598FF" w14:paraId="5A9B5F4B">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4E085CA" w14:textId="1D7DCD4C">
            <w:pPr>
              <w:pStyle w:val="Normal"/>
              <w:widowControl w:val="0"/>
              <w:spacing w:before="80" w:beforeAutospacing="off" w:after="80" w:afterAutospacing="off" w:line="240" w:lineRule="auto"/>
            </w:pPr>
            <w:r w:rsidR="341598FF">
              <w:rPr/>
              <w:t>Estágio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FC5ACBC" w14:textId="4343DDE6">
            <w:pPr>
              <w:pStyle w:val="Normal"/>
              <w:widowControl w:val="0"/>
              <w:spacing w:before="80" w:beforeAutospacing="off" w:after="80" w:afterAutospacing="off" w:line="240" w:lineRule="auto"/>
              <w:jc w:val="center"/>
            </w:pPr>
            <w:r w:rsidR="341598FF">
              <w:rPr/>
              <w:t>72</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25CDF866" w14:textId="6320AD54">
            <w:pPr>
              <w:pStyle w:val="Normal"/>
              <w:widowControl w:val="0"/>
              <w:spacing w:before="80" w:beforeAutospacing="off" w:after="80" w:afterAutospacing="off" w:line="240" w:lineRule="auto"/>
              <w:jc w:val="center"/>
            </w:pPr>
            <w:r w:rsidR="341598FF">
              <w:rPr/>
              <w:t>75</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AFA973F" w14:textId="00782EEF">
            <w:pPr>
              <w:pStyle w:val="Normal"/>
              <w:widowControl w:val="0"/>
              <w:spacing w:before="80" w:beforeAutospacing="off" w:after="80" w:afterAutospacing="off" w:line="240" w:lineRule="auto"/>
              <w:jc w:val="center"/>
            </w:pPr>
            <w:r w:rsidR="341598FF">
              <w:rPr/>
              <w:t>58</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73EF38ED" w14:textId="3DD92871">
            <w:pPr>
              <w:pStyle w:val="Normal"/>
              <w:widowControl w:val="0"/>
              <w:spacing w:before="80" w:beforeAutospacing="off" w:after="80" w:afterAutospacing="off" w:line="240" w:lineRule="auto"/>
              <w:jc w:val="center"/>
            </w:pPr>
            <w:r w:rsidR="341598FF">
              <w:rPr/>
              <w:t>75</w:t>
            </w:r>
          </w:p>
        </w:tc>
      </w:tr>
      <w:tr w:rsidR="341598FF" w:rsidTr="341598FF" w14:paraId="06EDCDE0">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CA3C526" w14:textId="11916140">
            <w:pPr>
              <w:pStyle w:val="Normal"/>
              <w:widowControl w:val="0"/>
              <w:spacing w:before="80" w:beforeAutospacing="off" w:after="80" w:afterAutospacing="off" w:line="240" w:lineRule="auto"/>
            </w:pPr>
            <w:r w:rsidR="341598FF">
              <w:rPr/>
              <w:t>Determinado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6FFEE7BE" w14:textId="27EE16C6">
            <w:pPr>
              <w:pStyle w:val="Normal"/>
              <w:widowControl w:val="0"/>
              <w:spacing w:before="80" w:beforeAutospacing="off" w:after="80" w:afterAutospacing="off" w:line="240" w:lineRule="auto"/>
              <w:jc w:val="center"/>
            </w:pPr>
            <w:r w:rsidR="341598FF">
              <w:rPr/>
              <w:t>54</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0B0067B" w14:textId="0A48F14C">
            <w:pPr>
              <w:pStyle w:val="Normal"/>
              <w:widowControl w:val="0"/>
              <w:spacing w:before="80" w:beforeAutospacing="off" w:after="80" w:afterAutospacing="off" w:line="240" w:lineRule="auto"/>
              <w:jc w:val="center"/>
            </w:pPr>
            <w:r w:rsidR="341598FF">
              <w:rPr/>
              <w:t>52</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CC732ED" w14:textId="76726F2A">
            <w:pPr>
              <w:pStyle w:val="Normal"/>
              <w:widowControl w:val="0"/>
              <w:spacing w:before="80" w:beforeAutospacing="off" w:after="80" w:afterAutospacing="off" w:line="240" w:lineRule="auto"/>
              <w:jc w:val="center"/>
            </w:pPr>
            <w:r w:rsidR="341598FF">
              <w:rPr/>
              <w:t>40</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E7E0184" w14:textId="7B2690B3">
            <w:pPr>
              <w:pStyle w:val="Normal"/>
              <w:widowControl w:val="0"/>
              <w:spacing w:before="80" w:beforeAutospacing="off" w:after="80" w:afterAutospacing="off" w:line="240" w:lineRule="auto"/>
              <w:jc w:val="center"/>
            </w:pPr>
            <w:r w:rsidR="341598FF">
              <w:rPr/>
              <w:t>60</w:t>
            </w:r>
          </w:p>
        </w:tc>
      </w:tr>
      <w:tr w:rsidR="341598FF" w:rsidTr="341598FF" w14:paraId="1E2F2EF5">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AE25227" w14:textId="378DFCC5">
            <w:pPr>
              <w:pStyle w:val="Normal"/>
              <w:widowControl w:val="0"/>
              <w:spacing w:before="80" w:beforeAutospacing="off" w:after="80" w:afterAutospacing="off" w:line="240" w:lineRule="auto"/>
            </w:pPr>
            <w:r w:rsidR="341598FF">
              <w:rPr/>
              <w:t>Intermitente</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5377CDD4" w14:textId="2C4EEA4F">
            <w:pPr>
              <w:pStyle w:val="Normal"/>
              <w:widowControl w:val="0"/>
              <w:spacing w:before="80" w:beforeAutospacing="off" w:after="80" w:afterAutospacing="off" w:line="240" w:lineRule="auto"/>
              <w:jc w:val="center"/>
            </w:pPr>
            <w:r w:rsidR="341598FF">
              <w:rPr/>
              <w:t>41</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39934DCA" w14:textId="6701091D">
            <w:pPr>
              <w:pStyle w:val="Normal"/>
              <w:widowControl w:val="0"/>
              <w:spacing w:before="80" w:beforeAutospacing="off" w:after="80" w:afterAutospacing="off" w:line="240" w:lineRule="auto"/>
              <w:jc w:val="center"/>
            </w:pPr>
            <w:r w:rsidR="341598FF">
              <w:rPr/>
              <w:t>38</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4532649E" w14:textId="524D3CFD">
            <w:pPr>
              <w:pStyle w:val="Normal"/>
              <w:widowControl w:val="0"/>
              <w:spacing w:before="80" w:beforeAutospacing="off" w:after="80" w:afterAutospacing="off" w:line="240" w:lineRule="auto"/>
              <w:jc w:val="center"/>
            </w:pPr>
            <w:r w:rsidR="341598FF">
              <w:rPr/>
              <w:t>25</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341598FF" w:rsidP="341598FF" w:rsidRDefault="341598FF" w14:paraId="1A3A920F" w14:textId="2E0EE798">
            <w:pPr>
              <w:pStyle w:val="Normal"/>
              <w:widowControl w:val="0"/>
              <w:spacing w:before="80" w:beforeAutospacing="off" w:after="80" w:afterAutospacing="off" w:line="240" w:lineRule="auto"/>
              <w:jc w:val="center"/>
            </w:pPr>
            <w:r w:rsidR="341598FF">
              <w:rPr/>
              <w:t>45</w:t>
            </w:r>
          </w:p>
        </w:tc>
      </w:tr>
      <w:tr w:rsidR="341598FF" w:rsidTr="341598FF" w14:paraId="4D55ED92">
        <w:trPr>
          <w:trHeight w:val="300"/>
        </w:trPr>
        <w:tc>
          <w:tcPr>
            <w:tcW w:w="9473" w:type="dxa"/>
            <w:gridSpan w:val="5"/>
            <w:tcMar/>
            <w:vAlign w:val="center"/>
          </w:tcPr>
          <w:p w:rsidR="341598FF" w:rsidP="341598FF" w:rsidRDefault="341598FF" w14:paraId="4E607E74" w14:textId="55A90787">
            <w:pPr>
              <w:pStyle w:val="Normal"/>
              <w:widowControl w:val="0"/>
              <w:spacing w:after="0" w:afterAutospacing="off" w:line="240" w:lineRule="auto"/>
              <w:jc w:val="center"/>
              <w:rPr>
                <w:noProof w:val="0"/>
                <w:sz w:val="18"/>
                <w:szCs w:val="18"/>
                <w:lang w:val="pt-BR"/>
              </w:rPr>
            </w:pPr>
          </w:p>
          <w:p w:rsidR="148EE9B1" w:rsidP="341598FF" w:rsidRDefault="148EE9B1" w14:paraId="587264FF" w14:textId="36BCBE3E">
            <w:pPr>
              <w:pStyle w:val="Normal"/>
              <w:widowControl w:val="0"/>
              <w:spacing w:after="0" w:afterAutospacing="off" w:line="240" w:lineRule="auto"/>
              <w:jc w:val="center"/>
              <w:rPr>
                <w:noProof w:val="0"/>
                <w:sz w:val="18"/>
                <w:szCs w:val="18"/>
                <w:lang w:val="pt-BR"/>
              </w:rPr>
            </w:pPr>
            <w:r w:rsidRPr="341598FF" w:rsidR="148EE9B1">
              <w:rPr>
                <w:noProof w:val="0"/>
                <w:sz w:val="18"/>
                <w:szCs w:val="18"/>
                <w:lang w:val="pt-BR"/>
              </w:rPr>
              <w:t xml:space="preserve">Tabela 3.2 – KPIs estratégicos por modalidade contratual </w:t>
            </w:r>
          </w:p>
          <w:p w:rsidR="148EE9B1" w:rsidP="341598FF" w:rsidRDefault="148EE9B1" w14:paraId="173ADB8D" w14:textId="4296B7F4">
            <w:pPr>
              <w:pStyle w:val="Normal"/>
              <w:widowControl w:val="0"/>
              <w:spacing w:after="0" w:afterAutospacing="off" w:line="240" w:lineRule="auto"/>
              <w:jc w:val="center"/>
              <w:rPr>
                <w:noProof w:val="0"/>
                <w:sz w:val="18"/>
                <w:szCs w:val="18"/>
                <w:lang w:val="pt-BR"/>
              </w:rPr>
            </w:pPr>
            <w:r w:rsidRPr="341598FF" w:rsidR="148EE9B1">
              <w:rPr>
                <w:noProof w:val="0"/>
                <w:sz w:val="18"/>
                <w:szCs w:val="18"/>
                <w:lang w:val="pt-BR"/>
              </w:rPr>
              <w:t>Consolidação dos principais indicadores de diversidade e inclusão.</w:t>
            </w:r>
          </w:p>
          <w:p w:rsidR="148EE9B1" w:rsidP="341598FF" w:rsidRDefault="148EE9B1" w14:paraId="63BE123B" w14:textId="298FA35E">
            <w:pPr>
              <w:pStyle w:val="Normal"/>
              <w:widowControl w:val="0"/>
              <w:spacing w:after="0" w:afterAutospacing="off" w:line="240" w:lineRule="auto"/>
              <w:jc w:val="center"/>
              <w:rPr>
                <w:noProof w:val="0"/>
                <w:sz w:val="18"/>
                <w:szCs w:val="18"/>
                <w:lang w:val="pt-BR"/>
              </w:rPr>
            </w:pPr>
            <w:r w:rsidRPr="341598FF" w:rsidR="148EE9B1">
              <w:rPr>
                <w:noProof w:val="0"/>
                <w:sz w:val="18"/>
                <w:szCs w:val="18"/>
                <w:lang w:val="pt-BR"/>
              </w:rPr>
              <w:t xml:space="preserve">Fonte: </w:t>
            </w:r>
            <w:r w:rsidRPr="341598FF" w:rsidR="148EE9B1">
              <w:rPr>
                <w:noProof w:val="0"/>
                <w:sz w:val="18"/>
                <w:szCs w:val="18"/>
                <w:lang w:val="pt-BR"/>
              </w:rPr>
              <w:t>PwC</w:t>
            </w:r>
            <w:r w:rsidRPr="341598FF" w:rsidR="148EE9B1">
              <w:rPr>
                <w:noProof w:val="0"/>
                <w:sz w:val="18"/>
                <w:szCs w:val="18"/>
                <w:lang w:val="pt-BR"/>
              </w:rPr>
              <w:t xml:space="preserve"> (2020), IBGE (2021).</w:t>
            </w:r>
          </w:p>
        </w:tc>
      </w:tr>
    </w:tbl>
    <w:p xmlns:wp14="http://schemas.microsoft.com/office/word/2010/wordml" w:rsidP="341598FF" wp14:paraId="73DA791E" wp14:textId="608AEE29">
      <w:pPr>
        <w:pStyle w:val="Normal"/>
        <w:bidi w:val="0"/>
        <w:jc w:val="both"/>
        <w:rPr>
          <w:noProof w:val="0"/>
          <w:lang w:val="pt-BR"/>
        </w:rPr>
      </w:pPr>
    </w:p>
    <w:p xmlns:wp14="http://schemas.microsoft.com/office/word/2010/wordml" w:rsidP="341598FF" wp14:paraId="6A70F2D9" wp14:textId="1222D86F">
      <w:pPr>
        <w:pStyle w:val="Normal"/>
        <w:bidi w:val="0"/>
        <w:jc w:val="both"/>
      </w:pPr>
      <w:r w:rsidRPr="341598FF" w:rsidR="3C8CBBAC">
        <w:rPr>
          <w:noProof w:val="0"/>
          <w:lang w:val="pt-BR"/>
        </w:rPr>
        <w:t>A Tabela 3.2 apresenta uma síntese dos KPIs estratégicos por modalidade contratual, consolidando os principais indicadores de diversidade, inclusão e conformidade utilizados como referência por gestores de RH. Os contratos indeterminados lideram em todas as métricas, com destaque para inclusão (80%) e compliance (82%), evidenciando sua robustez institucional e alinhamento com práticas sustentáveis. O modelo de estágio também apresenta desempenho elevado, especialmente em inclusão (75%) e retenção (72%), sendo eficaz como mecanismo de entrada para talentos diversos. Já os contratos determinados e intermitentes revelam indicadores mais baixos, com destaque negativo para ROI social (40% e 25%, respectivamente), sinalizando menor impacto em programas de equidade. Este artefato funciona como benchmark estratégico para decisões contratuais orientadas por dados, permitindo que líderes organizacionais alinhem suas práticas de gestão às metas de ESG e diversidade.</w:t>
      </w:r>
    </w:p>
    <w:p xmlns:wp14="http://schemas.microsoft.com/office/word/2010/wordml" w:rsidP="341598FF" wp14:paraId="534E9B06" wp14:textId="3D0ECD3F">
      <w:pPr>
        <w:bidi w:val="0"/>
        <w:spacing w:before="240" w:beforeAutospacing="off" w:after="240" w:afterAutospacing="off"/>
        <w:jc w:val="both"/>
      </w:pPr>
      <w:r w:rsidRPr="341598FF" w:rsidR="4B5A4E0D">
        <w:rPr>
          <w:rFonts w:ascii="Aptos" w:hAnsi="Aptos" w:eastAsia="Aptos" w:cs="Aptos"/>
          <w:noProof w:val="0"/>
          <w:sz w:val="24"/>
          <w:szCs w:val="24"/>
          <w:lang w:val="pt-BR"/>
        </w:rPr>
        <w:t>Os dados da Tabela 3.2 sintetizam os aprendizados centrais: contratos indeterminados e de estágio são os mais alinhados às metas de diversidade e inclusão, enquanto contratos determinados e intermitentes exigem mitigação.</w:t>
      </w:r>
    </w:p>
    <w:p xmlns:wp14="http://schemas.microsoft.com/office/word/2010/wordml" w:rsidP="341598FF" wp14:paraId="3BFF14EB" wp14:textId="5D1C42A3">
      <w:pPr>
        <w:bidi w:val="0"/>
        <w:spacing w:before="240" w:beforeAutospacing="off" w:after="240" w:afterAutospacing="off"/>
        <w:jc w:val="both"/>
      </w:pPr>
      <w:r w:rsidRPr="341598FF" w:rsidR="4B5A4E0D">
        <w:rPr>
          <w:rFonts w:ascii="Aptos" w:hAnsi="Aptos" w:eastAsia="Aptos" w:cs="Aptos"/>
          <w:noProof w:val="0"/>
          <w:sz w:val="24"/>
          <w:szCs w:val="24"/>
          <w:lang w:val="pt-BR"/>
        </w:rPr>
        <w:t>Do ponto de vista prático, gestores de RH devem adotar frameworks de decisão que integrem indicadores sociais e regulatórios. Isso significa que a escolha de modelos contratuais deve considerar não apenas a legislação vigente, mas também os impactos sociais e reputacionais.</w:t>
      </w:r>
    </w:p>
    <w:p xmlns:wp14="http://schemas.microsoft.com/office/word/2010/wordml" w:rsidP="341598FF" wp14:paraId="480A51BB" wp14:textId="58F6D2F9">
      <w:pPr>
        <w:bidi w:val="0"/>
        <w:spacing w:before="240" w:beforeAutospacing="off" w:after="240" w:afterAutospacing="off"/>
        <w:jc w:val="both"/>
      </w:pPr>
      <w:r w:rsidRPr="341598FF" w:rsidR="4B5A4E0D">
        <w:rPr>
          <w:rFonts w:ascii="Aptos" w:hAnsi="Aptos" w:eastAsia="Aptos" w:cs="Aptos"/>
          <w:noProof w:val="0"/>
          <w:sz w:val="24"/>
          <w:szCs w:val="24"/>
          <w:lang w:val="pt-BR"/>
        </w:rPr>
        <w:t>As recomendações práticas incluem:</w:t>
      </w:r>
    </w:p>
    <w:p xmlns:wp14="http://schemas.microsoft.com/office/word/2010/wordml" w:rsidP="341598FF" wp14:paraId="252C7153" wp14:textId="6861C387">
      <w:pPr>
        <w:pStyle w:val="ListParagraph"/>
        <w:numPr>
          <w:ilvl w:val="0"/>
          <w:numId w:val="20"/>
        </w:numPr>
        <w:bidi w:val="0"/>
        <w:spacing w:before="0" w:beforeAutospacing="off" w:after="0" w:afterAutospacing="off"/>
        <w:jc w:val="left"/>
        <w:rPr>
          <w:rFonts w:ascii="Aptos" w:hAnsi="Aptos" w:eastAsia="Aptos" w:cs="Aptos"/>
          <w:noProof w:val="0"/>
          <w:sz w:val="24"/>
          <w:szCs w:val="24"/>
          <w:lang w:val="pt-BR"/>
        </w:rPr>
      </w:pPr>
      <w:r w:rsidRPr="341598FF" w:rsidR="4B5A4E0D">
        <w:rPr>
          <w:rFonts w:ascii="Aptos" w:hAnsi="Aptos" w:eastAsia="Aptos" w:cs="Aptos"/>
          <w:noProof w:val="0"/>
          <w:sz w:val="24"/>
          <w:szCs w:val="24"/>
          <w:lang w:val="pt-BR"/>
        </w:rPr>
        <w:t>Priorizar contratos indeterminados em programas de diversidade.</w:t>
      </w:r>
    </w:p>
    <w:p xmlns:wp14="http://schemas.microsoft.com/office/word/2010/wordml" w:rsidP="341598FF" wp14:paraId="54A89902" wp14:textId="5FAFE9D0">
      <w:pPr>
        <w:pStyle w:val="ListParagraph"/>
        <w:numPr>
          <w:ilvl w:val="0"/>
          <w:numId w:val="20"/>
        </w:numPr>
        <w:bidi w:val="0"/>
        <w:spacing w:before="0" w:beforeAutospacing="off" w:after="0" w:afterAutospacing="off"/>
        <w:jc w:val="left"/>
        <w:rPr>
          <w:rFonts w:ascii="Aptos" w:hAnsi="Aptos" w:eastAsia="Aptos" w:cs="Aptos"/>
          <w:noProof w:val="0"/>
          <w:sz w:val="24"/>
          <w:szCs w:val="24"/>
          <w:lang w:val="pt-BR"/>
        </w:rPr>
      </w:pPr>
      <w:r w:rsidRPr="341598FF" w:rsidR="4B5A4E0D">
        <w:rPr>
          <w:rFonts w:ascii="Aptos" w:hAnsi="Aptos" w:eastAsia="Aptos" w:cs="Aptos"/>
          <w:noProof w:val="0"/>
          <w:sz w:val="24"/>
          <w:szCs w:val="24"/>
          <w:lang w:val="pt-BR"/>
        </w:rPr>
        <w:t>Integrar indicadores ESG aos dashboards de RH.</w:t>
      </w:r>
    </w:p>
    <w:p xmlns:wp14="http://schemas.microsoft.com/office/word/2010/wordml" w:rsidP="341598FF" wp14:paraId="75941677" wp14:textId="74013A3C">
      <w:pPr>
        <w:pStyle w:val="ListParagraph"/>
        <w:numPr>
          <w:ilvl w:val="0"/>
          <w:numId w:val="20"/>
        </w:numPr>
        <w:bidi w:val="0"/>
        <w:spacing w:before="0" w:beforeAutospacing="off" w:after="0" w:afterAutospacing="off"/>
        <w:jc w:val="left"/>
        <w:rPr>
          <w:rFonts w:ascii="Aptos" w:hAnsi="Aptos" w:eastAsia="Aptos" w:cs="Aptos"/>
          <w:noProof w:val="0"/>
          <w:sz w:val="24"/>
          <w:szCs w:val="24"/>
          <w:lang w:val="pt-BR"/>
        </w:rPr>
      </w:pPr>
      <w:r w:rsidRPr="341598FF" w:rsidR="4B5A4E0D">
        <w:rPr>
          <w:rFonts w:ascii="Aptos" w:hAnsi="Aptos" w:eastAsia="Aptos" w:cs="Aptos"/>
          <w:noProof w:val="0"/>
          <w:sz w:val="24"/>
          <w:szCs w:val="24"/>
          <w:lang w:val="pt-BR"/>
        </w:rPr>
        <w:t>Adotar políticas compensatórias em contratos determinados e intermitentes.</w:t>
      </w:r>
    </w:p>
    <w:p xmlns:wp14="http://schemas.microsoft.com/office/word/2010/wordml" w:rsidP="341598FF" wp14:paraId="636B83D5" wp14:textId="2C296F16">
      <w:pPr>
        <w:pStyle w:val="ListParagraph"/>
        <w:numPr>
          <w:ilvl w:val="0"/>
          <w:numId w:val="20"/>
        </w:numPr>
        <w:bidi w:val="0"/>
        <w:spacing w:before="0" w:beforeAutospacing="off" w:after="0" w:afterAutospacing="off"/>
        <w:jc w:val="left"/>
        <w:rPr>
          <w:rFonts w:ascii="Aptos" w:hAnsi="Aptos" w:eastAsia="Aptos" w:cs="Aptos"/>
          <w:noProof w:val="0"/>
          <w:sz w:val="24"/>
          <w:szCs w:val="24"/>
          <w:lang w:val="pt-BR"/>
        </w:rPr>
      </w:pPr>
      <w:r w:rsidRPr="341598FF" w:rsidR="4B5A4E0D">
        <w:rPr>
          <w:rFonts w:ascii="Aptos" w:hAnsi="Aptos" w:eastAsia="Aptos" w:cs="Aptos"/>
          <w:noProof w:val="0"/>
          <w:sz w:val="24"/>
          <w:szCs w:val="24"/>
          <w:lang w:val="pt-BR"/>
        </w:rPr>
        <w:t>Monitorar KPIs de retenção, inclusão e ROI social.</w:t>
      </w:r>
    </w:p>
    <w:p xmlns:wp14="http://schemas.microsoft.com/office/word/2010/wordml" w:rsidP="341598FF" wp14:paraId="40EB06CA" wp14:textId="5040AAD4">
      <w:pPr>
        <w:pStyle w:val="ListParagraph"/>
        <w:numPr>
          <w:ilvl w:val="0"/>
          <w:numId w:val="20"/>
        </w:numPr>
        <w:bidi w:val="0"/>
        <w:spacing w:before="0" w:beforeAutospacing="off" w:after="0" w:afterAutospacing="off"/>
        <w:jc w:val="left"/>
        <w:rPr>
          <w:rFonts w:ascii="Aptos" w:hAnsi="Aptos" w:eastAsia="Aptos" w:cs="Aptos"/>
          <w:noProof w:val="0"/>
          <w:sz w:val="24"/>
          <w:szCs w:val="24"/>
          <w:lang w:val="pt-BR"/>
        </w:rPr>
      </w:pPr>
      <w:r w:rsidRPr="341598FF" w:rsidR="4B5A4E0D">
        <w:rPr>
          <w:rFonts w:ascii="Aptos" w:hAnsi="Aptos" w:eastAsia="Aptos" w:cs="Aptos"/>
          <w:noProof w:val="0"/>
          <w:sz w:val="24"/>
          <w:szCs w:val="24"/>
          <w:lang w:val="pt-BR"/>
        </w:rPr>
        <w:t>Fortalecer mecanismos de compliance e denúncia para prevenir práticas discriminatórias.</w:t>
      </w:r>
    </w:p>
    <w:p xmlns:wp14="http://schemas.microsoft.com/office/word/2010/wordml" w:rsidP="341598FF" wp14:paraId="505C3AC8" wp14:textId="2D61EA72">
      <w:pPr>
        <w:bidi w:val="0"/>
        <w:spacing w:before="240" w:beforeAutospacing="off" w:after="240" w:afterAutospacing="off"/>
        <w:jc w:val="both"/>
      </w:pPr>
      <w:r w:rsidRPr="341598FF" w:rsidR="4B5A4E0D">
        <w:rPr>
          <w:rFonts w:ascii="Aptos" w:hAnsi="Aptos" w:eastAsia="Aptos" w:cs="Aptos"/>
          <w:noProof w:val="0"/>
          <w:sz w:val="24"/>
          <w:szCs w:val="24"/>
          <w:lang w:val="pt-BR"/>
        </w:rPr>
        <w:t>Essas recomendações permitem que empresas alinhem suas práticas contratuais às metas de diversidade e responsabilidade social, fortalecendo sua reputação institucional e competitividade.</w:t>
      </w:r>
    </w:p>
    <w:p xmlns:wp14="http://schemas.microsoft.com/office/word/2010/wordml" w:rsidP="341598FF" wp14:paraId="41FB9874" wp14:textId="6A8CE216">
      <w:pPr>
        <w:bidi w:val="0"/>
        <w:spacing w:before="240" w:beforeAutospacing="off" w:after="240" w:afterAutospacing="off"/>
        <w:jc w:val="both"/>
      </w:pPr>
      <w:r w:rsidRPr="341598FF" w:rsidR="4B5A4E0D">
        <w:rPr>
          <w:rFonts w:ascii="Aptos" w:hAnsi="Aptos" w:eastAsia="Aptos" w:cs="Aptos"/>
          <w:noProof w:val="0"/>
          <w:sz w:val="24"/>
          <w:szCs w:val="24"/>
          <w:lang w:val="pt-BR"/>
        </w:rPr>
        <w:t>Do ponto de vista acadêmico, este artigo contribui para a compreensão de como contratos de trabalho podem ser utilizados como instrumentos de inclusão sustentável. A análise fundamentada em dados oficiais e relatórios de consultorias reforça a credibilidade das conclusões.</w:t>
      </w:r>
    </w:p>
    <w:p xmlns:wp14="http://schemas.microsoft.com/office/word/2010/wordml" w:rsidP="341598FF" wp14:paraId="2477D035" wp14:textId="5D7B113E">
      <w:pPr>
        <w:bidi w:val="0"/>
        <w:spacing w:before="240" w:beforeAutospacing="off" w:after="240" w:afterAutospacing="off"/>
        <w:jc w:val="both"/>
      </w:pPr>
      <w:r w:rsidRPr="341598FF" w:rsidR="4B5A4E0D">
        <w:rPr>
          <w:rFonts w:ascii="Aptos" w:hAnsi="Aptos" w:eastAsia="Aptos" w:cs="Aptos"/>
          <w:noProof w:val="0"/>
          <w:sz w:val="24"/>
          <w:szCs w:val="24"/>
          <w:lang w:val="pt-BR"/>
        </w:rPr>
        <w:t>Segundo relatório da OIT (2021), a inclusão produtiva vinculada a contratos formais é determinante para reduzir desigualdades sociais e promover desenvolvimento econômico. Esse dado reforça a importância de políticas corporativas alinhadas à legislação trabalhista.</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341598FF" w:rsidTr="341598FF" w14:paraId="621DD684">
        <w:trPr>
          <w:trHeight w:val="300"/>
        </w:trPr>
        <w:tc>
          <w:tcPr>
            <w:tcW w:w="9900" w:type="dxa"/>
            <w:tcMar/>
          </w:tcPr>
          <w:p w:rsidR="5E4B7E55" w:rsidP="341598FF" w:rsidRDefault="5E4B7E55" w14:paraId="7C5AA751" w14:textId="5427B25F">
            <w:pPr>
              <w:pStyle w:val="Normal"/>
              <w:bidi w:val="0"/>
              <w:rPr>
                <w:rFonts w:ascii="Aptos" w:hAnsi="Aptos" w:eastAsia="Aptos" w:cs="Aptos"/>
                <w:noProof w:val="0"/>
                <w:sz w:val="24"/>
                <w:szCs w:val="24"/>
                <w:lang w:val="pt-BR"/>
              </w:rPr>
            </w:pPr>
            <w:r w:rsidR="5E4B7E55">
              <w:drawing>
                <wp:inline wp14:editId="606A7D21" wp14:anchorId="2C7C2FD8">
                  <wp:extent cx="6153150" cy="6153150"/>
                  <wp:effectExtent l="0" t="0" r="0" b="0"/>
                  <wp:docPr id="54956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49566846" name="Picture 5495668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290385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53150" cy="6153150"/>
                          </a:xfrm>
                          <a:prstGeom xmlns:a="http://schemas.openxmlformats.org/drawingml/2006/main" prst="rect">
                            <a:avLst xmlns:a="http://schemas.openxmlformats.org/drawingml/2006/main"/>
                          </a:prstGeom>
                        </pic:spPr>
                      </pic:pic>
                    </a:graphicData>
                  </a:graphic>
                </wp:inline>
              </w:drawing>
            </w:r>
          </w:p>
        </w:tc>
      </w:tr>
      <w:tr w:rsidR="341598FF" w:rsidTr="341598FF" w14:paraId="37AC5302">
        <w:trPr>
          <w:trHeight w:val="300"/>
        </w:trPr>
        <w:tc>
          <w:tcPr>
            <w:tcW w:w="9900" w:type="dxa"/>
            <w:tcMar/>
          </w:tcPr>
          <w:p w:rsidR="3FEFA7A2" w:rsidP="341598FF" w:rsidRDefault="3FEFA7A2" w14:paraId="22A4F2A9" w14:textId="62B42EA7">
            <w:pPr>
              <w:pStyle w:val="Normal"/>
              <w:widowControl w:val="0"/>
              <w:bidi w:val="0"/>
              <w:jc w:val="center"/>
              <w:rPr>
                <w:noProof w:val="0"/>
                <w:sz w:val="18"/>
                <w:szCs w:val="18"/>
                <w:lang w:val="pt-BR"/>
              </w:rPr>
            </w:pPr>
            <w:r w:rsidRPr="341598FF" w:rsidR="3FEFA7A2">
              <w:rPr>
                <w:noProof w:val="0"/>
                <w:sz w:val="18"/>
                <w:szCs w:val="18"/>
                <w:lang w:val="pt-BR"/>
              </w:rPr>
              <w:t>Figura 3.3 – Framework final de inclusão contratual</w:t>
            </w:r>
            <w:r w:rsidRPr="341598FF" w:rsidR="3FEFA7A2">
              <w:rPr>
                <w:noProof w:val="0"/>
                <w:sz w:val="18"/>
                <w:szCs w:val="18"/>
                <w:lang w:val="pt-BR"/>
              </w:rPr>
              <w:t xml:space="preserve"> </w:t>
            </w:r>
          </w:p>
          <w:p w:rsidR="3FEFA7A2" w:rsidP="341598FF" w:rsidRDefault="3FEFA7A2" w14:paraId="781C00FF" w14:textId="0A589685">
            <w:pPr>
              <w:pStyle w:val="Normal"/>
              <w:widowControl w:val="0"/>
              <w:bidi w:val="0"/>
              <w:jc w:val="center"/>
              <w:rPr>
                <w:noProof w:val="0"/>
                <w:sz w:val="18"/>
                <w:szCs w:val="18"/>
                <w:lang w:val="pt-BR"/>
              </w:rPr>
            </w:pPr>
            <w:r w:rsidRPr="341598FF" w:rsidR="3FEFA7A2">
              <w:rPr>
                <w:noProof w:val="0"/>
                <w:sz w:val="18"/>
                <w:szCs w:val="18"/>
                <w:lang w:val="pt-BR"/>
              </w:rPr>
              <w:t>Legenda: Critérios de decisão para adoção de modelos contratuais inclusivos e sustentáveis.</w:t>
            </w:r>
          </w:p>
          <w:p w:rsidR="3FEFA7A2" w:rsidP="341598FF" w:rsidRDefault="3FEFA7A2" w14:paraId="3DDC6FEF" w14:textId="4202D46F">
            <w:pPr>
              <w:pStyle w:val="Normal"/>
              <w:widowControl w:val="0"/>
              <w:bidi w:val="0"/>
              <w:jc w:val="center"/>
              <w:rPr>
                <w:noProof w:val="0"/>
                <w:sz w:val="18"/>
                <w:szCs w:val="18"/>
                <w:lang w:val="pt-BR"/>
              </w:rPr>
            </w:pPr>
            <w:r w:rsidRPr="341598FF" w:rsidR="3FEFA7A2">
              <w:rPr>
                <w:noProof w:val="0"/>
                <w:sz w:val="18"/>
                <w:szCs w:val="18"/>
                <w:lang w:val="pt-BR"/>
              </w:rPr>
              <w:t xml:space="preserve"> Fonte: Deloitte (2022), McKinsey (2020).</w:t>
            </w:r>
          </w:p>
        </w:tc>
      </w:tr>
    </w:tbl>
    <w:p xmlns:wp14="http://schemas.microsoft.com/office/word/2010/wordml" w:rsidP="341598FF" wp14:paraId="27BF6F4D" wp14:textId="27A07E11">
      <w:pPr>
        <w:pStyle w:val="Normal"/>
        <w:suppressLineNumbers w:val="0"/>
        <w:bidi w:val="0"/>
        <w:spacing w:before="240" w:beforeAutospacing="off" w:after="240" w:afterAutospacing="off" w:line="279" w:lineRule="auto"/>
        <w:ind w:left="0" w:right="0"/>
        <w:jc w:val="both"/>
        <w:rPr>
          <w:rFonts w:ascii="Aptos" w:hAnsi="Aptos" w:eastAsia="Aptos" w:cs="Aptos"/>
          <w:noProof w:val="0"/>
          <w:sz w:val="24"/>
          <w:szCs w:val="24"/>
          <w:lang w:val="pt-BR"/>
        </w:rPr>
      </w:pPr>
    </w:p>
    <w:p xmlns:wp14="http://schemas.microsoft.com/office/word/2010/wordml" w:rsidP="341598FF" wp14:paraId="26DF1BFF" wp14:textId="75CEECCA">
      <w:pPr>
        <w:pStyle w:val="Normal"/>
        <w:bidi w:val="0"/>
        <w:jc w:val="both"/>
      </w:pPr>
      <w:r w:rsidRPr="341598FF" w:rsidR="3FEFA7A2">
        <w:rPr>
          <w:noProof w:val="0"/>
          <w:lang w:val="pt-BR"/>
        </w:rPr>
        <w:t>A Figura 3.3 apresenta o Framework Final de Inclusão Contratual, estruturado em formato triangular para evidenciar a interdependência entre os três pilares estratégicos: diversidade, compliance e ROI social. Cada vértice representa um critério decisório essencial para a adoção de modelos contratuais inclusivos e sustentáveis. A diversidade atua como motor de inovação e representatividade; o compliance assegura conformidade legal e ética; e o ROI social traduz o impacto positivo das práticas de contratação na reputação institucional e no desenvolvimento socioeconômico. As setas entre os vértices indicam que esses elementos se reforçam mutuamente, formando uma base sólida para decisões de RH alinhadas às metas ESG. Este framework sintetiza os aprendizados do artigo e oferece uma ferramenta visual para orientar políticas corporativas voltadas à equidade e à sustentabilidade.</w:t>
      </w:r>
    </w:p>
    <w:p xmlns:wp14="http://schemas.microsoft.com/office/word/2010/wordml" w:rsidP="341598FF" wp14:paraId="45D6FAAE" wp14:textId="21B13243">
      <w:pPr>
        <w:bidi w:val="0"/>
        <w:spacing w:before="240" w:beforeAutospacing="off" w:after="240" w:afterAutospacing="off"/>
        <w:jc w:val="both"/>
      </w:pPr>
      <w:r w:rsidRPr="341598FF" w:rsidR="4B5A4E0D">
        <w:rPr>
          <w:rFonts w:ascii="Aptos" w:hAnsi="Aptos" w:eastAsia="Aptos" w:cs="Aptos"/>
          <w:noProof w:val="0"/>
          <w:sz w:val="24"/>
          <w:szCs w:val="24"/>
          <w:lang w:val="pt-BR"/>
        </w:rPr>
        <w:t>Esse framework auxilia gestores a avaliar diferentes modalidades contratuais sob a ótica da inclusão sustentável, permitindo decisões mais estratégicas e alinhadas às metas corporativas.</w:t>
      </w:r>
    </w:p>
    <w:p xmlns:wp14="http://schemas.microsoft.com/office/word/2010/wordml" w:rsidP="341598FF" wp14:paraId="6B8E3061" wp14:textId="30C2F49B">
      <w:pPr>
        <w:bidi w:val="0"/>
        <w:spacing w:before="240" w:beforeAutospacing="off" w:after="240" w:afterAutospacing="off"/>
        <w:jc w:val="both"/>
      </w:pPr>
      <w:r w:rsidRPr="341598FF" w:rsidR="4B5A4E0D">
        <w:rPr>
          <w:rFonts w:ascii="Aptos" w:hAnsi="Aptos" w:eastAsia="Aptos" w:cs="Aptos"/>
          <w:noProof w:val="0"/>
          <w:sz w:val="24"/>
          <w:szCs w:val="24"/>
          <w:lang w:val="pt-BR"/>
        </w:rPr>
        <w:t>Em síntese, contratos de trabalho não devem ser vistos apenas como instrumentos jurídicos, mas como ferramentas estratégicas para promover diversidade, equidade e inclusão.</w:t>
      </w:r>
    </w:p>
    <w:p xmlns:wp14="http://schemas.microsoft.com/office/word/2010/wordml" w:rsidP="341598FF" wp14:paraId="0B306521" wp14:textId="788B998B">
      <w:pPr>
        <w:bidi w:val="0"/>
        <w:spacing w:before="240" w:beforeAutospacing="off" w:after="240" w:afterAutospacing="off"/>
        <w:jc w:val="both"/>
      </w:pPr>
      <w:r w:rsidRPr="341598FF" w:rsidR="4B5A4E0D">
        <w:rPr>
          <w:rFonts w:ascii="Aptos" w:hAnsi="Aptos" w:eastAsia="Aptos" w:cs="Aptos"/>
          <w:noProof w:val="0"/>
          <w:sz w:val="24"/>
          <w:szCs w:val="24"/>
          <w:lang w:val="pt-BR"/>
        </w:rPr>
        <w:t>O RH, ao assumir o papel de agente de mudança, fortalece a cultura organizacional e contribui para a transformação social. Essa atuação é fundamental para garantir que empresas sejam não apenas competitivas, mas também responsáveis e inclusivas.</w:t>
      </w:r>
    </w:p>
    <w:p xmlns:wp14="http://schemas.microsoft.com/office/word/2010/wordml" w:rsidP="341598FF" wp14:paraId="7482D7BE" wp14:textId="1C39BC34">
      <w:pPr>
        <w:bidi w:val="0"/>
        <w:spacing w:before="240" w:beforeAutospacing="off" w:after="240" w:afterAutospacing="off"/>
        <w:jc w:val="both"/>
      </w:pPr>
      <w:r w:rsidRPr="341598FF" w:rsidR="4B5A4E0D">
        <w:rPr>
          <w:rFonts w:ascii="Aptos" w:hAnsi="Aptos" w:eastAsia="Aptos" w:cs="Aptos"/>
          <w:noProof w:val="0"/>
          <w:sz w:val="24"/>
          <w:szCs w:val="24"/>
          <w:lang w:val="pt-BR"/>
        </w:rPr>
        <w:t>As implicações executivas incluem maior retenção de talentos, fortalecimento da reputação institucional e aumento da competitividade. Esses resultados demonstram que a diversidade é um investimento estratégico com retorno mensurável.</w:t>
      </w:r>
    </w:p>
    <w:p xmlns:wp14="http://schemas.microsoft.com/office/word/2010/wordml" w:rsidP="341598FF" wp14:paraId="44C0CB05" wp14:textId="6043F1B1">
      <w:pPr>
        <w:bidi w:val="0"/>
        <w:spacing w:before="240" w:beforeAutospacing="off" w:after="240" w:afterAutospacing="off"/>
        <w:jc w:val="both"/>
      </w:pPr>
      <w:r w:rsidRPr="341598FF" w:rsidR="4B5A4E0D">
        <w:rPr>
          <w:rFonts w:ascii="Aptos" w:hAnsi="Aptos" w:eastAsia="Aptos" w:cs="Aptos"/>
          <w:noProof w:val="0"/>
          <w:sz w:val="24"/>
          <w:szCs w:val="24"/>
          <w:lang w:val="pt-BR"/>
        </w:rPr>
        <w:t>O artigo conclui que contratos indeterminados e de estágio são os mais eficazes para promover inclusão sustentável, enquanto contratos determinados e intermitentes exigem políticas compensatórias. Essa conclusão é fundamentada em dados oficiais e relatórios de consultorias.</w:t>
      </w:r>
    </w:p>
    <w:p xmlns:wp14="http://schemas.microsoft.com/office/word/2010/wordml" w:rsidP="341598FF" wp14:paraId="584CE0A6" wp14:textId="501F4DE8">
      <w:pPr>
        <w:bidi w:val="0"/>
        <w:spacing w:before="240" w:beforeAutospacing="off" w:after="240" w:afterAutospacing="off"/>
        <w:jc w:val="both"/>
      </w:pPr>
      <w:r w:rsidRPr="341598FF" w:rsidR="4B5A4E0D">
        <w:rPr>
          <w:rFonts w:ascii="Aptos" w:hAnsi="Aptos" w:eastAsia="Aptos" w:cs="Aptos"/>
          <w:noProof w:val="0"/>
          <w:sz w:val="24"/>
          <w:szCs w:val="24"/>
          <w:lang w:val="pt-BR"/>
        </w:rPr>
        <w:t>Em termos de recomendações práticas, gestores de RH devem adotar frameworks de decisão inclusivos, integrar indicadores ESG aos dashboards e priorizar vínculos estáveis em programas de diversidade.</w:t>
      </w:r>
    </w:p>
    <w:p xmlns:wp14="http://schemas.microsoft.com/office/word/2010/wordml" w:rsidP="341598FF" wp14:paraId="29F4C47E" wp14:textId="70AAE7CF">
      <w:pPr>
        <w:bidi w:val="0"/>
        <w:jc w:val="both"/>
      </w:pPr>
    </w:p>
    <w:p xmlns:wp14="http://schemas.microsoft.com/office/word/2010/wordml" w:rsidP="341598FF" wp14:paraId="05A30459" wp14:textId="6E9FBB99">
      <w:pPr>
        <w:pStyle w:val="Heading2"/>
        <w:bidi w:val="0"/>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4A3E8441" wp14:textId="180EA48B">
      <w:r>
        <w:br w:type="page"/>
      </w:r>
    </w:p>
    <w:p xmlns:wp14="http://schemas.microsoft.com/office/word/2010/wordml" w:rsidP="341598FF" wp14:paraId="5BB0666A" wp14:textId="13A79A62">
      <w:pPr>
        <w:pStyle w:val="Heading1"/>
        <w:bidi w:val="0"/>
        <w:rPr>
          <w:rFonts w:ascii="Aptos" w:hAnsi="Aptos" w:eastAsia="Aptos" w:cs="Aptos"/>
          <w:b w:val="1"/>
          <w:bCs w:val="1"/>
          <w:noProof w:val="0"/>
          <w:sz w:val="36"/>
          <w:szCs w:val="36"/>
          <w:lang w:val="pt-BR"/>
        </w:rPr>
      </w:pPr>
      <w:bookmarkStart w:name="_Toc82198829" w:id="2110473347"/>
      <w:r w:rsidRPr="341598FF" w:rsidR="3BB83F6D">
        <w:rPr>
          <w:noProof w:val="0"/>
          <w:lang w:val="pt-BR"/>
        </w:rPr>
        <w:t>Glossário Executivo Refinado</w:t>
      </w:r>
      <w:bookmarkEnd w:id="2110473347"/>
    </w:p>
    <w:p xmlns:wp14="http://schemas.microsoft.com/office/word/2010/wordml" w:rsidP="341598FF" wp14:paraId="41242FEA" wp14:textId="41975B76">
      <w:pPr>
        <w:pStyle w:val="Heading3"/>
        <w:bidi w:val="0"/>
        <w:rPr>
          <w:noProof w:val="0"/>
          <w:lang w:val="pt-BR"/>
        </w:rPr>
      </w:pPr>
      <w:bookmarkStart w:name="_Toc1195897181" w:id="1382865810"/>
      <w:r w:rsidRPr="341598FF" w:rsidR="3BB83F6D">
        <w:rPr>
          <w:noProof w:val="0"/>
          <w:lang w:val="pt-BR"/>
        </w:rPr>
        <w:t xml:space="preserve">ROI – </w:t>
      </w:r>
      <w:r w:rsidRPr="341598FF" w:rsidR="3BB83F6D">
        <w:rPr>
          <w:noProof w:val="0"/>
          <w:lang w:val="pt-BR"/>
        </w:rPr>
        <w:t>Return</w:t>
      </w:r>
      <w:r w:rsidRPr="341598FF" w:rsidR="3BB83F6D">
        <w:rPr>
          <w:noProof w:val="0"/>
          <w:lang w:val="pt-BR"/>
        </w:rPr>
        <w:t xml:space="preserve"> </w:t>
      </w:r>
      <w:r w:rsidRPr="341598FF" w:rsidR="3BB83F6D">
        <w:rPr>
          <w:noProof w:val="0"/>
          <w:lang w:val="pt-BR"/>
        </w:rPr>
        <w:t>on</w:t>
      </w:r>
      <w:r w:rsidRPr="341598FF" w:rsidR="3BB83F6D">
        <w:rPr>
          <w:noProof w:val="0"/>
          <w:lang w:val="pt-BR"/>
        </w:rPr>
        <w:t xml:space="preserve"> </w:t>
      </w:r>
      <w:r w:rsidRPr="341598FF" w:rsidR="3BB83F6D">
        <w:rPr>
          <w:noProof w:val="0"/>
          <w:lang w:val="pt-BR"/>
        </w:rPr>
        <w:t>Investment</w:t>
      </w:r>
      <w:r w:rsidRPr="341598FF" w:rsidR="3BB83F6D">
        <w:rPr>
          <w:noProof w:val="0"/>
          <w:lang w:val="pt-BR"/>
        </w:rPr>
        <w:t xml:space="preserve"> (Retorno sobre Investimento)</w:t>
      </w:r>
      <w:bookmarkEnd w:id="1382865810"/>
    </w:p>
    <w:p xmlns:wp14="http://schemas.microsoft.com/office/word/2010/wordml" w:rsidP="341598FF" wp14:paraId="17C9DA0E" wp14:textId="160ADEB4">
      <w:pPr>
        <w:pStyle w:val="Normal"/>
        <w:bidi w:val="0"/>
        <w:jc w:val="both"/>
        <w:rPr>
          <w:noProof w:val="0"/>
          <w:lang w:val="pt-BR"/>
        </w:rPr>
      </w:pPr>
      <w:r w:rsidRPr="341598FF" w:rsidR="3BB83F6D">
        <w:rPr>
          <w:noProof w:val="0"/>
          <w:lang w:val="pt-BR"/>
        </w:rPr>
        <w:t xml:space="preserve">Indicador utilizado para mensurar o retorno gerado por uma iniciativa, projeto ou política, seja em termos financeiros, sociais ou reputacionais. No contexto de diversidade e inclusão, o ROI social avalia o impacto de práticas equitativas na retenção de talentos, engajamento organizacional e reputação institucional. É amplamente utilizado por consultorias como McKinsey &amp; </w:t>
      </w:r>
      <w:r w:rsidRPr="341598FF" w:rsidR="3BB83F6D">
        <w:rPr>
          <w:noProof w:val="0"/>
          <w:lang w:val="pt-BR"/>
        </w:rPr>
        <w:t>Company</w:t>
      </w:r>
      <w:r w:rsidRPr="341598FF" w:rsidR="3BB83F6D">
        <w:rPr>
          <w:noProof w:val="0"/>
          <w:lang w:val="pt-BR"/>
        </w:rPr>
        <w:t xml:space="preserve"> para correlacionar diversidade com performance empresarial.</w:t>
      </w:r>
    </w:p>
    <w:p xmlns:wp14="http://schemas.microsoft.com/office/word/2010/wordml" w:rsidP="341598FF" wp14:paraId="37AC0F62" wp14:textId="418C1110">
      <w:pPr>
        <w:pStyle w:val="Heading3"/>
        <w:bidi w:val="0"/>
        <w:rPr>
          <w:noProof w:val="0"/>
          <w:lang w:val="en-US"/>
        </w:rPr>
      </w:pPr>
      <w:bookmarkStart w:name="_Toc109741562" w:id="1105121310"/>
      <w:r w:rsidRPr="341598FF" w:rsidR="3BB83F6D">
        <w:rPr>
          <w:noProof w:val="0"/>
          <w:lang w:val="en-US"/>
        </w:rPr>
        <w:t xml:space="preserve">ESG – Environmental, Social </w:t>
      </w:r>
      <w:r w:rsidRPr="341598FF" w:rsidR="3BB83F6D">
        <w:rPr>
          <w:noProof w:val="0"/>
          <w:lang w:val="en-US"/>
        </w:rPr>
        <w:t>and</w:t>
      </w:r>
      <w:r w:rsidRPr="341598FF" w:rsidR="3BB83F6D">
        <w:rPr>
          <w:noProof w:val="0"/>
          <w:lang w:val="en-US"/>
        </w:rPr>
        <w:t xml:space="preserve"> Governance (Ambiental, Social e </w:t>
      </w:r>
      <w:r w:rsidRPr="341598FF" w:rsidR="3BB83F6D">
        <w:rPr>
          <w:noProof w:val="0"/>
          <w:lang w:val="en-US"/>
        </w:rPr>
        <w:t>Governança</w:t>
      </w:r>
      <w:r w:rsidRPr="341598FF" w:rsidR="3BB83F6D">
        <w:rPr>
          <w:noProof w:val="0"/>
          <w:lang w:val="en-US"/>
        </w:rPr>
        <w:t>)</w:t>
      </w:r>
      <w:bookmarkEnd w:id="1105121310"/>
    </w:p>
    <w:p xmlns:wp14="http://schemas.microsoft.com/office/word/2010/wordml" w:rsidP="341598FF" wp14:paraId="7C31AF49" wp14:textId="7B04421B">
      <w:pPr>
        <w:pStyle w:val="Normal"/>
        <w:bidi w:val="0"/>
        <w:jc w:val="both"/>
        <w:rPr>
          <w:noProof w:val="0"/>
          <w:lang w:val="pt-BR"/>
        </w:rPr>
      </w:pPr>
      <w:r w:rsidRPr="341598FF" w:rsidR="3BB83F6D">
        <w:rPr>
          <w:noProof w:val="0"/>
          <w:lang w:val="pt-BR"/>
        </w:rPr>
        <w:t xml:space="preserve">Conjunto de critérios que avaliam o desempenho de uma organização em práticas sustentáveis, responsabilidade social e governança corporativa. O pilar ambiental trata da gestão de recursos naturais e impactos ecológicos; o social envolve inclusão, equidade e relações com stakeholders; e a governança abrange ética, transparência e conformidade regulatória. Relatórios como os da Deloitte e </w:t>
      </w:r>
      <w:r w:rsidRPr="341598FF" w:rsidR="3BB83F6D">
        <w:rPr>
          <w:noProof w:val="0"/>
          <w:lang w:val="pt-BR"/>
        </w:rPr>
        <w:t>PwC</w:t>
      </w:r>
      <w:r w:rsidRPr="341598FF" w:rsidR="3BB83F6D">
        <w:rPr>
          <w:noProof w:val="0"/>
          <w:lang w:val="pt-BR"/>
        </w:rPr>
        <w:t xml:space="preserve"> utilizam métricas ESG para orientar decisões estratégicas e investimentos responsáveis.</w:t>
      </w:r>
    </w:p>
    <w:p xmlns:wp14="http://schemas.microsoft.com/office/word/2010/wordml" w:rsidP="341598FF" wp14:paraId="6E4174F2" wp14:textId="1517E2A6">
      <w:pPr>
        <w:pStyle w:val="Heading3"/>
        <w:bidi w:val="0"/>
        <w:rPr>
          <w:noProof w:val="0"/>
          <w:lang w:val="en-US"/>
        </w:rPr>
      </w:pPr>
      <w:bookmarkStart w:name="_Toc1562799779" w:id="905696835"/>
      <w:r w:rsidRPr="341598FF" w:rsidR="3BB83F6D">
        <w:rPr>
          <w:noProof w:val="0"/>
          <w:lang w:val="en-US"/>
        </w:rPr>
        <w:t xml:space="preserve">DEI – </w:t>
      </w:r>
      <w:r w:rsidRPr="341598FF" w:rsidR="3BB83F6D">
        <w:rPr>
          <w:noProof w:val="0"/>
          <w:lang w:val="en-US"/>
        </w:rPr>
        <w:t>Diversity</w:t>
      </w:r>
      <w:r w:rsidRPr="341598FF" w:rsidR="3BB83F6D">
        <w:rPr>
          <w:noProof w:val="0"/>
          <w:lang w:val="en-US"/>
        </w:rPr>
        <w:t xml:space="preserve">, </w:t>
      </w:r>
      <w:r w:rsidRPr="341598FF" w:rsidR="3BB83F6D">
        <w:rPr>
          <w:noProof w:val="0"/>
          <w:lang w:val="en-US"/>
        </w:rPr>
        <w:t>Equity</w:t>
      </w:r>
      <w:r w:rsidRPr="341598FF" w:rsidR="3BB83F6D">
        <w:rPr>
          <w:noProof w:val="0"/>
          <w:lang w:val="en-US"/>
        </w:rPr>
        <w:t xml:space="preserve"> </w:t>
      </w:r>
      <w:r w:rsidRPr="341598FF" w:rsidR="3BB83F6D">
        <w:rPr>
          <w:noProof w:val="0"/>
          <w:lang w:val="en-US"/>
        </w:rPr>
        <w:t>and</w:t>
      </w:r>
      <w:r w:rsidRPr="341598FF" w:rsidR="3BB83F6D">
        <w:rPr>
          <w:noProof w:val="0"/>
          <w:lang w:val="en-US"/>
        </w:rPr>
        <w:t xml:space="preserve"> </w:t>
      </w:r>
      <w:r w:rsidRPr="341598FF" w:rsidR="3BB83F6D">
        <w:rPr>
          <w:noProof w:val="0"/>
          <w:lang w:val="en-US"/>
        </w:rPr>
        <w:t>Inclusion</w:t>
      </w:r>
      <w:r w:rsidRPr="341598FF" w:rsidR="3BB83F6D">
        <w:rPr>
          <w:noProof w:val="0"/>
          <w:lang w:val="en-US"/>
        </w:rPr>
        <w:t xml:space="preserve"> (</w:t>
      </w:r>
      <w:r w:rsidRPr="341598FF" w:rsidR="3BB83F6D">
        <w:rPr>
          <w:noProof w:val="0"/>
          <w:lang w:val="en-US"/>
        </w:rPr>
        <w:t>Diversidade</w:t>
      </w:r>
      <w:r w:rsidRPr="341598FF" w:rsidR="3BB83F6D">
        <w:rPr>
          <w:noProof w:val="0"/>
          <w:lang w:val="en-US"/>
        </w:rPr>
        <w:t xml:space="preserve">, </w:t>
      </w:r>
      <w:r w:rsidRPr="341598FF" w:rsidR="3BB83F6D">
        <w:rPr>
          <w:noProof w:val="0"/>
          <w:lang w:val="en-US"/>
        </w:rPr>
        <w:t>Equidade</w:t>
      </w:r>
      <w:r w:rsidRPr="341598FF" w:rsidR="3BB83F6D">
        <w:rPr>
          <w:noProof w:val="0"/>
          <w:lang w:val="en-US"/>
        </w:rPr>
        <w:t xml:space="preserve"> e </w:t>
      </w:r>
      <w:r w:rsidRPr="341598FF" w:rsidR="3BB83F6D">
        <w:rPr>
          <w:noProof w:val="0"/>
          <w:lang w:val="en-US"/>
        </w:rPr>
        <w:t>Inclusão</w:t>
      </w:r>
      <w:r w:rsidRPr="341598FF" w:rsidR="3BB83F6D">
        <w:rPr>
          <w:noProof w:val="0"/>
          <w:lang w:val="en-US"/>
        </w:rPr>
        <w:t>)</w:t>
      </w:r>
      <w:bookmarkEnd w:id="905696835"/>
    </w:p>
    <w:p xmlns:wp14="http://schemas.microsoft.com/office/word/2010/wordml" w:rsidP="341598FF" wp14:paraId="4A4AAACD" wp14:textId="35E79303">
      <w:pPr>
        <w:pStyle w:val="Normal"/>
        <w:bidi w:val="0"/>
        <w:jc w:val="both"/>
        <w:rPr>
          <w:noProof w:val="0"/>
          <w:lang w:val="pt-BR"/>
        </w:rPr>
      </w:pPr>
      <w:r w:rsidRPr="341598FF" w:rsidR="3BB83F6D">
        <w:rPr>
          <w:noProof w:val="0"/>
          <w:lang w:val="pt-BR"/>
        </w:rPr>
        <w:t>Estratégia corporativa voltada à construção de ambientes de trabalho mais diversos, justos e inclusivos. A diversidade refere-se à representatividade de diferentes grupos; a equidade busca corrigir desigualdades estruturais; e a inclusão garante participação ativa e valorização de todos os colaboradores. Estudos como “</w:t>
      </w:r>
      <w:r w:rsidRPr="341598FF" w:rsidR="3BB83F6D">
        <w:rPr>
          <w:noProof w:val="0"/>
          <w:lang w:val="pt-BR"/>
        </w:rPr>
        <w:t>Diversity</w:t>
      </w:r>
      <w:r w:rsidRPr="341598FF" w:rsidR="3BB83F6D">
        <w:rPr>
          <w:noProof w:val="0"/>
          <w:lang w:val="pt-BR"/>
        </w:rPr>
        <w:t xml:space="preserve"> </w:t>
      </w:r>
      <w:r w:rsidRPr="341598FF" w:rsidR="3BB83F6D">
        <w:rPr>
          <w:noProof w:val="0"/>
          <w:lang w:val="pt-BR"/>
        </w:rPr>
        <w:t>Wins</w:t>
      </w:r>
      <w:r w:rsidRPr="341598FF" w:rsidR="3BB83F6D">
        <w:rPr>
          <w:noProof w:val="0"/>
          <w:lang w:val="pt-BR"/>
        </w:rPr>
        <w:t>” da McKinsey demonstram que empresas com alto desempenho em DEI apresentam melhores resultados financeiros e maior inovação.</w:t>
      </w:r>
    </w:p>
    <w:p xmlns:wp14="http://schemas.microsoft.com/office/word/2010/wordml" w:rsidP="341598FF" wp14:paraId="1FC34442" wp14:textId="07D0DC78">
      <w:pPr>
        <w:pStyle w:val="Heading3"/>
        <w:bidi w:val="0"/>
        <w:rPr>
          <w:noProof w:val="0"/>
          <w:lang w:val="pt-BR"/>
        </w:rPr>
      </w:pPr>
      <w:bookmarkStart w:name="_Toc479880314" w:id="1968270688"/>
      <w:r w:rsidRPr="341598FF" w:rsidR="3BB83F6D">
        <w:rPr>
          <w:noProof w:val="0"/>
          <w:lang w:val="pt-BR"/>
        </w:rPr>
        <w:t>CLT – Consolidação das Leis do Trabalho</w:t>
      </w:r>
      <w:bookmarkEnd w:id="1968270688"/>
    </w:p>
    <w:p xmlns:wp14="http://schemas.microsoft.com/office/word/2010/wordml" w:rsidP="341598FF" wp14:paraId="03D07C92" wp14:textId="04316241">
      <w:pPr>
        <w:pStyle w:val="Normal"/>
        <w:bidi w:val="0"/>
        <w:jc w:val="both"/>
      </w:pPr>
      <w:r w:rsidRPr="341598FF" w:rsidR="3BB83F6D">
        <w:rPr>
          <w:noProof w:val="0"/>
          <w:lang w:val="pt-BR"/>
        </w:rPr>
        <w:t>Principal legislação trabalhista brasileira, instituída em 1943, que regula os vínculos empregatícios formais. A CLT estabelece direitos e deveres de empregadores e empregados, como jornada de trabalho, remuneração, férias, licenças e proteção social. É base para políticas de compliance e inclusão produtiva, sendo frequentemente utilizada como referência por órgãos como o MPT e o TST.</w:t>
      </w:r>
    </w:p>
    <w:p xmlns:wp14="http://schemas.microsoft.com/office/word/2010/wordml" w:rsidP="341598FF" wp14:paraId="1EF152E8" wp14:textId="0BF435CB">
      <w:pPr>
        <w:pStyle w:val="Heading3"/>
        <w:bidi w:val="0"/>
        <w:rPr>
          <w:noProof w:val="0"/>
          <w:lang w:val="pt-BR"/>
        </w:rPr>
      </w:pPr>
      <w:bookmarkStart w:name="_Toc878635093" w:id="1977647971"/>
      <w:r w:rsidRPr="341598FF" w:rsidR="3BB83F6D">
        <w:rPr>
          <w:noProof w:val="0"/>
          <w:lang w:val="pt-BR"/>
        </w:rPr>
        <w:t>TST – Tribunal Superior do Trabalho</w:t>
      </w:r>
      <w:bookmarkEnd w:id="1977647971"/>
    </w:p>
    <w:p xmlns:wp14="http://schemas.microsoft.com/office/word/2010/wordml" w:rsidP="341598FF" wp14:paraId="7F041AB5" wp14:textId="2F041F5E">
      <w:pPr>
        <w:pStyle w:val="Normal"/>
        <w:bidi w:val="0"/>
        <w:jc w:val="both"/>
      </w:pPr>
      <w:r w:rsidRPr="341598FF" w:rsidR="3BB83F6D">
        <w:rPr>
          <w:noProof w:val="0"/>
          <w:lang w:val="pt-BR"/>
        </w:rPr>
        <w:t>Instância máxima da Justiça do Trabalho no Brasil, responsável por uniformizar a interpretação da legislação trabalhista e julgar recursos de decisões dos Tribunais Regionais do Trabalho. O TST atua na consolidação de jurisprudência sobre temas como vínculos contratuais, inclusão de grupos vulneráveis e responsabilidade social empresarial.</w:t>
      </w:r>
    </w:p>
    <w:p xmlns:wp14="http://schemas.microsoft.com/office/word/2010/wordml" w:rsidP="341598FF" wp14:paraId="593C8F8D" wp14:textId="79939552">
      <w:pPr>
        <w:pStyle w:val="Heading3"/>
        <w:bidi w:val="0"/>
        <w:rPr>
          <w:noProof w:val="0"/>
          <w:lang w:val="pt-BR"/>
        </w:rPr>
      </w:pPr>
      <w:bookmarkStart w:name="_Toc525302548" w:id="646246650"/>
      <w:r w:rsidRPr="341598FF" w:rsidR="3BB83F6D">
        <w:rPr>
          <w:noProof w:val="0"/>
          <w:lang w:val="pt-BR"/>
        </w:rPr>
        <w:t>MPT – Ministério Público do Trabalho</w:t>
      </w:r>
      <w:bookmarkEnd w:id="646246650"/>
    </w:p>
    <w:p xmlns:wp14="http://schemas.microsoft.com/office/word/2010/wordml" w:rsidP="341598FF" wp14:paraId="744DB56D" wp14:textId="79059DBE">
      <w:pPr>
        <w:pStyle w:val="Normal"/>
        <w:bidi w:val="0"/>
        <w:jc w:val="both"/>
      </w:pPr>
      <w:r w:rsidRPr="341598FF" w:rsidR="3BB83F6D">
        <w:rPr>
          <w:noProof w:val="0"/>
          <w:lang w:val="pt-BR"/>
        </w:rPr>
        <w:t>Órgão autônomo da estrutura do Ministério Público brasileiro, com atribuição de fiscalizar o cumprimento da legislação trabalhista e promover ações civis públicas em defesa dos direitos coletivos dos trabalhadores. O MPT atua fortemente em temas como combate à discriminação, promoção da equidade racial e inclusão de pessoas com deficiência no mercado formal.</w:t>
      </w:r>
    </w:p>
    <w:p xmlns:wp14="http://schemas.microsoft.com/office/word/2010/wordml" w:rsidP="341598FF" wp14:paraId="2224D74F" wp14:textId="1F8A51CA">
      <w:pPr>
        <w:pStyle w:val="Heading3"/>
        <w:bidi w:val="0"/>
        <w:rPr>
          <w:noProof w:val="0"/>
          <w:lang w:val="pt-BR"/>
        </w:rPr>
      </w:pPr>
      <w:bookmarkStart w:name="_Toc743621194" w:id="132761853"/>
      <w:r w:rsidRPr="341598FF" w:rsidR="3BB83F6D">
        <w:rPr>
          <w:noProof w:val="0"/>
          <w:lang w:val="pt-BR"/>
        </w:rPr>
        <w:t>OIT – Organização Internacional do Trabalho (</w:t>
      </w:r>
      <w:r w:rsidRPr="341598FF" w:rsidR="3BB83F6D">
        <w:rPr>
          <w:noProof w:val="0"/>
          <w:lang w:val="pt-BR"/>
        </w:rPr>
        <w:t>International</w:t>
      </w:r>
      <w:r w:rsidRPr="341598FF" w:rsidR="3BB83F6D">
        <w:rPr>
          <w:noProof w:val="0"/>
          <w:lang w:val="pt-BR"/>
        </w:rPr>
        <w:t xml:space="preserve"> Labour </w:t>
      </w:r>
      <w:r w:rsidRPr="341598FF" w:rsidR="3BB83F6D">
        <w:rPr>
          <w:noProof w:val="0"/>
          <w:lang w:val="pt-BR"/>
        </w:rPr>
        <w:t>Organization</w:t>
      </w:r>
      <w:r w:rsidRPr="341598FF" w:rsidR="3BB83F6D">
        <w:rPr>
          <w:noProof w:val="0"/>
          <w:lang w:val="pt-BR"/>
        </w:rPr>
        <w:t xml:space="preserve"> – ILO)</w:t>
      </w:r>
      <w:bookmarkEnd w:id="132761853"/>
    </w:p>
    <w:p xmlns:wp14="http://schemas.microsoft.com/office/word/2010/wordml" w:rsidP="341598FF" wp14:paraId="4D9C1C2D" wp14:textId="7FA55090">
      <w:pPr>
        <w:pStyle w:val="Normal"/>
        <w:bidi w:val="0"/>
        <w:jc w:val="both"/>
      </w:pPr>
      <w:r w:rsidRPr="341598FF" w:rsidR="3BB83F6D">
        <w:rPr>
          <w:noProof w:val="0"/>
          <w:lang w:val="pt-BR"/>
        </w:rPr>
        <w:t>Agência especializada da ONU criada em 1919, com estrutura tripartite que reúne governos, empregadores e trabalhadores. A OIT promove justiça social e condições dignas de trabalho em escala global, sendo referência em normas internacionais sobre inclusão, trabalho decente e proteção social. Seus relatórios influenciam políticas públicas e práticas empresariais em diversos países.</w:t>
      </w:r>
    </w:p>
    <w:p xmlns:wp14="http://schemas.microsoft.com/office/word/2010/wordml" w:rsidP="341598FF" wp14:paraId="3C9D0099" wp14:textId="5618E3BC">
      <w:pPr>
        <w:pStyle w:val="Heading3"/>
        <w:bidi w:val="0"/>
        <w:rPr>
          <w:noProof w:val="0"/>
          <w:lang w:val="pt-BR"/>
        </w:rPr>
      </w:pPr>
      <w:bookmarkStart w:name="_Toc858082353" w:id="908267230"/>
      <w:r w:rsidRPr="341598FF" w:rsidR="3BB83F6D">
        <w:rPr>
          <w:noProof w:val="0"/>
          <w:lang w:val="pt-BR"/>
        </w:rPr>
        <w:t xml:space="preserve">McKinsey &amp; </w:t>
      </w:r>
      <w:r w:rsidRPr="341598FF" w:rsidR="3BB83F6D">
        <w:rPr>
          <w:noProof w:val="0"/>
          <w:lang w:val="pt-BR"/>
        </w:rPr>
        <w:t>Company</w:t>
      </w:r>
      <w:bookmarkEnd w:id="908267230"/>
    </w:p>
    <w:p xmlns:wp14="http://schemas.microsoft.com/office/word/2010/wordml" w:rsidP="341598FF" wp14:paraId="63C5C817" wp14:textId="00C8110A">
      <w:pPr>
        <w:pStyle w:val="Normal"/>
        <w:bidi w:val="0"/>
        <w:jc w:val="both"/>
        <w:rPr>
          <w:noProof w:val="0"/>
          <w:lang w:val="pt-BR"/>
        </w:rPr>
      </w:pPr>
      <w:r w:rsidRPr="341598FF" w:rsidR="3BB83F6D">
        <w:rPr>
          <w:noProof w:val="0"/>
          <w:lang w:val="pt-BR"/>
        </w:rPr>
        <w:t>Uma das maiores e mais influentes empresas globais de consultoria em gestão estratégica. Fundada em 1926 por James O. McKinsey, professor da Universidade de Chicago, a McKinsey atua em mais de 65 países, incluindo o Brasil. Assessora empresas, governos e organizações sem fins lucrativos em temas como estratégia, inovação, sustentabilidade e diversidade. É reconhecida por estudos como “</w:t>
      </w:r>
      <w:r w:rsidRPr="341598FF" w:rsidR="3BB83F6D">
        <w:rPr>
          <w:noProof w:val="0"/>
          <w:lang w:val="pt-BR"/>
        </w:rPr>
        <w:t>Diversity</w:t>
      </w:r>
      <w:r w:rsidRPr="341598FF" w:rsidR="3BB83F6D">
        <w:rPr>
          <w:noProof w:val="0"/>
          <w:lang w:val="pt-BR"/>
        </w:rPr>
        <w:t xml:space="preserve"> </w:t>
      </w:r>
      <w:r w:rsidRPr="341598FF" w:rsidR="3BB83F6D">
        <w:rPr>
          <w:noProof w:val="0"/>
          <w:lang w:val="pt-BR"/>
        </w:rPr>
        <w:t>Wins</w:t>
      </w:r>
      <w:r w:rsidRPr="341598FF" w:rsidR="3BB83F6D">
        <w:rPr>
          <w:noProof w:val="0"/>
          <w:lang w:val="pt-BR"/>
        </w:rPr>
        <w:t>” (2020) e “</w:t>
      </w:r>
      <w:r w:rsidRPr="341598FF" w:rsidR="3BB83F6D">
        <w:rPr>
          <w:noProof w:val="0"/>
          <w:lang w:val="pt-BR"/>
        </w:rPr>
        <w:t>Women</w:t>
      </w:r>
      <w:r w:rsidRPr="341598FF" w:rsidR="3BB83F6D">
        <w:rPr>
          <w:noProof w:val="0"/>
          <w:lang w:val="pt-BR"/>
        </w:rPr>
        <w:t xml:space="preserve"> in </w:t>
      </w:r>
      <w:r w:rsidRPr="341598FF" w:rsidR="3BB83F6D">
        <w:rPr>
          <w:noProof w:val="0"/>
          <w:lang w:val="pt-BR"/>
        </w:rPr>
        <w:t>the</w:t>
      </w:r>
      <w:r w:rsidRPr="341598FF" w:rsidR="3BB83F6D">
        <w:rPr>
          <w:noProof w:val="0"/>
          <w:lang w:val="pt-BR"/>
        </w:rPr>
        <w:t xml:space="preserve"> </w:t>
      </w:r>
      <w:r w:rsidRPr="341598FF" w:rsidR="3BB83F6D">
        <w:rPr>
          <w:noProof w:val="0"/>
          <w:lang w:val="pt-BR"/>
        </w:rPr>
        <w:t>Workplace</w:t>
      </w:r>
      <w:r w:rsidRPr="341598FF" w:rsidR="3BB83F6D">
        <w:rPr>
          <w:noProof w:val="0"/>
          <w:lang w:val="pt-BR"/>
        </w:rPr>
        <w:t>”, que demonstram a correlação entre diversidade e performance organizacional. Seus insights são amplamente utilizados como referência por líderes empresariais e acadêmicos.</w:t>
      </w:r>
    </w:p>
    <w:p xmlns:wp14="http://schemas.microsoft.com/office/word/2010/wordml" w:rsidP="341598FF" wp14:paraId="6E2BFC3C" wp14:textId="4CFFF669">
      <w:pPr>
        <w:pStyle w:val="Heading3"/>
        <w:bidi w:val="0"/>
        <w:rPr>
          <w:noProof w:val="0"/>
          <w:lang w:val="pt-BR"/>
        </w:rPr>
      </w:pPr>
      <w:bookmarkStart w:name="_Toc1678862918" w:id="437965081"/>
      <w:r w:rsidRPr="341598FF" w:rsidR="3BB83F6D">
        <w:rPr>
          <w:noProof w:val="0"/>
          <w:lang w:val="pt-BR"/>
        </w:rPr>
        <w:t>Deloitte Brasil</w:t>
      </w:r>
      <w:bookmarkEnd w:id="437965081"/>
    </w:p>
    <w:p xmlns:wp14="http://schemas.microsoft.com/office/word/2010/wordml" w:rsidP="341598FF" wp14:paraId="235CE31B" wp14:textId="72207462">
      <w:pPr>
        <w:pStyle w:val="Normal"/>
        <w:bidi w:val="0"/>
        <w:jc w:val="both"/>
        <w:rPr>
          <w:noProof w:val="0"/>
          <w:lang w:val="pt-BR"/>
        </w:rPr>
      </w:pPr>
      <w:r w:rsidRPr="341598FF" w:rsidR="3BB83F6D">
        <w:rPr>
          <w:noProof w:val="0"/>
          <w:lang w:val="pt-BR"/>
        </w:rPr>
        <w:t xml:space="preserve">Filial brasileira da Deloitte Touche </w:t>
      </w:r>
      <w:r w:rsidRPr="341598FF" w:rsidR="3BB83F6D">
        <w:rPr>
          <w:noProof w:val="0"/>
          <w:lang w:val="pt-BR"/>
        </w:rPr>
        <w:t>Tohmatsu</w:t>
      </w:r>
      <w:r w:rsidRPr="341598FF" w:rsidR="3BB83F6D">
        <w:rPr>
          <w:noProof w:val="0"/>
          <w:lang w:val="pt-BR"/>
        </w:rPr>
        <w:t xml:space="preserve"> </w:t>
      </w:r>
      <w:r w:rsidRPr="341598FF" w:rsidR="3BB83F6D">
        <w:rPr>
          <w:noProof w:val="0"/>
          <w:lang w:val="pt-BR"/>
        </w:rPr>
        <w:t>Limited</w:t>
      </w:r>
      <w:r w:rsidRPr="341598FF" w:rsidR="3BB83F6D">
        <w:rPr>
          <w:noProof w:val="0"/>
          <w:lang w:val="pt-BR"/>
        </w:rPr>
        <w:t>, integrante do grupo “Big Four” da auditoria global. Fundada em 1845, no Reino Unido, a Deloitte atua em auditoria, consultoria, gestão de riscos, tributária e assessoria financeira. No Brasil, é referência em estudos sobre ESG, inovação e diversidade corporativa, com presença em grandes centros como São Paulo, Rio de Janeiro e Brasília. Seus relatórios são utilizados por empresas para orientar práticas sustentáveis e decisões estratégicas.</w:t>
      </w:r>
    </w:p>
    <w:p xmlns:wp14="http://schemas.microsoft.com/office/word/2010/wordml" w:rsidP="341598FF" wp14:paraId="34BFE80C" wp14:textId="37EAA33B">
      <w:pPr>
        <w:pStyle w:val="Heading3"/>
        <w:bidi w:val="0"/>
        <w:rPr>
          <w:noProof w:val="0"/>
          <w:lang w:val="pt-BR"/>
        </w:rPr>
      </w:pPr>
      <w:bookmarkStart w:name="_Toc1158775834" w:id="393168979"/>
      <w:r w:rsidRPr="341598FF" w:rsidR="3BB83F6D">
        <w:rPr>
          <w:noProof w:val="0"/>
          <w:lang w:val="pt-BR"/>
        </w:rPr>
        <w:t>PwC</w:t>
      </w:r>
      <w:r w:rsidRPr="341598FF" w:rsidR="3BB83F6D">
        <w:rPr>
          <w:noProof w:val="0"/>
          <w:lang w:val="pt-BR"/>
        </w:rPr>
        <w:t xml:space="preserve"> – PricewaterhouseCoopers</w:t>
      </w:r>
      <w:bookmarkEnd w:id="393168979"/>
    </w:p>
    <w:p xmlns:wp14="http://schemas.microsoft.com/office/word/2010/wordml" w:rsidP="341598FF" wp14:paraId="4476E924" wp14:textId="71C18DFD">
      <w:pPr>
        <w:pStyle w:val="Normal"/>
        <w:bidi w:val="0"/>
        <w:jc w:val="both"/>
        <w:rPr>
          <w:noProof w:val="0"/>
          <w:lang w:val="pt-BR"/>
        </w:rPr>
      </w:pPr>
      <w:r w:rsidRPr="341598FF" w:rsidR="3BB83F6D">
        <w:rPr>
          <w:noProof w:val="0"/>
          <w:lang w:val="pt-BR"/>
        </w:rPr>
        <w:t xml:space="preserve">Empresa global de serviços profissionais, também integrante do “Big Four” da auditoria. Fundada em 1849, em Londres, está presente em mais de 150 países, com cerca de 360 mil profissionais. No Brasil, possui escritórios em diversas capitais e atua em auditoria, consultoria empresarial, gestão de riscos, compliance, tributária e </w:t>
      </w:r>
      <w:r w:rsidRPr="341598FF" w:rsidR="3BB83F6D">
        <w:rPr>
          <w:noProof w:val="0"/>
          <w:lang w:val="pt-BR"/>
        </w:rPr>
        <w:t>advisory</w:t>
      </w:r>
      <w:r w:rsidRPr="341598FF" w:rsidR="3BB83F6D">
        <w:rPr>
          <w:noProof w:val="0"/>
          <w:lang w:val="pt-BR"/>
        </w:rPr>
        <w:t xml:space="preserve">. A </w:t>
      </w:r>
      <w:r w:rsidRPr="341598FF" w:rsidR="3BB83F6D">
        <w:rPr>
          <w:noProof w:val="0"/>
          <w:lang w:val="pt-BR"/>
        </w:rPr>
        <w:t>PwC</w:t>
      </w:r>
      <w:r w:rsidRPr="341598FF" w:rsidR="3BB83F6D">
        <w:rPr>
          <w:noProof w:val="0"/>
          <w:lang w:val="pt-BR"/>
        </w:rPr>
        <w:t xml:space="preserve"> é reconhecida por relatórios sobre diversidade, transformação digital e sustentabilidade, sendo fonte recorrente em estudos sobre impacto social e governança corporativa.</w:t>
      </w:r>
    </w:p>
    <w:p xmlns:wp14="http://schemas.microsoft.com/office/word/2010/wordml" w:rsidP="341598FF" wp14:paraId="49C9D1B4" wp14:textId="4D218E0D">
      <w:pPr>
        <w:pStyle w:val="Normal"/>
        <w:bidi w:val="0"/>
        <w:jc w:val="both"/>
      </w:pPr>
    </w:p>
    <w:p xmlns:wp14="http://schemas.microsoft.com/office/word/2010/wordml" w:rsidP="341598FF" wp14:paraId="1E207724" wp14:textId="3898C96B">
      <w:pPr>
        <w:jc w:val="both"/>
        <w:rPr>
          <w:b w:val="1"/>
          <w:bCs w:val="1"/>
        </w:rPr>
      </w:pPr>
    </w:p>
    <w:sectPr>
      <w:pgSz w:w="11906" w:h="16838" w:orient="portrait"/>
      <w:pgMar w:top="1440" w:right="1106" w:bottom="1440" w:left="900" w:header="720" w:footer="720" w:gutter="0"/>
      <w:cols w:space="720"/>
      <w:docGrid w:linePitch="360"/>
      <w:headerReference w:type="default" r:id="R64f6389f70ff403a"/>
      <w:footerReference w:type="default" r:id="Rb2e2e4c3ea9942c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341598FF" w:rsidP="341598FF" w:rsidRDefault="341598FF" w14:paraId="079EE630" w14:textId="2DAAC0CF">
    <w:pPr>
      <w:pStyle w:val="Footer"/>
      <w:pBdr>
        <w:top w:val="single" w:color="FF000000" w:sz="4" w:space="4"/>
      </w:pBdr>
      <w:bidi w:val="0"/>
    </w:pPr>
  </w:p>
</w:ftr>
</file>

<file path=word/header.xml><?xml version="1.0" encoding="utf-8"?>
<w:hdr xmlns:w14="http://schemas.microsoft.com/office/word/2010/wordml" xmlns:w="http://schemas.openxmlformats.org/wordprocessingml/2006/main">
  <w:p w:rsidR="341598FF" w:rsidP="341598FF" w:rsidRDefault="341598FF" w14:paraId="2210E836" w14:textId="609B0AE1">
    <w:pPr>
      <w:pStyle w:val="Header"/>
      <w:pBdr>
        <w:bottom w:val="single" w:color="FF000000" w:sz="4" w:space="4"/>
      </w:pBdr>
      <w:bidi w:val="0"/>
    </w:pPr>
  </w:p>
</w:hdr>
</file>

<file path=word/numbering.xml><?xml version="1.0" encoding="utf-8"?>
<w:numbering xmlns:w="http://schemas.openxmlformats.org/wordprocessingml/2006/main">
  <w:abstractNum xmlns:w="http://schemas.openxmlformats.org/wordprocessingml/2006/main" w:abstractNumId="22">
    <w:nsid w:val="3feee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5b0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468c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dc79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4b4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30d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ec1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2f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e05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f8b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e8b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32d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4fc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fcd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de1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f31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9d2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893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c8b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54d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f18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8d3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8CCD9A"/>
    <w:rsid w:val="000DF82D"/>
    <w:rsid w:val="0091694F"/>
    <w:rsid w:val="00A40D14"/>
    <w:rsid w:val="02E151A2"/>
    <w:rsid w:val="0321345E"/>
    <w:rsid w:val="034692BD"/>
    <w:rsid w:val="04A658FC"/>
    <w:rsid w:val="064A13EB"/>
    <w:rsid w:val="06B72CCA"/>
    <w:rsid w:val="070A2327"/>
    <w:rsid w:val="0785FF56"/>
    <w:rsid w:val="084C1132"/>
    <w:rsid w:val="09DD02E5"/>
    <w:rsid w:val="09F4E226"/>
    <w:rsid w:val="0A872969"/>
    <w:rsid w:val="0BEE767C"/>
    <w:rsid w:val="0C27D776"/>
    <w:rsid w:val="0C4BEEE4"/>
    <w:rsid w:val="0CBA0304"/>
    <w:rsid w:val="0D8255BF"/>
    <w:rsid w:val="1010C06B"/>
    <w:rsid w:val="101EED2F"/>
    <w:rsid w:val="106572C9"/>
    <w:rsid w:val="1086432E"/>
    <w:rsid w:val="10A0F85F"/>
    <w:rsid w:val="10C44EE4"/>
    <w:rsid w:val="10F29039"/>
    <w:rsid w:val="114331F1"/>
    <w:rsid w:val="11A9F494"/>
    <w:rsid w:val="132BD6BA"/>
    <w:rsid w:val="1369A943"/>
    <w:rsid w:val="136A4D6C"/>
    <w:rsid w:val="1438736F"/>
    <w:rsid w:val="148EE9B1"/>
    <w:rsid w:val="14957DC9"/>
    <w:rsid w:val="15B535E2"/>
    <w:rsid w:val="15D48DCA"/>
    <w:rsid w:val="16240BB1"/>
    <w:rsid w:val="168B3619"/>
    <w:rsid w:val="169DC70A"/>
    <w:rsid w:val="1790A25A"/>
    <w:rsid w:val="17F387FA"/>
    <w:rsid w:val="1806C9E1"/>
    <w:rsid w:val="1851F1A1"/>
    <w:rsid w:val="18B9BB44"/>
    <w:rsid w:val="18C0F851"/>
    <w:rsid w:val="18E8BD8B"/>
    <w:rsid w:val="19978D4D"/>
    <w:rsid w:val="1AC65270"/>
    <w:rsid w:val="1C6519E3"/>
    <w:rsid w:val="1E103A96"/>
    <w:rsid w:val="1E9CFB7D"/>
    <w:rsid w:val="20C63161"/>
    <w:rsid w:val="20EA62C6"/>
    <w:rsid w:val="2183B505"/>
    <w:rsid w:val="2307619D"/>
    <w:rsid w:val="23310640"/>
    <w:rsid w:val="238A18A0"/>
    <w:rsid w:val="25722FFB"/>
    <w:rsid w:val="2645C89B"/>
    <w:rsid w:val="26536C57"/>
    <w:rsid w:val="26792020"/>
    <w:rsid w:val="26FACECF"/>
    <w:rsid w:val="2837410E"/>
    <w:rsid w:val="285C2E9C"/>
    <w:rsid w:val="2941AB4A"/>
    <w:rsid w:val="2978CBC0"/>
    <w:rsid w:val="29ACD6F8"/>
    <w:rsid w:val="29F93131"/>
    <w:rsid w:val="2A3D1B7A"/>
    <w:rsid w:val="2B0F1F97"/>
    <w:rsid w:val="2C440211"/>
    <w:rsid w:val="2D9F4049"/>
    <w:rsid w:val="2DC20088"/>
    <w:rsid w:val="2ED6DB0E"/>
    <w:rsid w:val="2F380F92"/>
    <w:rsid w:val="2F40D9F8"/>
    <w:rsid w:val="3013FA64"/>
    <w:rsid w:val="31CC4C1D"/>
    <w:rsid w:val="32148E8F"/>
    <w:rsid w:val="321743C5"/>
    <w:rsid w:val="3227646C"/>
    <w:rsid w:val="32810F99"/>
    <w:rsid w:val="3326D051"/>
    <w:rsid w:val="338A5CAF"/>
    <w:rsid w:val="341598FF"/>
    <w:rsid w:val="3436BFA8"/>
    <w:rsid w:val="34A7160C"/>
    <w:rsid w:val="350966EB"/>
    <w:rsid w:val="367F543E"/>
    <w:rsid w:val="38B0FF76"/>
    <w:rsid w:val="3AC983B6"/>
    <w:rsid w:val="3AD033EE"/>
    <w:rsid w:val="3B992838"/>
    <w:rsid w:val="3BB83F6D"/>
    <w:rsid w:val="3BD9A228"/>
    <w:rsid w:val="3BDDD9DA"/>
    <w:rsid w:val="3C8CBBAC"/>
    <w:rsid w:val="3CB4644D"/>
    <w:rsid w:val="3D463AC6"/>
    <w:rsid w:val="3DA20CF1"/>
    <w:rsid w:val="3E51CAD1"/>
    <w:rsid w:val="3E71DA03"/>
    <w:rsid w:val="3F887165"/>
    <w:rsid w:val="3FEFA7A2"/>
    <w:rsid w:val="40659259"/>
    <w:rsid w:val="4083F1C7"/>
    <w:rsid w:val="4115CE84"/>
    <w:rsid w:val="412F3FDD"/>
    <w:rsid w:val="41BFC836"/>
    <w:rsid w:val="427ECC5A"/>
    <w:rsid w:val="42C8A8C7"/>
    <w:rsid w:val="4373AA4A"/>
    <w:rsid w:val="43E778EB"/>
    <w:rsid w:val="44370372"/>
    <w:rsid w:val="448DBE94"/>
    <w:rsid w:val="44D6F56F"/>
    <w:rsid w:val="457B3873"/>
    <w:rsid w:val="4586C7F9"/>
    <w:rsid w:val="464582D3"/>
    <w:rsid w:val="46EA63F4"/>
    <w:rsid w:val="488F3E48"/>
    <w:rsid w:val="49A24CC0"/>
    <w:rsid w:val="4A1236CD"/>
    <w:rsid w:val="4AC95377"/>
    <w:rsid w:val="4AD4DE40"/>
    <w:rsid w:val="4B569FDA"/>
    <w:rsid w:val="4B5A4E0D"/>
    <w:rsid w:val="4CC1F17D"/>
    <w:rsid w:val="4D14901B"/>
    <w:rsid w:val="4D5AB265"/>
    <w:rsid w:val="4D7FBC15"/>
    <w:rsid w:val="4E2737DA"/>
    <w:rsid w:val="4F9D5AF5"/>
    <w:rsid w:val="4FE514BE"/>
    <w:rsid w:val="508CCD9A"/>
    <w:rsid w:val="51DC958A"/>
    <w:rsid w:val="524A7A70"/>
    <w:rsid w:val="52706B23"/>
    <w:rsid w:val="52FEB294"/>
    <w:rsid w:val="5352307F"/>
    <w:rsid w:val="5452C184"/>
    <w:rsid w:val="55862249"/>
    <w:rsid w:val="57D60AB8"/>
    <w:rsid w:val="57F53EFE"/>
    <w:rsid w:val="59AE87C2"/>
    <w:rsid w:val="59C39E4C"/>
    <w:rsid w:val="5A4665AA"/>
    <w:rsid w:val="5A4665AA"/>
    <w:rsid w:val="5B0E1461"/>
    <w:rsid w:val="5BC6A47A"/>
    <w:rsid w:val="5BD8AF96"/>
    <w:rsid w:val="5BF16FE0"/>
    <w:rsid w:val="5C7CF7D9"/>
    <w:rsid w:val="5D648FA9"/>
    <w:rsid w:val="5D6ACC2C"/>
    <w:rsid w:val="5E4B7E55"/>
    <w:rsid w:val="5EB2A271"/>
    <w:rsid w:val="6022A069"/>
    <w:rsid w:val="606D1D76"/>
    <w:rsid w:val="606D1D76"/>
    <w:rsid w:val="609D53F9"/>
    <w:rsid w:val="614608BE"/>
    <w:rsid w:val="61E8802C"/>
    <w:rsid w:val="63117062"/>
    <w:rsid w:val="63117062"/>
    <w:rsid w:val="64A0B9EB"/>
    <w:rsid w:val="650DC0E3"/>
    <w:rsid w:val="6548B6DF"/>
    <w:rsid w:val="65880C16"/>
    <w:rsid w:val="65CFF842"/>
    <w:rsid w:val="6622F9C1"/>
    <w:rsid w:val="664E3302"/>
    <w:rsid w:val="664FFBA5"/>
    <w:rsid w:val="67F1406B"/>
    <w:rsid w:val="67F3766C"/>
    <w:rsid w:val="6805FF07"/>
    <w:rsid w:val="6828D562"/>
    <w:rsid w:val="69663E4F"/>
    <w:rsid w:val="6C7990DC"/>
    <w:rsid w:val="6C92DE60"/>
    <w:rsid w:val="6CA01F82"/>
    <w:rsid w:val="6E7D87A3"/>
    <w:rsid w:val="6F775529"/>
    <w:rsid w:val="70793B32"/>
    <w:rsid w:val="713206BA"/>
    <w:rsid w:val="7215268A"/>
    <w:rsid w:val="7332D31F"/>
    <w:rsid w:val="7398BD8D"/>
    <w:rsid w:val="7427DDB0"/>
    <w:rsid w:val="746F8668"/>
    <w:rsid w:val="74CBF785"/>
    <w:rsid w:val="756B116E"/>
    <w:rsid w:val="76282CBF"/>
    <w:rsid w:val="76565E28"/>
    <w:rsid w:val="765C6622"/>
    <w:rsid w:val="771C1BD6"/>
    <w:rsid w:val="778660E6"/>
    <w:rsid w:val="7823AB63"/>
    <w:rsid w:val="783A820E"/>
    <w:rsid w:val="7A588796"/>
    <w:rsid w:val="7A8B8D52"/>
    <w:rsid w:val="7AEB3D40"/>
    <w:rsid w:val="7B4EBD66"/>
    <w:rsid w:val="7C01A08E"/>
    <w:rsid w:val="7D1325DC"/>
    <w:rsid w:val="7DC61640"/>
    <w:rsid w:val="7E519F63"/>
    <w:rsid w:val="7EAF2035"/>
    <w:rsid w:val="7EDBAD18"/>
    <w:rsid w:val="7F35FD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CD9A"/>
  <w15:chartTrackingRefBased/>
  <w15:docId w15:val="{9E392F13-7F73-48DD-9584-3CEA6ADEAE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41598F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1598F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1598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41598FF"/>
    <w:pPr>
      <w:spacing/>
      <w:ind w:left="720"/>
      <w:contextualSpacing/>
    </w:pPr>
  </w:style>
  <w:style w:type="paragraph" w:styleId="Heading4">
    <w:uiPriority w:val="9"/>
    <w:name w:val="heading 4"/>
    <w:basedOn w:val="Normal"/>
    <w:next w:val="Normal"/>
    <w:unhideWhenUsed/>
    <w:qFormat/>
    <w:rsid w:val="341598F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341598FF"/>
    <w:rPr>
      <w:color w:val="467886"/>
      <w:u w:val="single"/>
    </w:rPr>
  </w:style>
  <w:style w:type="paragraph" w:styleId="TOC1">
    <w:uiPriority w:val="39"/>
    <w:name w:val="toc 1"/>
    <w:basedOn w:val="Normal"/>
    <w:next w:val="Normal"/>
    <w:unhideWhenUsed/>
    <w:rsid w:val="341598FF"/>
    <w:pPr>
      <w:spacing w:after="100"/>
    </w:pPr>
  </w:style>
  <w:style w:type="paragraph" w:styleId="TOC2">
    <w:uiPriority w:val="39"/>
    <w:name w:val="toc 2"/>
    <w:basedOn w:val="Normal"/>
    <w:next w:val="Normal"/>
    <w:unhideWhenUsed/>
    <w:rsid w:val="341598FF"/>
    <w:pPr>
      <w:spacing w:after="100"/>
      <w:ind w:left="220"/>
    </w:pPr>
  </w:style>
  <w:style w:type="paragraph" w:styleId="TOC3">
    <w:uiPriority w:val="39"/>
    <w:name w:val="toc 3"/>
    <w:basedOn w:val="Normal"/>
    <w:next w:val="Normal"/>
    <w:unhideWhenUsed/>
    <w:rsid w:val="341598FF"/>
    <w:pPr>
      <w:spacing w:after="100"/>
      <w:ind w:left="440"/>
    </w:pPr>
  </w:style>
  <w:style w:type="paragraph" w:styleId="Header">
    <w:uiPriority w:val="99"/>
    <w:name w:val="header"/>
    <w:basedOn w:val="Normal"/>
    <w:unhideWhenUsed/>
    <w:rsid w:val="341598FF"/>
    <w:pPr>
      <w:tabs>
        <w:tab w:val="center" w:leader="none" w:pos="4680"/>
        <w:tab w:val="right" w:leader="none" w:pos="9360"/>
      </w:tabs>
      <w:spacing w:after="0" w:line="240" w:lineRule="auto"/>
    </w:pPr>
  </w:style>
  <w:style w:type="paragraph" w:styleId="Footer">
    <w:uiPriority w:val="99"/>
    <w:name w:val="footer"/>
    <w:basedOn w:val="Normal"/>
    <w:unhideWhenUsed/>
    <w:rsid w:val="341598F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1627314" /><Relationship Type="http://schemas.openxmlformats.org/officeDocument/2006/relationships/image" Target="/media/image2.png" Id="rId2058950128" /><Relationship Type="http://schemas.openxmlformats.org/officeDocument/2006/relationships/image" Target="/media/image3.png" Id="rId245932042" /><Relationship Type="http://schemas.openxmlformats.org/officeDocument/2006/relationships/image" Target="/media/image4.png" Id="rId1139075980" /><Relationship Type="http://schemas.openxmlformats.org/officeDocument/2006/relationships/image" Target="/media/image5.png" Id="rId1709282522" /><Relationship Type="http://schemas.openxmlformats.org/officeDocument/2006/relationships/image" Target="/media/image6.png" Id="rId932153414" /><Relationship Type="http://schemas.openxmlformats.org/officeDocument/2006/relationships/image" Target="/media/image7.png" Id="rId1502898276" /><Relationship Type="http://schemas.openxmlformats.org/officeDocument/2006/relationships/image" Target="/media/image8.png" Id="rId1674760172" /><Relationship Type="http://schemas.openxmlformats.org/officeDocument/2006/relationships/image" Target="/media/image9.png" Id="rId169300626" /><Relationship Type="http://schemas.openxmlformats.org/officeDocument/2006/relationships/image" Target="/media/imagea.png" Id="rId1081071930" /><Relationship Type="http://schemas.openxmlformats.org/officeDocument/2006/relationships/image" Target="/media/imageb.png" Id="rId610015627" /><Relationship Type="http://schemas.openxmlformats.org/officeDocument/2006/relationships/image" Target="/media/imagec.png" Id="rId1250534939" /><Relationship Type="http://schemas.openxmlformats.org/officeDocument/2006/relationships/image" Target="/media/imaged.png" Id="rId713355577" /><Relationship Type="http://schemas.openxmlformats.org/officeDocument/2006/relationships/image" Target="/media/imagee.png" Id="rId1229038591" /><Relationship Type="http://schemas.openxmlformats.org/officeDocument/2006/relationships/header" Target="header.xml" Id="R64f6389f70ff403a" /><Relationship Type="http://schemas.openxmlformats.org/officeDocument/2006/relationships/footer" Target="footer.xml" Id="Rb2e2e4c3ea9942cb" /><Relationship Type="http://schemas.openxmlformats.org/officeDocument/2006/relationships/numbering" Target="numbering.xml" Id="R5cdd76977c8a46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2026-01-26T13:14:06.1112011Z</dcterms:created>
  <dcterms:modified xsi:type="dcterms:W3CDTF">2026-01-26T23:53:43.4759289Z</dcterms:modified>
  <dc:creator>Alessandro Silvestre</dc:creator>
  <lastModifiedBy>Alessandro Silvestre</lastModifiedBy>
</coreProperties>
</file>