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PCI Storage Encryption Comparison</w:t>
      </w:r>
    </w:p>
    <w:p>
      <w:pPr>
        <w:pStyle w:val="Heading2"/>
      </w:pPr>
      <w:r>
        <w:t>Table 1: Original Comparison (As Provided)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Control Area</w:t>
            </w:r>
          </w:p>
        </w:tc>
        <w:tc>
          <w:tcPr>
            <w:tcW w:type="dxa" w:w="1728"/>
          </w:tcPr>
          <w:p>
            <w:r>
              <w:t>Current State</w:t>
            </w:r>
          </w:p>
        </w:tc>
        <w:tc>
          <w:tcPr>
            <w:tcW w:type="dxa" w:w="1728"/>
          </w:tcPr>
          <w:p>
            <w:r>
              <w:t>NAS [Option -1]</w:t>
            </w:r>
          </w:p>
        </w:tc>
        <w:tc>
          <w:tcPr>
            <w:tcW w:type="dxa" w:w="1728"/>
          </w:tcPr>
          <w:p>
            <w:r>
              <w:t>Azure Files [Option-2]</w:t>
            </w:r>
          </w:p>
        </w:tc>
        <w:tc>
          <w:tcPr>
            <w:tcW w:type="dxa" w:w="1728"/>
          </w:tcPr>
          <w:p>
            <w:r>
              <w:t>Notes</w:t>
            </w:r>
          </w:p>
        </w:tc>
      </w:tr>
      <w:tr>
        <w:tc>
          <w:tcPr>
            <w:tcW w:type="dxa" w:w="1728"/>
          </w:tcPr>
          <w:p>
            <w:r>
              <w:t>Storage Level Encryption</w:t>
            </w:r>
          </w:p>
        </w:tc>
        <w:tc>
          <w:tcPr>
            <w:tcW w:type="dxa" w:w="1728"/>
          </w:tcPr>
          <w:p>
            <w:r>
              <w:t>Volume encryption</w:t>
            </w:r>
          </w:p>
        </w:tc>
        <w:tc>
          <w:tcPr>
            <w:tcW w:type="dxa" w:w="1728"/>
          </w:tcPr>
          <w:p>
            <w:r>
              <w:t>Volume encryption</w:t>
            </w:r>
          </w:p>
        </w:tc>
        <w:tc>
          <w:tcPr>
            <w:tcW w:type="dxa" w:w="1728"/>
          </w:tcPr>
          <w:p>
            <w:r>
              <w:t>Transparent SSE at the storage level</w:t>
            </w:r>
          </w:p>
        </w:tc>
        <w:tc>
          <w:tcPr>
            <w:tcW w:type="dxa" w:w="1728"/>
          </w:tcPr>
          <w:p>
            <w:r>
              <w:t>Identical. Decryption occurs at the storage layer. Plain text is exposed to the OS/application. SSE is the default encryption provided by Azure for any storage service. SSE is at the account level and is fully transparent to the OS and users with access to the share. It is not application encryption. SSE uses AES-256</w:t>
            </w:r>
          </w:p>
        </w:tc>
      </w:tr>
      <w:tr>
        <w:tc>
          <w:tcPr>
            <w:tcW w:type="dxa" w:w="1728"/>
          </w:tcPr>
          <w:p>
            <w:r>
              <w:t>NTFS ACL</w:t>
            </w:r>
          </w:p>
        </w:tc>
        <w:tc>
          <w:tcPr>
            <w:tcW w:type="dxa" w:w="1728"/>
          </w:tcPr>
          <w:p>
            <w:r>
              <w:t>Available</w:t>
            </w:r>
          </w:p>
        </w:tc>
        <w:tc>
          <w:tcPr>
            <w:tcW w:type="dxa" w:w="1728"/>
          </w:tcPr>
          <w:p>
            <w:r>
              <w:t>Available</w:t>
            </w:r>
          </w:p>
        </w:tc>
        <w:tc>
          <w:tcPr>
            <w:tcW w:type="dxa" w:w="1728"/>
          </w:tcPr>
          <w:p>
            <w:r>
              <w:t>Available</w:t>
            </w:r>
          </w:p>
        </w:tc>
        <w:tc>
          <w:tcPr>
            <w:tcW w:type="dxa" w:w="1728"/>
          </w:tcPr>
          <w:p>
            <w:r>
              <w:t>Standard Windows folder/file permissions apply to both.</w:t>
            </w:r>
          </w:p>
        </w:tc>
      </w:tr>
      <w:tr>
        <w:tc>
          <w:tcPr>
            <w:tcW w:type="dxa" w:w="1728"/>
          </w:tcPr>
          <w:p>
            <w:r>
              <w:t>Redaction</w:t>
            </w:r>
          </w:p>
        </w:tc>
        <w:tc>
          <w:tcPr>
            <w:tcW w:type="dxa" w:w="1728"/>
          </w:tcPr>
          <w:p>
            <w:r>
              <w:t>Not Available</w:t>
            </w:r>
          </w:p>
        </w:tc>
        <w:tc>
          <w:tcPr>
            <w:tcW w:type="dxa" w:w="1728"/>
          </w:tcPr>
          <w:p>
            <w:r>
              <w:t>Available</w:t>
            </w:r>
          </w:p>
        </w:tc>
        <w:tc>
          <w:tcPr>
            <w:tcW w:type="dxa" w:w="1728"/>
          </w:tcPr>
          <w:p>
            <w:r>
              <w:t>Available</w:t>
            </w:r>
          </w:p>
        </w:tc>
        <w:tc>
          <w:tcPr>
            <w:tcW w:type="dxa" w:w="1728"/>
          </w:tcPr>
          <w:p>
            <w:r>
              <w:t>This is the primary control. Redaction is the mechanism intended to bring the data out of PCI scope.</w:t>
            </w:r>
          </w:p>
        </w:tc>
      </w:tr>
      <w:tr>
        <w:tc>
          <w:tcPr>
            <w:tcW w:type="dxa" w:w="1728"/>
          </w:tcPr>
          <w:p>
            <w:r>
              <w:t>Redaction Process time</w:t>
            </w:r>
          </w:p>
        </w:tc>
        <w:tc>
          <w:tcPr>
            <w:tcW w:type="dxa" w:w="1728"/>
          </w:tcPr>
          <w:p>
            <w:r>
              <w:t>Not Applicable</w:t>
            </w:r>
          </w:p>
        </w:tc>
        <w:tc>
          <w:tcPr>
            <w:tcW w:type="dxa" w:w="1728"/>
          </w:tcPr>
          <w:p>
            <w:r>
              <w:t>With in few mins</w:t>
            </w:r>
          </w:p>
        </w:tc>
        <w:tc>
          <w:tcPr>
            <w:tcW w:type="dxa" w:w="1728"/>
          </w:tcPr>
          <w:p>
            <w:r>
              <w:t>With in few mins</w:t>
            </w:r>
          </w:p>
        </w:tc>
        <w:tc>
          <w:tcPr>
            <w:tcW w:type="dxa" w:w="1728"/>
          </w:tcPr>
          <w:p>
            <w:r>
              <w:t>In the Happy path scenario, the redaction would happen with in mins.</w:t>
            </w:r>
          </w:p>
        </w:tc>
      </w:tr>
      <w:tr>
        <w:tc>
          <w:tcPr>
            <w:tcW w:type="dxa" w:w="1728"/>
          </w:tcPr>
          <w:p>
            <w:r>
              <w:t>Folder Level encryption</w:t>
            </w:r>
          </w:p>
        </w:tc>
        <w:tc>
          <w:tcPr>
            <w:tcW w:type="dxa" w:w="1728"/>
          </w:tcPr>
          <w:p>
            <w:r>
              <w:t>Not Available</w:t>
            </w:r>
          </w:p>
        </w:tc>
        <w:tc>
          <w:tcPr>
            <w:tcW w:type="dxa" w:w="1728"/>
          </w:tcPr>
          <w:p>
            <w:r>
              <w:t>Not Available</w:t>
            </w:r>
          </w:p>
        </w:tc>
        <w:tc>
          <w:tcPr>
            <w:tcW w:type="dxa" w:w="1728"/>
          </w:tcPr>
          <w:p>
            <w:r>
              <w:t>Not Available</w:t>
            </w:r>
          </w:p>
        </w:tc>
        <w:tc>
          <w:tcPr>
            <w:tcW w:type="dxa" w:w="1728"/>
          </w:tcPr>
          <w:p>
            <w:r/>
          </w:p>
        </w:tc>
      </w:tr>
      <w:tr>
        <w:tc>
          <w:tcPr>
            <w:tcW w:type="dxa" w:w="1728"/>
          </w:tcPr>
          <w:p>
            <w:r>
              <w:t>File Level encryption</w:t>
            </w:r>
          </w:p>
        </w:tc>
        <w:tc>
          <w:tcPr>
            <w:tcW w:type="dxa" w:w="1728"/>
          </w:tcPr>
          <w:p>
            <w:r>
              <w:t>Not Available</w:t>
            </w:r>
          </w:p>
        </w:tc>
        <w:tc>
          <w:tcPr>
            <w:tcW w:type="dxa" w:w="1728"/>
          </w:tcPr>
          <w:p>
            <w:r>
              <w:t>Not Available</w:t>
            </w:r>
          </w:p>
        </w:tc>
        <w:tc>
          <w:tcPr>
            <w:tcW w:type="dxa" w:w="1728"/>
          </w:tcPr>
          <w:p>
            <w:r>
              <w:t>Not Available</w:t>
            </w:r>
          </w:p>
        </w:tc>
        <w:tc>
          <w:tcPr>
            <w:tcW w:type="dxa" w:w="1728"/>
          </w:tcPr>
          <w:p>
            <w:r>
              <w:t>Neither provides the "unreadable" state required by 3.5.1.2 for fixed media.</w:t>
            </w:r>
          </w:p>
        </w:tc>
      </w:tr>
      <w:tr>
        <w:tc>
          <w:tcPr>
            <w:tcW w:type="dxa" w:w="1728"/>
          </w:tcPr>
          <w:p>
            <w:r>
              <w:t>Application-Level Encryption</w:t>
            </w:r>
          </w:p>
        </w:tc>
        <w:tc>
          <w:tcPr>
            <w:tcW w:type="dxa" w:w="1728"/>
          </w:tcPr>
          <w:p>
            <w:r>
              <w:t>Not Available</w:t>
            </w:r>
          </w:p>
        </w:tc>
        <w:tc>
          <w:tcPr>
            <w:tcW w:type="dxa" w:w="1728"/>
          </w:tcPr>
          <w:p>
            <w:r>
              <w:t>Not Available.</w:t>
            </w:r>
          </w:p>
        </w:tc>
        <w:tc>
          <w:tcPr>
            <w:tcW w:type="dxa" w:w="1728"/>
          </w:tcPr>
          <w:p>
            <w:r>
              <w:t>Not Available</w:t>
            </w:r>
          </w:p>
        </w:tc>
        <w:tc>
          <w:tcPr>
            <w:tcW w:type="dxa" w:w="1728"/>
          </w:tcPr>
          <w:p>
            <w:r/>
          </w:p>
        </w:tc>
      </w:tr>
      <w:tr>
        <w:tc>
          <w:tcPr>
            <w:tcW w:type="dxa" w:w="1728"/>
          </w:tcPr>
          <w:p>
            <w:r>
              <w:t>Granular RBAC</w:t>
            </w:r>
          </w:p>
        </w:tc>
        <w:tc>
          <w:tcPr>
            <w:tcW w:type="dxa" w:w="1728"/>
          </w:tcPr>
          <w:p>
            <w:r>
              <w:t>Not Available</w:t>
            </w:r>
          </w:p>
        </w:tc>
        <w:tc>
          <w:tcPr>
            <w:tcW w:type="dxa" w:w="1728"/>
          </w:tcPr>
          <w:p>
            <w:r>
              <w:t>Not Available.</w:t>
            </w:r>
          </w:p>
        </w:tc>
        <w:tc>
          <w:tcPr>
            <w:tcW w:type="dxa" w:w="1728"/>
          </w:tcPr>
          <w:p>
            <w:r>
              <w:t>Not Available</w:t>
            </w:r>
          </w:p>
        </w:tc>
        <w:tc>
          <w:tcPr>
            <w:tcW w:type="dxa" w:w="1728"/>
          </w:tcPr>
          <w:p>
            <w:r>
              <w:t>RBAC for Azure Files is only at the Share level. RBAC is not available at the File Level. Authorized users, process having access to the Share/Folder would be able to all the images.</w:t>
            </w:r>
          </w:p>
        </w:tc>
      </w:tr>
      <w:tr>
        <w:tc>
          <w:tcPr>
            <w:tcW w:type="dxa" w:w="1728"/>
          </w:tcPr>
          <w:p>
            <w:r>
              <w:t>Compliance</w:t>
            </w:r>
          </w:p>
        </w:tc>
        <w:tc>
          <w:tcPr>
            <w:tcW w:type="dxa" w:w="1728"/>
          </w:tcPr>
          <w:p>
            <w:r>
              <w:t>No</w:t>
            </w:r>
          </w:p>
        </w:tc>
        <w:tc>
          <w:tcPr>
            <w:tcW w:type="dxa" w:w="1728"/>
          </w:tcPr>
          <w:p>
            <w:r>
              <w:t>??</w:t>
            </w:r>
          </w:p>
        </w:tc>
        <w:tc>
          <w:tcPr>
            <w:tcW w:type="dxa" w:w="1728"/>
          </w:tcPr>
          <w:p>
            <w:r>
              <w:t>??</w:t>
            </w:r>
          </w:p>
        </w:tc>
        <w:tc>
          <w:tcPr>
            <w:tcW w:type="dxa" w:w="1728"/>
          </w:tcPr>
          <w:p>
            <w:r/>
          </w:p>
        </w:tc>
      </w:tr>
    </w:tbl>
    <w:p>
      <w:r>
        <w:br w:type="page"/>
      </w:r>
    </w:p>
    <w:p>
      <w:pPr>
        <w:pStyle w:val="Heading2"/>
      </w:pPr>
      <w:r>
        <w:t>Table 2: Refined Comparison (Compliance-Focused Version)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Control Area</w:t>
            </w:r>
          </w:p>
        </w:tc>
        <w:tc>
          <w:tcPr>
            <w:tcW w:type="dxa" w:w="1728"/>
          </w:tcPr>
          <w:p>
            <w:r>
              <w:t>Current State</w:t>
            </w:r>
          </w:p>
        </w:tc>
        <w:tc>
          <w:tcPr>
            <w:tcW w:type="dxa" w:w="1728"/>
          </w:tcPr>
          <w:p>
            <w:r>
              <w:t>NAS (Option-1)</w:t>
            </w:r>
          </w:p>
        </w:tc>
        <w:tc>
          <w:tcPr>
            <w:tcW w:type="dxa" w:w="1728"/>
          </w:tcPr>
          <w:p>
            <w:r>
              <w:t>Azure Files (Option-2)</w:t>
            </w:r>
          </w:p>
        </w:tc>
        <w:tc>
          <w:tcPr>
            <w:tcW w:type="dxa" w:w="1728"/>
          </w:tcPr>
          <w:p>
            <w:r>
              <w:t>Compliance Notes</w:t>
            </w:r>
          </w:p>
        </w:tc>
      </w:tr>
      <w:tr>
        <w:tc>
          <w:tcPr>
            <w:tcW w:type="dxa" w:w="1728"/>
          </w:tcPr>
          <w:p>
            <w:r>
              <w:t>Storage-Level Encryption</w:t>
            </w:r>
          </w:p>
        </w:tc>
        <w:tc>
          <w:tcPr>
            <w:tcW w:type="dxa" w:w="1728"/>
          </w:tcPr>
          <w:p>
            <w:r>
              <w:t>Volume encryption</w:t>
            </w:r>
          </w:p>
        </w:tc>
        <w:tc>
          <w:tcPr>
            <w:tcW w:type="dxa" w:w="1728"/>
          </w:tcPr>
          <w:p>
            <w:r>
              <w:t>Volume encryption</w:t>
            </w:r>
          </w:p>
        </w:tc>
        <w:tc>
          <w:tcPr>
            <w:tcW w:type="dxa" w:w="1728"/>
          </w:tcPr>
          <w:p>
            <w:r>
              <w:t>Server-Side Encryption (SSE) at storage service layer</w:t>
            </w:r>
          </w:p>
        </w:tc>
        <w:tc>
          <w:tcPr>
            <w:tcW w:type="dxa" w:w="1728"/>
          </w:tcPr>
          <w:p>
            <w:r>
              <w:t>All three are transparent storage-layer encryption models. Decryption occurs automatically upon authorized access. Data is presented in plaintext to the OS/application. From a PCI Requirement 3 perspective, outcome is equivalent.</w:t>
            </w:r>
          </w:p>
        </w:tc>
      </w:tr>
      <w:tr>
        <w:tc>
          <w:tcPr>
            <w:tcW w:type="dxa" w:w="1728"/>
          </w:tcPr>
          <w:p>
            <w:r>
              <w:t>Encryption Type</w:t>
            </w:r>
          </w:p>
        </w:tc>
        <w:tc>
          <w:tcPr>
            <w:tcW w:type="dxa" w:w="1728"/>
          </w:tcPr>
          <w:p>
            <w:r>
              <w:t>Disk/Volume Encryption</w:t>
            </w:r>
          </w:p>
        </w:tc>
        <w:tc>
          <w:tcPr>
            <w:tcW w:type="dxa" w:w="1728"/>
          </w:tcPr>
          <w:p>
            <w:r>
              <w:t>Disk/Volume Encryption</w:t>
            </w:r>
          </w:p>
        </w:tc>
        <w:tc>
          <w:tcPr>
            <w:tcW w:type="dxa" w:w="1728"/>
          </w:tcPr>
          <w:p>
            <w:r>
              <w:t>SSE (AES-256)</w:t>
            </w:r>
          </w:p>
        </w:tc>
        <w:tc>
          <w:tcPr>
            <w:tcW w:type="dxa" w:w="1728"/>
          </w:tcPr>
          <w:p>
            <w:r>
              <w:t>Azure SSE is account-level encryption managed by the storage service. It is not application-level encryption.</w:t>
            </w:r>
          </w:p>
        </w:tc>
      </w:tr>
      <w:tr>
        <w:tc>
          <w:tcPr>
            <w:tcW w:type="dxa" w:w="1728"/>
          </w:tcPr>
          <w:p>
            <w:r>
              <w:t>Exposure to OS/Application</w:t>
            </w:r>
          </w:p>
        </w:tc>
        <w:tc>
          <w:tcPr>
            <w:tcW w:type="dxa" w:w="1728"/>
          </w:tcPr>
          <w:p>
            <w:r>
              <w:t>Plaintext after mount</w:t>
            </w:r>
          </w:p>
        </w:tc>
        <w:tc>
          <w:tcPr>
            <w:tcW w:type="dxa" w:w="1728"/>
          </w:tcPr>
          <w:p>
            <w:r>
              <w:t>Plaintext after mount</w:t>
            </w:r>
          </w:p>
        </w:tc>
        <w:tc>
          <w:tcPr>
            <w:tcW w:type="dxa" w:w="1728"/>
          </w:tcPr>
          <w:p>
            <w:r>
              <w:t>Plaintext after mount</w:t>
            </w:r>
          </w:p>
        </w:tc>
        <w:tc>
          <w:tcPr>
            <w:tcW w:type="dxa" w:w="1728"/>
          </w:tcPr>
          <w:p>
            <w:r>
              <w:t>In all cases, authorized processes receive decrypted data. Storage-layer encryption does not independently render PAN unreadable to authenticated users.</w:t>
            </w:r>
          </w:p>
        </w:tc>
      </w:tr>
      <w:tr>
        <w:tc>
          <w:tcPr>
            <w:tcW w:type="dxa" w:w="1728"/>
          </w:tcPr>
          <w:p>
            <w:r>
              <w:t>NTFS / File System ACLs</w:t>
            </w:r>
          </w:p>
        </w:tc>
        <w:tc>
          <w:tcPr>
            <w:tcW w:type="dxa" w:w="1728"/>
          </w:tcPr>
          <w:p>
            <w:r>
              <w:t>Available</w:t>
            </w:r>
          </w:p>
        </w:tc>
        <w:tc>
          <w:tcPr>
            <w:tcW w:type="dxa" w:w="1728"/>
          </w:tcPr>
          <w:p>
            <w:r>
              <w:t>Available</w:t>
            </w:r>
          </w:p>
        </w:tc>
        <w:tc>
          <w:tcPr>
            <w:tcW w:type="dxa" w:w="1728"/>
          </w:tcPr>
          <w:p>
            <w:r>
              <w:t>Available (via AD integration)</w:t>
            </w:r>
          </w:p>
        </w:tc>
        <w:tc>
          <w:tcPr>
            <w:tcW w:type="dxa" w:w="1728"/>
          </w:tcPr>
          <w:p>
            <w:r>
              <w:t>File/folder permissions apply in both NAS and Azure Files. ACLs are access controls, not cryptographic protection.</w:t>
            </w:r>
          </w:p>
        </w:tc>
      </w:tr>
      <w:tr>
        <w:tc>
          <w:tcPr>
            <w:tcW w:type="dxa" w:w="1728"/>
          </w:tcPr>
          <w:p>
            <w:r>
              <w:t>Redaction Capability</w:t>
            </w:r>
          </w:p>
        </w:tc>
        <w:tc>
          <w:tcPr>
            <w:tcW w:type="dxa" w:w="1728"/>
          </w:tcPr>
          <w:p>
            <w:r>
              <w:t>Not available</w:t>
            </w:r>
          </w:p>
        </w:tc>
        <w:tc>
          <w:tcPr>
            <w:tcW w:type="dxa" w:w="1728"/>
          </w:tcPr>
          <w:p>
            <w:r>
              <w:t>Available</w:t>
            </w:r>
          </w:p>
        </w:tc>
        <w:tc>
          <w:tcPr>
            <w:tcW w:type="dxa" w:w="1728"/>
          </w:tcPr>
          <w:p>
            <w:r>
              <w:t>Available</w:t>
            </w:r>
          </w:p>
        </w:tc>
        <w:tc>
          <w:tcPr>
            <w:tcW w:type="dxa" w:w="1728"/>
          </w:tcPr>
          <w:p>
            <w:r>
              <w:t>Redaction is the primary control intended to remove PCI-sensitive data and bring content out of scope.</w:t>
            </w:r>
          </w:p>
        </w:tc>
      </w:tr>
      <w:tr>
        <w:tc>
          <w:tcPr>
            <w:tcW w:type="dxa" w:w="1728"/>
          </w:tcPr>
          <w:p>
            <w:r>
              <w:t>Redaction Processing Time</w:t>
            </w:r>
          </w:p>
        </w:tc>
        <w:tc>
          <w:tcPr>
            <w:tcW w:type="dxa" w:w="1728"/>
          </w:tcPr>
          <w:p>
            <w:r>
              <w:t>Not applicable</w:t>
            </w:r>
          </w:p>
        </w:tc>
        <w:tc>
          <w:tcPr>
            <w:tcW w:type="dxa" w:w="1728"/>
          </w:tcPr>
          <w:p>
            <w:r>
              <w:t>Within minutes</w:t>
            </w:r>
          </w:p>
        </w:tc>
        <w:tc>
          <w:tcPr>
            <w:tcW w:type="dxa" w:w="1728"/>
          </w:tcPr>
          <w:p>
            <w:r>
              <w:t>Within minutes</w:t>
            </w:r>
          </w:p>
        </w:tc>
        <w:tc>
          <w:tcPr>
            <w:tcW w:type="dxa" w:w="1728"/>
          </w:tcPr>
          <w:p>
            <w:r>
              <w:t>Temporary presence of readable data prior to redaction may still fall within PCI scope and requires QSA validation.</w:t>
            </w:r>
          </w:p>
        </w:tc>
      </w:tr>
      <w:tr>
        <w:tc>
          <w:tcPr>
            <w:tcW w:type="dxa" w:w="1728"/>
          </w:tcPr>
          <w:p>
            <w:r>
              <w:t>Folder-Level Encryption</w:t>
            </w:r>
          </w:p>
        </w:tc>
        <w:tc>
          <w:tcPr>
            <w:tcW w:type="dxa" w:w="1728"/>
          </w:tcPr>
          <w:p>
            <w:r>
              <w:t>Not implemented</w:t>
            </w:r>
          </w:p>
        </w:tc>
        <w:tc>
          <w:tcPr>
            <w:tcW w:type="dxa" w:w="1728"/>
          </w:tcPr>
          <w:p>
            <w:r>
              <w:t>Not implemented</w:t>
            </w:r>
          </w:p>
        </w:tc>
        <w:tc>
          <w:tcPr>
            <w:tcW w:type="dxa" w:w="1728"/>
          </w:tcPr>
          <w:p>
            <w:r>
              <w:t>Not implemented</w:t>
            </w:r>
          </w:p>
        </w:tc>
        <w:tc>
          <w:tcPr>
            <w:tcW w:type="dxa" w:w="1728"/>
          </w:tcPr>
          <w:p>
            <w:r>
              <w:t>No native folder-level cryptographic control beyond storage-layer encryption.</w:t>
            </w:r>
          </w:p>
        </w:tc>
      </w:tr>
      <w:tr>
        <w:tc>
          <w:tcPr>
            <w:tcW w:type="dxa" w:w="1728"/>
          </w:tcPr>
          <w:p>
            <w:r>
              <w:t>File-Level Encryption</w:t>
            </w:r>
          </w:p>
        </w:tc>
        <w:tc>
          <w:tcPr>
            <w:tcW w:type="dxa" w:w="1728"/>
          </w:tcPr>
          <w:p>
            <w:r>
              <w:t>Not implemented</w:t>
            </w:r>
          </w:p>
        </w:tc>
        <w:tc>
          <w:tcPr>
            <w:tcW w:type="dxa" w:w="1728"/>
          </w:tcPr>
          <w:p>
            <w:r>
              <w:t>Not implemented</w:t>
            </w:r>
          </w:p>
        </w:tc>
        <w:tc>
          <w:tcPr>
            <w:tcW w:type="dxa" w:w="1728"/>
          </w:tcPr>
          <w:p>
            <w:r>
              <w:t>Not implemented</w:t>
            </w:r>
          </w:p>
        </w:tc>
        <w:tc>
          <w:tcPr>
            <w:tcW w:type="dxa" w:w="1728"/>
          </w:tcPr>
          <w:p>
            <w:r>
              <w:t>Neither solution provides file-level cryptographic rendering of data unreadable independent of storage-layer encryption.</w:t>
            </w:r>
          </w:p>
        </w:tc>
      </w:tr>
      <w:tr>
        <w:tc>
          <w:tcPr>
            <w:tcW w:type="dxa" w:w="1728"/>
          </w:tcPr>
          <w:p>
            <w:r>
              <w:t>Application-Level Encryption</w:t>
            </w:r>
          </w:p>
        </w:tc>
        <w:tc>
          <w:tcPr>
            <w:tcW w:type="dxa" w:w="1728"/>
          </w:tcPr>
          <w:p>
            <w:r>
              <w:t>Not implemented</w:t>
            </w:r>
          </w:p>
        </w:tc>
        <w:tc>
          <w:tcPr>
            <w:tcW w:type="dxa" w:w="1728"/>
          </w:tcPr>
          <w:p>
            <w:r>
              <w:t>Not implemented</w:t>
            </w:r>
          </w:p>
        </w:tc>
        <w:tc>
          <w:tcPr>
            <w:tcW w:type="dxa" w:w="1728"/>
          </w:tcPr>
          <w:p>
            <w:r>
              <w:t>Not implemented</w:t>
            </w:r>
          </w:p>
        </w:tc>
        <w:tc>
          <w:tcPr>
            <w:tcW w:type="dxa" w:w="1728"/>
          </w:tcPr>
          <w:p>
            <w:r>
              <w:t>Required if storage-layer encryption is deemed insufficient under PCI Requirement 3.</w:t>
            </w:r>
          </w:p>
        </w:tc>
      </w:tr>
      <w:tr>
        <w:tc>
          <w:tcPr>
            <w:tcW w:type="dxa" w:w="1728"/>
          </w:tcPr>
          <w:p>
            <w:r>
              <w:t>Granular RBAC</w:t>
            </w:r>
          </w:p>
        </w:tc>
        <w:tc>
          <w:tcPr>
            <w:tcW w:type="dxa" w:w="1728"/>
          </w:tcPr>
          <w:p>
            <w:r>
              <w:t>Limited</w:t>
            </w:r>
          </w:p>
        </w:tc>
        <w:tc>
          <w:tcPr>
            <w:tcW w:type="dxa" w:w="1728"/>
          </w:tcPr>
          <w:p>
            <w:r>
              <w:t>OS-level permissions</w:t>
            </w:r>
          </w:p>
        </w:tc>
        <w:tc>
          <w:tcPr>
            <w:tcW w:type="dxa" w:w="1728"/>
          </w:tcPr>
          <w:p>
            <w:r>
              <w:t>Share-level RBAC + NTFS ACLs</w:t>
            </w:r>
          </w:p>
        </w:tc>
        <w:tc>
          <w:tcPr>
            <w:tcW w:type="dxa" w:w="1728"/>
          </w:tcPr>
          <w:p>
            <w:r>
              <w:t>Authorization mechanisms do not equal cryptographic unreadability.</w:t>
            </w:r>
          </w:p>
        </w:tc>
      </w:tr>
      <w:tr>
        <w:tc>
          <w:tcPr>
            <w:tcW w:type="dxa" w:w="1728"/>
          </w:tcPr>
          <w:p>
            <w:r>
              <w:t>PCI Requirement 3 Alignment (Stored PAN Unreadable)</w:t>
            </w:r>
          </w:p>
        </w:tc>
        <w:tc>
          <w:tcPr>
            <w:tcW w:type="dxa" w:w="1728"/>
          </w:tcPr>
          <w:p>
            <w:r>
              <w:t>No</w:t>
            </w:r>
          </w:p>
        </w:tc>
        <w:tc>
          <w:tcPr>
            <w:tcW w:type="dxa" w:w="1728"/>
          </w:tcPr>
          <w:p>
            <w:r>
              <w:t>Requires QSA Validation</w:t>
            </w:r>
          </w:p>
        </w:tc>
        <w:tc>
          <w:tcPr>
            <w:tcW w:type="dxa" w:w="1728"/>
          </w:tcPr>
          <w:p>
            <w:r>
              <w:t>Requires QSA Validation</w:t>
            </w:r>
          </w:p>
        </w:tc>
        <w:tc>
          <w:tcPr>
            <w:tcW w:type="dxa" w:w="1728"/>
          </w:tcPr>
          <w:p>
            <w:r>
              <w:t>Transparent storage encryption alone typically does not satisfy the requirement to render PAN unreadable to authenticated entities.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