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04BE" w14:textId="77777777" w:rsidR="0021501F" w:rsidRDefault="0021501F">
      <w:pPr>
        <w:rPr>
          <w:b/>
          <w:bCs/>
        </w:rPr>
      </w:pPr>
    </w:p>
    <w:p w14:paraId="1E34EECC" w14:textId="02BB1604" w:rsidR="00B51998" w:rsidRPr="00123681" w:rsidRDefault="00B51998">
      <w:r>
        <w:rPr>
          <w:b/>
          <w:bCs/>
        </w:rPr>
        <w:t xml:space="preserve">Jai </w:t>
      </w:r>
      <w:proofErr w:type="gramStart"/>
      <w:r>
        <w:rPr>
          <w:b/>
          <w:bCs/>
        </w:rPr>
        <w:t>Saibaba..</w:t>
      </w:r>
      <w:proofErr w:type="gramEnd"/>
    </w:p>
    <w:p w14:paraId="011853D2" w14:textId="77777777" w:rsidR="00123681" w:rsidRPr="00123681" w:rsidRDefault="00123681" w:rsidP="00123681">
      <w:r w:rsidRPr="00123681">
        <w:t>Following our recent discussion, the attached comparison has been prepared to assess both storage options strictly against PCI DSS compliance outcomes, independent of platform preference.</w:t>
      </w:r>
    </w:p>
    <w:p w14:paraId="1D5441FC" w14:textId="77777777" w:rsidR="00123681" w:rsidRPr="00123681" w:rsidRDefault="00123681" w:rsidP="00123681">
      <w:r w:rsidRPr="00123681">
        <w:t xml:space="preserve">While Azure Files Server-Side Encryption (SSE) and NAS volume encryption are implemented at different technical layers, both operate as transparent storage-layer encryption models. In both cases, data is automatically decrypted upon </w:t>
      </w:r>
      <w:proofErr w:type="spellStart"/>
      <w:r w:rsidRPr="00123681">
        <w:t>authorised</w:t>
      </w:r>
      <w:proofErr w:type="spellEnd"/>
      <w:r w:rsidRPr="00123681">
        <w:t xml:space="preserve"> access and presented in plaintext to the operating system or application. As a result, transparent storage-layer encryption — whether NAS disk-level or Azure SSE — protects against physical media compromise but does not independently render cardholder data unreadable to authenticated users or processes with logical access.</w:t>
      </w:r>
    </w:p>
    <w:p w14:paraId="447417D8" w14:textId="77777777" w:rsidR="00123681" w:rsidRPr="00123681" w:rsidRDefault="00123681" w:rsidP="00123681">
      <w:r w:rsidRPr="00123681">
        <w:t>The attached comparison table reflects this parity. It also identifies Redaction as the primary control currently intended to bring data out of PCI scope, and highlights that neither option provides file-level or application-level encryption natively.</w:t>
      </w:r>
    </w:p>
    <w:p w14:paraId="34C3A0C2" w14:textId="77777777" w:rsidR="00123681" w:rsidRPr="00123681" w:rsidRDefault="00123681" w:rsidP="00123681">
      <w:r w:rsidRPr="00123681">
        <w:t xml:space="preserve">To </w:t>
      </w:r>
      <w:proofErr w:type="spellStart"/>
      <w:r w:rsidRPr="00123681">
        <w:t>finalise</w:t>
      </w:r>
      <w:proofErr w:type="spellEnd"/>
      <w:r w:rsidRPr="00123681">
        <w:t xml:space="preserve"> our architectural direction, we would welcome the QSA's guidance on the following:</w:t>
      </w:r>
    </w:p>
    <w:p w14:paraId="4FFB0832" w14:textId="77777777" w:rsidR="00123681" w:rsidRPr="00123681" w:rsidRDefault="00123681" w:rsidP="00123681"/>
    <w:p w14:paraId="6C763835" w14:textId="77777777" w:rsidR="00123681" w:rsidRPr="00123681" w:rsidRDefault="00123681" w:rsidP="00123681">
      <w:r w:rsidRPr="00123681">
        <w:t>Does the current Redaction Process — which occurs within minutes of ingest — satisfy the requirement to render data unreadable, or is Application-Level Encryption required regardless of the redaction window?</w:t>
      </w:r>
    </w:p>
    <w:p w14:paraId="7D82E5D2" w14:textId="0E57457D" w:rsidR="00B51998" w:rsidRPr="00123681" w:rsidRDefault="00123681" w:rsidP="00123681">
      <w:r w:rsidRPr="00123681">
        <w:t>If the redaction window is not acceptable and Application-Level Encryption is mandatory: would encrypting the file at the application layer in near real-time (within milliseconds to seconds of receipt) satisfy this requirement?</w:t>
      </w:r>
    </w:p>
    <w:p w14:paraId="54CAFD48" w14:textId="77777777" w:rsidR="00B51998" w:rsidRDefault="00B51998">
      <w:pPr>
        <w:rPr>
          <w:b/>
          <w:bCs/>
        </w:rPr>
      </w:pPr>
    </w:p>
    <w:p w14:paraId="2A7229CC" w14:textId="77777777" w:rsidR="00B51998" w:rsidRDefault="00B51998">
      <w:pPr>
        <w:rPr>
          <w:b/>
          <w:bCs/>
        </w:rPr>
      </w:pPr>
    </w:p>
    <w:p w14:paraId="3B027E67" w14:textId="2C51ED7A" w:rsidR="00B51998" w:rsidRDefault="00B51998" w:rsidP="00B51998">
      <w:pPr>
        <w:rPr>
          <w:b/>
          <w:bCs/>
        </w:rPr>
      </w:pPr>
      <w:r>
        <w:rPr>
          <w:b/>
          <w:bCs/>
          <w:u w:val="single"/>
        </w:rPr>
        <w:t xml:space="preserve">My understanding of the </w:t>
      </w:r>
      <w:r w:rsidRPr="00FA60FC">
        <w:rPr>
          <w:b/>
          <w:bCs/>
          <w:u w:val="single"/>
        </w:rPr>
        <w:t xml:space="preserve">PCI Compliance </w:t>
      </w:r>
      <w:r w:rsidRPr="00B51998">
        <w:rPr>
          <w:b/>
          <w:bCs/>
          <w:u w:val="single"/>
        </w:rPr>
        <w:t>Requirement</w:t>
      </w:r>
      <w:r w:rsidRPr="00B51998">
        <w:rPr>
          <w:b/>
          <w:bCs/>
          <w:u w:val="single"/>
        </w:rPr>
        <w:t xml:space="preserve"> </w:t>
      </w:r>
      <w:proofErr w:type="gramStart"/>
      <w:r w:rsidRPr="00B51998">
        <w:rPr>
          <w:b/>
          <w:bCs/>
          <w:u w:val="single"/>
        </w:rPr>
        <w:t>3.5.1.2</w:t>
      </w:r>
      <w:r w:rsidRPr="00FA60FC">
        <w:rPr>
          <w:b/>
          <w:bCs/>
        </w:rPr>
        <w:t xml:space="preserve"> </w:t>
      </w:r>
      <w:r w:rsidRPr="00FA60FC">
        <w:rPr>
          <w:b/>
          <w:bCs/>
          <w:u w:val="single"/>
        </w:rPr>
        <w:t>:</w:t>
      </w:r>
      <w:proofErr w:type="gramEnd"/>
      <w:r>
        <w:br/>
      </w:r>
      <w:r w:rsidRPr="00FA60FC">
        <w:rPr>
          <w:b/>
          <w:bCs/>
        </w:rPr>
        <w:t>Requirement 3.5.1.2 (PCI DSS v4.0):</w:t>
      </w:r>
      <w:r w:rsidRPr="00FA60FC">
        <w:t xml:space="preserve"> States that disk-level or partition-level encryption is only acceptable for </w:t>
      </w:r>
      <w:r w:rsidRPr="00FA60FC">
        <w:rPr>
          <w:b/>
          <w:bCs/>
        </w:rPr>
        <w:t xml:space="preserve">removable </w:t>
      </w:r>
      <w:r w:rsidRPr="00FA60FC">
        <w:rPr>
          <w:b/>
          <w:bCs/>
        </w:rPr>
        <w:lastRenderedPageBreak/>
        <w:t>media</w:t>
      </w:r>
      <w:r w:rsidRPr="00FA60FC">
        <w:t xml:space="preserve">. For non-removable media (like the cloud infrastructure behind Azure Files), the Primary Account Number (PAN) must be rendered unreadable using </w:t>
      </w:r>
      <w:r w:rsidRPr="00FA60FC">
        <w:rPr>
          <w:b/>
          <w:bCs/>
        </w:rPr>
        <w:t>file-level, column-level, or field-level encryption</w:t>
      </w:r>
    </w:p>
    <w:p w14:paraId="2348CD8E" w14:textId="1A7CF97C" w:rsidR="00B51998" w:rsidRDefault="00155755">
      <w:pPr>
        <w:rPr>
          <w:b/>
          <w:bCs/>
        </w:rPr>
      </w:pPr>
      <w:r w:rsidRPr="00155755">
        <w:rPr>
          <w:b/>
          <w:bCs/>
        </w:rPr>
        <w:t>Option -1</w:t>
      </w:r>
      <w:r w:rsidRPr="00155755">
        <w:t>: This is the solution option using NAS with Redaction</w:t>
      </w:r>
      <w:r>
        <w:rPr>
          <w:b/>
          <w:bCs/>
        </w:rPr>
        <w:t xml:space="preserve"> </w:t>
      </w:r>
    </w:p>
    <w:p w14:paraId="3779E9FA" w14:textId="77D44BCF" w:rsidR="00155755" w:rsidRDefault="00155755" w:rsidP="00155755">
      <w:pPr>
        <w:rPr>
          <w:b/>
          <w:bCs/>
        </w:rPr>
      </w:pPr>
      <w:r w:rsidRPr="00155755">
        <w:rPr>
          <w:b/>
          <w:bCs/>
        </w:rPr>
        <w:t>Option -</w:t>
      </w:r>
      <w:r>
        <w:rPr>
          <w:b/>
          <w:bCs/>
        </w:rPr>
        <w:t>2</w:t>
      </w:r>
      <w:r w:rsidRPr="00155755">
        <w:t xml:space="preserve">: This is the solution option using </w:t>
      </w:r>
      <w:r>
        <w:t>Azure Files</w:t>
      </w:r>
      <w:r w:rsidRPr="00155755">
        <w:t xml:space="preserve"> with Redaction</w:t>
      </w:r>
      <w:r>
        <w:rPr>
          <w:b/>
          <w:bCs/>
        </w:rPr>
        <w:t xml:space="preserve"> </w:t>
      </w:r>
    </w:p>
    <w:p w14:paraId="726A409B" w14:textId="77777777" w:rsidR="00155755" w:rsidRPr="00155755" w:rsidRDefault="00155755">
      <w:pPr>
        <w:rPr>
          <w:b/>
          <w:bCs/>
        </w:rPr>
      </w:pPr>
    </w:p>
    <w:p w14:paraId="78DB0B17" w14:textId="7CF78A89" w:rsidR="00B51998" w:rsidRDefault="00155755">
      <w:r>
        <w:t xml:space="preserve">Based on the above, from the </w:t>
      </w:r>
      <w:r w:rsidRPr="00155755">
        <w:t xml:space="preserve">compliance stand point Option-1 and Option-2 provides same level of compliance experience. </w:t>
      </w:r>
    </w:p>
    <w:p w14:paraId="5F8234AC" w14:textId="6C6F8CA0" w:rsidR="00155755" w:rsidRPr="00155755" w:rsidRDefault="00016434">
      <w:r>
        <w:t xml:space="preserve">Please let us know Option-1/Option-2 would suffice the compliance requirement. Or </w:t>
      </w:r>
      <w:proofErr w:type="gramStart"/>
      <w:r>
        <w:t>application level</w:t>
      </w:r>
      <w:proofErr w:type="gramEnd"/>
      <w:r>
        <w:t xml:space="preserve"> encryption is a requirement. </w:t>
      </w:r>
    </w:p>
    <w:tbl>
      <w:tblPr>
        <w:tblStyle w:val="GridTable5Dark-Accent1"/>
        <w:tblpPr w:leftFromText="180" w:rightFromText="180" w:horzAnchor="margin" w:tblpXSpec="center" w:tblpY="2220"/>
        <w:tblW w:w="15192" w:type="dxa"/>
        <w:tblLook w:val="04A0" w:firstRow="1" w:lastRow="0" w:firstColumn="1" w:lastColumn="0" w:noHBand="0" w:noVBand="1"/>
      </w:tblPr>
      <w:tblGrid>
        <w:gridCol w:w="1532"/>
        <w:gridCol w:w="1627"/>
        <w:gridCol w:w="2552"/>
        <w:gridCol w:w="2917"/>
        <w:gridCol w:w="6564"/>
      </w:tblGrid>
      <w:tr w:rsidR="0021501F" w14:paraId="6886837A" w14:textId="77777777" w:rsidTr="00694BBE">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532" w:type="dxa"/>
          </w:tcPr>
          <w:p w14:paraId="10FFE890" w14:textId="77777777" w:rsidR="0021501F" w:rsidRDefault="0021501F" w:rsidP="00694BBE"/>
        </w:tc>
        <w:tc>
          <w:tcPr>
            <w:tcW w:w="1627" w:type="dxa"/>
          </w:tcPr>
          <w:p w14:paraId="44899615" w14:textId="77777777" w:rsidR="0021501F" w:rsidRDefault="0021501F" w:rsidP="00694BBE">
            <w:pPr>
              <w:jc w:val="both"/>
              <w:cnfStyle w:val="100000000000" w:firstRow="1" w:lastRow="0" w:firstColumn="0" w:lastColumn="0" w:oddVBand="0" w:evenVBand="0" w:oddHBand="0" w:evenHBand="0" w:firstRowFirstColumn="0" w:firstRowLastColumn="0" w:lastRowFirstColumn="0" w:lastRowLastColumn="0"/>
            </w:pPr>
            <w:r w:rsidRPr="00020C4A">
              <w:rPr>
                <w:sz w:val="20"/>
                <w:szCs w:val="20"/>
              </w:rPr>
              <w:t>Current State</w:t>
            </w:r>
          </w:p>
        </w:tc>
        <w:tc>
          <w:tcPr>
            <w:tcW w:w="2552" w:type="dxa"/>
          </w:tcPr>
          <w:p w14:paraId="6D4F7F30" w14:textId="77777777" w:rsidR="0021501F" w:rsidRDefault="0021501F" w:rsidP="00694BBE">
            <w:pPr>
              <w:jc w:val="both"/>
              <w:cnfStyle w:val="100000000000" w:firstRow="1" w:lastRow="0" w:firstColumn="0" w:lastColumn="0" w:oddVBand="0" w:evenVBand="0" w:oddHBand="0" w:evenHBand="0" w:firstRowFirstColumn="0" w:firstRowLastColumn="0" w:lastRowFirstColumn="0" w:lastRowLastColumn="0"/>
            </w:pPr>
            <w:r w:rsidRPr="00020C4A">
              <w:rPr>
                <w:sz w:val="18"/>
                <w:szCs w:val="18"/>
              </w:rPr>
              <w:t>NAS</w:t>
            </w:r>
            <w:r>
              <w:rPr>
                <w:sz w:val="18"/>
                <w:szCs w:val="18"/>
              </w:rPr>
              <w:t xml:space="preserve"> [Option -1]</w:t>
            </w:r>
          </w:p>
        </w:tc>
        <w:tc>
          <w:tcPr>
            <w:tcW w:w="2917" w:type="dxa"/>
          </w:tcPr>
          <w:p w14:paraId="1DCF534B" w14:textId="77777777" w:rsidR="0021501F" w:rsidRDefault="0021501F" w:rsidP="00694BBE">
            <w:pPr>
              <w:jc w:val="both"/>
              <w:cnfStyle w:val="100000000000" w:firstRow="1" w:lastRow="0" w:firstColumn="0" w:lastColumn="0" w:oddVBand="0" w:evenVBand="0" w:oddHBand="0" w:evenHBand="0" w:firstRowFirstColumn="0" w:firstRowLastColumn="0" w:lastRowFirstColumn="0" w:lastRowLastColumn="0"/>
            </w:pPr>
            <w:r w:rsidRPr="00020C4A">
              <w:rPr>
                <w:sz w:val="20"/>
                <w:szCs w:val="20"/>
              </w:rPr>
              <w:t>Azure Files</w:t>
            </w:r>
            <w:r>
              <w:rPr>
                <w:sz w:val="20"/>
                <w:szCs w:val="20"/>
              </w:rPr>
              <w:t xml:space="preserve"> [Option-2]</w:t>
            </w:r>
          </w:p>
        </w:tc>
        <w:tc>
          <w:tcPr>
            <w:tcW w:w="6564" w:type="dxa"/>
          </w:tcPr>
          <w:p w14:paraId="35BB2BA7" w14:textId="77777777" w:rsidR="0021501F" w:rsidRPr="00020C4A" w:rsidRDefault="0021501F" w:rsidP="00694BBE">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Notes</w:t>
            </w:r>
          </w:p>
        </w:tc>
      </w:tr>
      <w:tr w:rsidR="0021501F" w:rsidRPr="00003AF3" w14:paraId="7A64E420" w14:textId="77777777" w:rsidTr="00694BB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532" w:type="dxa"/>
          </w:tcPr>
          <w:p w14:paraId="0B6EC90C" w14:textId="44D720A8" w:rsidR="0021501F" w:rsidRPr="00003AF3" w:rsidRDefault="0021501F" w:rsidP="00694BBE">
            <w:pPr>
              <w:rPr>
                <w:sz w:val="16"/>
                <w:szCs w:val="16"/>
              </w:rPr>
            </w:pPr>
            <w:r>
              <w:rPr>
                <w:sz w:val="16"/>
                <w:szCs w:val="16"/>
              </w:rPr>
              <w:t>Storage Level Encryption</w:t>
            </w:r>
          </w:p>
        </w:tc>
        <w:tc>
          <w:tcPr>
            <w:tcW w:w="1627" w:type="dxa"/>
          </w:tcPr>
          <w:p w14:paraId="34239026"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Volume encryption</w:t>
            </w:r>
          </w:p>
        </w:tc>
        <w:tc>
          <w:tcPr>
            <w:tcW w:w="2552" w:type="dxa"/>
          </w:tcPr>
          <w:p w14:paraId="535DE3E3"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Volume encryption</w:t>
            </w:r>
          </w:p>
        </w:tc>
        <w:tc>
          <w:tcPr>
            <w:tcW w:w="2917" w:type="dxa"/>
          </w:tcPr>
          <w:p w14:paraId="53FC4C63"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sidRPr="00C624A4">
              <w:rPr>
                <w:b/>
                <w:bCs/>
                <w:sz w:val="16"/>
                <w:szCs w:val="16"/>
              </w:rPr>
              <w:t>SSE</w:t>
            </w:r>
            <w:r>
              <w:rPr>
                <w:sz w:val="16"/>
                <w:szCs w:val="16"/>
              </w:rPr>
              <w:t xml:space="preserve"> (Service Side Encryption] </w:t>
            </w:r>
            <w:r>
              <w:rPr>
                <w:sz w:val="16"/>
                <w:szCs w:val="16"/>
              </w:rPr>
              <w:br/>
            </w:r>
          </w:p>
        </w:tc>
        <w:tc>
          <w:tcPr>
            <w:tcW w:w="6564" w:type="dxa"/>
          </w:tcPr>
          <w:p w14:paraId="5C422D0F" w14:textId="0FBC72F8" w:rsidR="0021501F" w:rsidRDefault="0021501F" w:rsidP="00694BBE">
            <w:pPr>
              <w:cnfStyle w:val="000000100000" w:firstRow="0" w:lastRow="0" w:firstColumn="0" w:lastColumn="0" w:oddVBand="0" w:evenVBand="0" w:oddHBand="1" w:evenHBand="0" w:firstRowFirstColumn="0" w:firstRowLastColumn="0" w:lastRowFirstColumn="0" w:lastRowLastColumn="0"/>
              <w:rPr>
                <w:b/>
                <w:bCs/>
                <w:sz w:val="16"/>
                <w:szCs w:val="16"/>
              </w:rPr>
            </w:pPr>
            <w:r>
              <w:rPr>
                <w:b/>
                <w:bCs/>
                <w:sz w:val="16"/>
                <w:szCs w:val="16"/>
              </w:rPr>
              <w:t xml:space="preserve">SSE is the default encryption provided by Azure for any storage service. </w:t>
            </w:r>
          </w:p>
          <w:p w14:paraId="110B5267" w14:textId="6892A148" w:rsidR="0021501F"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sidRPr="00C624A4">
              <w:rPr>
                <w:b/>
                <w:bCs/>
                <w:sz w:val="16"/>
                <w:szCs w:val="16"/>
              </w:rPr>
              <w:t>SSE</w:t>
            </w:r>
            <w:r>
              <w:rPr>
                <w:sz w:val="16"/>
                <w:szCs w:val="16"/>
              </w:rPr>
              <w:t xml:space="preserve"> is at the account level and </w:t>
            </w:r>
            <w:r w:rsidRPr="0021501F">
              <w:rPr>
                <w:b/>
                <w:bCs/>
                <w:sz w:val="16"/>
                <w:szCs w:val="16"/>
              </w:rPr>
              <w:t>is fully transparent</w:t>
            </w:r>
            <w:r>
              <w:rPr>
                <w:sz w:val="16"/>
                <w:szCs w:val="16"/>
              </w:rPr>
              <w:t xml:space="preserve"> </w:t>
            </w:r>
            <w:r w:rsidRPr="00C624A4">
              <w:rPr>
                <w:sz w:val="16"/>
                <w:szCs w:val="16"/>
              </w:rPr>
              <w:t>to the OS and users with access to the share</w:t>
            </w:r>
          </w:p>
        </w:tc>
      </w:tr>
      <w:tr w:rsidR="0021501F" w:rsidRPr="00003AF3" w14:paraId="75463FE7" w14:textId="77777777" w:rsidTr="00694BBE">
        <w:trPr>
          <w:trHeight w:val="311"/>
        </w:trPr>
        <w:tc>
          <w:tcPr>
            <w:cnfStyle w:val="001000000000" w:firstRow="0" w:lastRow="0" w:firstColumn="1" w:lastColumn="0" w:oddVBand="0" w:evenVBand="0" w:oddHBand="0" w:evenHBand="0" w:firstRowFirstColumn="0" w:firstRowLastColumn="0" w:lastRowFirstColumn="0" w:lastRowLastColumn="0"/>
            <w:tcW w:w="1532" w:type="dxa"/>
          </w:tcPr>
          <w:p w14:paraId="0B908DFF" w14:textId="77777777" w:rsidR="0021501F" w:rsidRPr="00003AF3" w:rsidRDefault="0021501F" w:rsidP="00694BBE">
            <w:pPr>
              <w:rPr>
                <w:sz w:val="16"/>
                <w:szCs w:val="16"/>
              </w:rPr>
            </w:pPr>
            <w:r>
              <w:rPr>
                <w:sz w:val="16"/>
                <w:szCs w:val="16"/>
              </w:rPr>
              <w:t>RBAC (Role based access control)</w:t>
            </w:r>
          </w:p>
        </w:tc>
        <w:tc>
          <w:tcPr>
            <w:tcW w:w="1627" w:type="dxa"/>
          </w:tcPr>
          <w:p w14:paraId="43A4388B"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Available</w:t>
            </w:r>
          </w:p>
        </w:tc>
        <w:tc>
          <w:tcPr>
            <w:tcW w:w="2552" w:type="dxa"/>
          </w:tcPr>
          <w:p w14:paraId="0E19FC39"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Available</w:t>
            </w:r>
          </w:p>
        </w:tc>
        <w:tc>
          <w:tcPr>
            <w:tcW w:w="2917" w:type="dxa"/>
          </w:tcPr>
          <w:p w14:paraId="15EDD460"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Available </w:t>
            </w:r>
          </w:p>
        </w:tc>
        <w:tc>
          <w:tcPr>
            <w:tcW w:w="6564" w:type="dxa"/>
          </w:tcPr>
          <w:p w14:paraId="5FF92D28" w14:textId="47C7CEB1"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p>
        </w:tc>
      </w:tr>
      <w:tr w:rsidR="0021501F" w:rsidRPr="00003AF3" w14:paraId="246C7C45" w14:textId="77777777" w:rsidTr="00694B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32" w:type="dxa"/>
          </w:tcPr>
          <w:p w14:paraId="230E8219" w14:textId="77777777" w:rsidR="0021501F" w:rsidRPr="00003AF3" w:rsidRDefault="0021501F" w:rsidP="00694BBE">
            <w:pPr>
              <w:rPr>
                <w:sz w:val="16"/>
                <w:szCs w:val="16"/>
              </w:rPr>
            </w:pPr>
            <w:r>
              <w:rPr>
                <w:sz w:val="16"/>
                <w:szCs w:val="16"/>
              </w:rPr>
              <w:t>Redaction</w:t>
            </w:r>
          </w:p>
        </w:tc>
        <w:tc>
          <w:tcPr>
            <w:tcW w:w="1627" w:type="dxa"/>
          </w:tcPr>
          <w:p w14:paraId="7EA1B240"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sidRPr="00067E80">
              <w:rPr>
                <w:color w:val="EE0000"/>
                <w:sz w:val="16"/>
                <w:szCs w:val="16"/>
              </w:rPr>
              <w:t>Not Available</w:t>
            </w:r>
          </w:p>
        </w:tc>
        <w:tc>
          <w:tcPr>
            <w:tcW w:w="2552" w:type="dxa"/>
          </w:tcPr>
          <w:p w14:paraId="1C4031CB"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sidRPr="00067E80">
              <w:rPr>
                <w:color w:val="005D00"/>
                <w:sz w:val="16"/>
                <w:szCs w:val="16"/>
              </w:rPr>
              <w:t>Available</w:t>
            </w:r>
          </w:p>
        </w:tc>
        <w:tc>
          <w:tcPr>
            <w:tcW w:w="2917" w:type="dxa"/>
          </w:tcPr>
          <w:p w14:paraId="65C30BFD"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sidRPr="00067E80">
              <w:rPr>
                <w:color w:val="005D00"/>
                <w:sz w:val="16"/>
                <w:szCs w:val="16"/>
              </w:rPr>
              <w:t>Available</w:t>
            </w:r>
          </w:p>
        </w:tc>
        <w:tc>
          <w:tcPr>
            <w:tcW w:w="6564" w:type="dxa"/>
          </w:tcPr>
          <w:p w14:paraId="06AFE18C"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p>
        </w:tc>
      </w:tr>
      <w:tr w:rsidR="0021501F" w:rsidRPr="00003AF3" w14:paraId="48EB56D4" w14:textId="77777777" w:rsidTr="00694BBE">
        <w:trPr>
          <w:trHeight w:val="300"/>
        </w:trPr>
        <w:tc>
          <w:tcPr>
            <w:cnfStyle w:val="001000000000" w:firstRow="0" w:lastRow="0" w:firstColumn="1" w:lastColumn="0" w:oddVBand="0" w:evenVBand="0" w:oddHBand="0" w:evenHBand="0" w:firstRowFirstColumn="0" w:firstRowLastColumn="0" w:lastRowFirstColumn="0" w:lastRowLastColumn="0"/>
            <w:tcW w:w="1532" w:type="dxa"/>
          </w:tcPr>
          <w:p w14:paraId="70E836AF" w14:textId="77777777" w:rsidR="0021501F" w:rsidRPr="00003AF3" w:rsidRDefault="0021501F" w:rsidP="00694BBE">
            <w:pPr>
              <w:rPr>
                <w:sz w:val="16"/>
                <w:szCs w:val="16"/>
              </w:rPr>
            </w:pPr>
            <w:r>
              <w:rPr>
                <w:sz w:val="16"/>
                <w:szCs w:val="16"/>
              </w:rPr>
              <w:t xml:space="preserve">Redaction Process time </w:t>
            </w:r>
          </w:p>
        </w:tc>
        <w:tc>
          <w:tcPr>
            <w:tcW w:w="1627" w:type="dxa"/>
          </w:tcPr>
          <w:p w14:paraId="1786CCB1"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Not Applicable</w:t>
            </w:r>
          </w:p>
        </w:tc>
        <w:tc>
          <w:tcPr>
            <w:tcW w:w="2552" w:type="dxa"/>
          </w:tcPr>
          <w:p w14:paraId="2967522F"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With in few mins</w:t>
            </w:r>
          </w:p>
        </w:tc>
        <w:tc>
          <w:tcPr>
            <w:tcW w:w="2917" w:type="dxa"/>
          </w:tcPr>
          <w:p w14:paraId="7BC88B2B"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With in few mins</w:t>
            </w:r>
          </w:p>
        </w:tc>
        <w:tc>
          <w:tcPr>
            <w:tcW w:w="6564" w:type="dxa"/>
          </w:tcPr>
          <w:p w14:paraId="578FF65E"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In the Happy path scenario, the redaction would happen with in mins.</w:t>
            </w:r>
          </w:p>
        </w:tc>
      </w:tr>
      <w:tr w:rsidR="0021501F" w:rsidRPr="00003AF3" w14:paraId="562CC82D" w14:textId="77777777" w:rsidTr="00694B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32" w:type="dxa"/>
          </w:tcPr>
          <w:p w14:paraId="076EE553" w14:textId="77777777" w:rsidR="0021501F" w:rsidRPr="00003AF3" w:rsidRDefault="0021501F" w:rsidP="00694BBE">
            <w:pPr>
              <w:rPr>
                <w:sz w:val="16"/>
                <w:szCs w:val="16"/>
              </w:rPr>
            </w:pPr>
            <w:r>
              <w:rPr>
                <w:sz w:val="16"/>
                <w:szCs w:val="16"/>
              </w:rPr>
              <w:t>Folder Level encryption</w:t>
            </w:r>
          </w:p>
        </w:tc>
        <w:tc>
          <w:tcPr>
            <w:tcW w:w="1627" w:type="dxa"/>
          </w:tcPr>
          <w:p w14:paraId="4460609E"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Not Available</w:t>
            </w:r>
          </w:p>
        </w:tc>
        <w:tc>
          <w:tcPr>
            <w:tcW w:w="2552" w:type="dxa"/>
          </w:tcPr>
          <w:p w14:paraId="40676178"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Not Available</w:t>
            </w:r>
          </w:p>
        </w:tc>
        <w:tc>
          <w:tcPr>
            <w:tcW w:w="2917" w:type="dxa"/>
          </w:tcPr>
          <w:p w14:paraId="59130ACA"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Not Available</w:t>
            </w:r>
          </w:p>
        </w:tc>
        <w:tc>
          <w:tcPr>
            <w:tcW w:w="6564" w:type="dxa"/>
          </w:tcPr>
          <w:p w14:paraId="4A91CB30"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p>
        </w:tc>
      </w:tr>
      <w:tr w:rsidR="0021501F" w:rsidRPr="00003AF3" w14:paraId="2F2A74DB" w14:textId="77777777" w:rsidTr="00694BBE">
        <w:trPr>
          <w:trHeight w:val="300"/>
        </w:trPr>
        <w:tc>
          <w:tcPr>
            <w:cnfStyle w:val="001000000000" w:firstRow="0" w:lastRow="0" w:firstColumn="1" w:lastColumn="0" w:oddVBand="0" w:evenVBand="0" w:oddHBand="0" w:evenHBand="0" w:firstRowFirstColumn="0" w:firstRowLastColumn="0" w:lastRowFirstColumn="0" w:lastRowLastColumn="0"/>
            <w:tcW w:w="1532" w:type="dxa"/>
          </w:tcPr>
          <w:p w14:paraId="0F085B17" w14:textId="77777777" w:rsidR="0021501F" w:rsidRPr="00003AF3" w:rsidRDefault="0021501F" w:rsidP="00694BBE">
            <w:pPr>
              <w:rPr>
                <w:sz w:val="16"/>
                <w:szCs w:val="16"/>
              </w:rPr>
            </w:pPr>
            <w:r>
              <w:rPr>
                <w:sz w:val="16"/>
                <w:szCs w:val="16"/>
              </w:rPr>
              <w:t>File Level encryption</w:t>
            </w:r>
          </w:p>
        </w:tc>
        <w:tc>
          <w:tcPr>
            <w:tcW w:w="1627" w:type="dxa"/>
          </w:tcPr>
          <w:p w14:paraId="4E9B34AE"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Not Available</w:t>
            </w:r>
          </w:p>
        </w:tc>
        <w:tc>
          <w:tcPr>
            <w:tcW w:w="2552" w:type="dxa"/>
          </w:tcPr>
          <w:p w14:paraId="3340E14F"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Not Available</w:t>
            </w:r>
          </w:p>
        </w:tc>
        <w:tc>
          <w:tcPr>
            <w:tcW w:w="2917" w:type="dxa"/>
          </w:tcPr>
          <w:p w14:paraId="5B107554"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Not Available</w:t>
            </w:r>
          </w:p>
        </w:tc>
        <w:tc>
          <w:tcPr>
            <w:tcW w:w="6564" w:type="dxa"/>
          </w:tcPr>
          <w:p w14:paraId="21720B5B" w14:textId="77777777" w:rsidR="0021501F" w:rsidRPr="00003AF3" w:rsidRDefault="0021501F" w:rsidP="00694BBE">
            <w:pPr>
              <w:cnfStyle w:val="000000000000" w:firstRow="0" w:lastRow="0" w:firstColumn="0" w:lastColumn="0" w:oddVBand="0" w:evenVBand="0" w:oddHBand="0" w:evenHBand="0" w:firstRowFirstColumn="0" w:firstRowLastColumn="0" w:lastRowFirstColumn="0" w:lastRowLastColumn="0"/>
              <w:rPr>
                <w:sz w:val="16"/>
                <w:szCs w:val="16"/>
              </w:rPr>
            </w:pPr>
          </w:p>
        </w:tc>
      </w:tr>
      <w:tr w:rsidR="0021501F" w:rsidRPr="00003AF3" w14:paraId="3A68D0D4" w14:textId="77777777" w:rsidTr="00694B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32" w:type="dxa"/>
          </w:tcPr>
          <w:p w14:paraId="03D192B2" w14:textId="6B86C536" w:rsidR="0021501F" w:rsidRPr="00003AF3" w:rsidRDefault="0021501F" w:rsidP="00694BBE">
            <w:pPr>
              <w:rPr>
                <w:sz w:val="16"/>
                <w:szCs w:val="16"/>
              </w:rPr>
            </w:pPr>
            <w:r>
              <w:rPr>
                <w:sz w:val="16"/>
                <w:szCs w:val="16"/>
              </w:rPr>
              <w:t>Application-Level Encryption</w:t>
            </w:r>
          </w:p>
        </w:tc>
        <w:tc>
          <w:tcPr>
            <w:tcW w:w="1627" w:type="dxa"/>
          </w:tcPr>
          <w:p w14:paraId="19F57B60" w14:textId="0675C91E"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Not Available</w:t>
            </w:r>
          </w:p>
        </w:tc>
        <w:tc>
          <w:tcPr>
            <w:tcW w:w="2552" w:type="dxa"/>
          </w:tcPr>
          <w:p w14:paraId="798ADB00" w14:textId="31C18832"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Not Available.</w:t>
            </w:r>
          </w:p>
        </w:tc>
        <w:tc>
          <w:tcPr>
            <w:tcW w:w="2917" w:type="dxa"/>
          </w:tcPr>
          <w:p w14:paraId="5F0099FE" w14:textId="13823CDD"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Not Available</w:t>
            </w:r>
          </w:p>
        </w:tc>
        <w:tc>
          <w:tcPr>
            <w:tcW w:w="6564" w:type="dxa"/>
          </w:tcPr>
          <w:p w14:paraId="35207D04" w14:textId="77777777" w:rsidR="0021501F" w:rsidRPr="00003AF3" w:rsidRDefault="0021501F" w:rsidP="00694BBE">
            <w:pPr>
              <w:cnfStyle w:val="000000100000" w:firstRow="0" w:lastRow="0" w:firstColumn="0" w:lastColumn="0" w:oddVBand="0" w:evenVBand="0" w:oddHBand="1" w:evenHBand="0" w:firstRowFirstColumn="0" w:firstRowLastColumn="0" w:lastRowFirstColumn="0" w:lastRowLastColumn="0"/>
              <w:rPr>
                <w:sz w:val="16"/>
                <w:szCs w:val="16"/>
              </w:rPr>
            </w:pPr>
          </w:p>
        </w:tc>
      </w:tr>
      <w:tr w:rsidR="0021501F" w:rsidRPr="00003AF3" w14:paraId="25344F7F" w14:textId="77777777" w:rsidTr="00694BBE">
        <w:trPr>
          <w:trHeight w:val="300"/>
        </w:trPr>
        <w:tc>
          <w:tcPr>
            <w:cnfStyle w:val="001000000000" w:firstRow="0" w:lastRow="0" w:firstColumn="1" w:lastColumn="0" w:oddVBand="0" w:evenVBand="0" w:oddHBand="0" w:evenHBand="0" w:firstRowFirstColumn="0" w:firstRowLastColumn="0" w:lastRowFirstColumn="0" w:lastRowLastColumn="0"/>
            <w:tcW w:w="1532" w:type="dxa"/>
          </w:tcPr>
          <w:p w14:paraId="4EF16539" w14:textId="06812B32" w:rsidR="0021501F" w:rsidRPr="00003AF3" w:rsidRDefault="0021501F" w:rsidP="0021501F">
            <w:pPr>
              <w:rPr>
                <w:sz w:val="16"/>
                <w:szCs w:val="16"/>
              </w:rPr>
            </w:pPr>
            <w:r>
              <w:rPr>
                <w:sz w:val="16"/>
                <w:szCs w:val="16"/>
              </w:rPr>
              <w:t>Granular RBAC</w:t>
            </w:r>
          </w:p>
        </w:tc>
        <w:tc>
          <w:tcPr>
            <w:tcW w:w="1627" w:type="dxa"/>
          </w:tcPr>
          <w:p w14:paraId="1DC52AC1" w14:textId="14D62A4F"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Not Available</w:t>
            </w:r>
          </w:p>
        </w:tc>
        <w:tc>
          <w:tcPr>
            <w:tcW w:w="2552" w:type="dxa"/>
          </w:tcPr>
          <w:p w14:paraId="3005E8EF" w14:textId="7721D7B6"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Not Available.</w:t>
            </w:r>
          </w:p>
        </w:tc>
        <w:tc>
          <w:tcPr>
            <w:tcW w:w="2917" w:type="dxa"/>
          </w:tcPr>
          <w:p w14:paraId="6DC5E2DA" w14:textId="685D581A"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Not Available</w:t>
            </w:r>
          </w:p>
        </w:tc>
        <w:tc>
          <w:tcPr>
            <w:tcW w:w="6564" w:type="dxa"/>
          </w:tcPr>
          <w:p w14:paraId="5B9CB0B7" w14:textId="3FEF01DC"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RBAC is not available at the File Level.  Authorized users, process having access to the Share/Folder would </w:t>
            </w:r>
            <w:r w:rsidR="00B51998">
              <w:rPr>
                <w:sz w:val="16"/>
                <w:szCs w:val="16"/>
              </w:rPr>
              <w:t xml:space="preserve">be able to all the images. </w:t>
            </w:r>
          </w:p>
        </w:tc>
      </w:tr>
      <w:tr w:rsidR="0021501F" w:rsidRPr="00003AF3" w14:paraId="1FD220F3" w14:textId="77777777" w:rsidTr="00694B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32" w:type="dxa"/>
          </w:tcPr>
          <w:p w14:paraId="0CBBA662" w14:textId="77777777" w:rsidR="0021501F" w:rsidRPr="00003AF3" w:rsidRDefault="0021501F" w:rsidP="0021501F">
            <w:pPr>
              <w:rPr>
                <w:sz w:val="16"/>
                <w:szCs w:val="16"/>
              </w:rPr>
            </w:pPr>
          </w:p>
        </w:tc>
        <w:tc>
          <w:tcPr>
            <w:tcW w:w="1627" w:type="dxa"/>
          </w:tcPr>
          <w:p w14:paraId="15EAB174"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552" w:type="dxa"/>
          </w:tcPr>
          <w:p w14:paraId="67A67D4A"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917" w:type="dxa"/>
          </w:tcPr>
          <w:p w14:paraId="79216B07"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6564" w:type="dxa"/>
          </w:tcPr>
          <w:p w14:paraId="1213E202"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r>
      <w:tr w:rsidR="0021501F" w:rsidRPr="00003AF3" w14:paraId="40837330" w14:textId="77777777" w:rsidTr="00694BBE">
        <w:trPr>
          <w:trHeight w:val="300"/>
        </w:trPr>
        <w:tc>
          <w:tcPr>
            <w:cnfStyle w:val="001000000000" w:firstRow="0" w:lastRow="0" w:firstColumn="1" w:lastColumn="0" w:oddVBand="0" w:evenVBand="0" w:oddHBand="0" w:evenHBand="0" w:firstRowFirstColumn="0" w:firstRowLastColumn="0" w:lastRowFirstColumn="0" w:lastRowLastColumn="0"/>
            <w:tcW w:w="1532" w:type="dxa"/>
          </w:tcPr>
          <w:p w14:paraId="0AD1C463" w14:textId="77777777" w:rsidR="0021501F" w:rsidRPr="00003AF3" w:rsidRDefault="0021501F" w:rsidP="0021501F">
            <w:pPr>
              <w:rPr>
                <w:sz w:val="16"/>
                <w:szCs w:val="16"/>
              </w:rPr>
            </w:pPr>
            <w:r w:rsidRPr="00003AF3">
              <w:rPr>
                <w:sz w:val="16"/>
                <w:szCs w:val="16"/>
              </w:rPr>
              <w:t>Access Control</w:t>
            </w:r>
          </w:p>
        </w:tc>
        <w:tc>
          <w:tcPr>
            <w:tcW w:w="1627" w:type="dxa"/>
          </w:tcPr>
          <w:p w14:paraId="2C67C0BD" w14:textId="77777777"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p>
        </w:tc>
        <w:tc>
          <w:tcPr>
            <w:tcW w:w="2552" w:type="dxa"/>
          </w:tcPr>
          <w:p w14:paraId="2359E409" w14:textId="77777777"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p>
        </w:tc>
        <w:tc>
          <w:tcPr>
            <w:tcW w:w="2917" w:type="dxa"/>
          </w:tcPr>
          <w:p w14:paraId="4A8DEAC9" w14:textId="77777777"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sidRPr="00003AF3">
              <w:rPr>
                <w:sz w:val="16"/>
                <w:szCs w:val="16"/>
              </w:rPr>
              <w:t>Supports -NTFS Permissions, AD</w:t>
            </w:r>
            <w:r>
              <w:rPr>
                <w:sz w:val="16"/>
                <w:szCs w:val="16"/>
              </w:rPr>
              <w:t>,</w:t>
            </w:r>
            <w:r w:rsidRPr="0031571A">
              <w:t xml:space="preserve"> </w:t>
            </w:r>
            <w:r w:rsidRPr="0031571A">
              <w:rPr>
                <w:sz w:val="16"/>
                <w:szCs w:val="16"/>
              </w:rPr>
              <w:t>NTFS/SMB ACLs</w:t>
            </w:r>
          </w:p>
        </w:tc>
        <w:tc>
          <w:tcPr>
            <w:tcW w:w="6564" w:type="dxa"/>
          </w:tcPr>
          <w:p w14:paraId="4174FFBB" w14:textId="77777777"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sidRPr="00003AF3">
              <w:rPr>
                <w:sz w:val="16"/>
                <w:szCs w:val="16"/>
              </w:rPr>
              <w:t>Supports--NTFS Permissions, AD</w:t>
            </w:r>
            <w:r>
              <w:rPr>
                <w:sz w:val="16"/>
                <w:szCs w:val="16"/>
              </w:rPr>
              <w:t xml:space="preserve"> - </w:t>
            </w:r>
            <w:r w:rsidRPr="0031571A">
              <w:rPr>
                <w:sz w:val="16"/>
                <w:szCs w:val="16"/>
              </w:rPr>
              <w:t>NTFS ACLs + Account Keys</w:t>
            </w:r>
          </w:p>
        </w:tc>
      </w:tr>
      <w:tr w:rsidR="0021501F" w:rsidRPr="00003AF3" w14:paraId="0AED8D75" w14:textId="77777777" w:rsidTr="00694BB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532" w:type="dxa"/>
          </w:tcPr>
          <w:p w14:paraId="0DE6D281" w14:textId="77777777" w:rsidR="0021501F" w:rsidRPr="00003AF3" w:rsidRDefault="0021501F" w:rsidP="0021501F">
            <w:pPr>
              <w:rPr>
                <w:sz w:val="16"/>
                <w:szCs w:val="16"/>
              </w:rPr>
            </w:pPr>
            <w:r w:rsidRPr="00003AF3">
              <w:rPr>
                <w:sz w:val="16"/>
                <w:szCs w:val="16"/>
              </w:rPr>
              <w:t>Risk</w:t>
            </w:r>
          </w:p>
        </w:tc>
        <w:tc>
          <w:tcPr>
            <w:tcW w:w="1627" w:type="dxa"/>
          </w:tcPr>
          <w:p w14:paraId="6B265F13"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552" w:type="dxa"/>
          </w:tcPr>
          <w:p w14:paraId="3A1A4F4B"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917" w:type="dxa"/>
          </w:tcPr>
          <w:p w14:paraId="1E60BF99"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sidRPr="00003AF3">
              <w:rPr>
                <w:sz w:val="16"/>
                <w:szCs w:val="16"/>
              </w:rPr>
              <w:t>Normal</w:t>
            </w:r>
          </w:p>
        </w:tc>
        <w:tc>
          <w:tcPr>
            <w:tcW w:w="6564" w:type="dxa"/>
          </w:tcPr>
          <w:p w14:paraId="00A311C6"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sidRPr="00003AF3">
              <w:rPr>
                <w:sz w:val="16"/>
                <w:szCs w:val="16"/>
              </w:rPr>
              <w:t>Broader attack risks</w:t>
            </w:r>
          </w:p>
        </w:tc>
      </w:tr>
      <w:tr w:rsidR="0021501F" w:rsidRPr="00003AF3" w14:paraId="075EEBAE" w14:textId="77777777" w:rsidTr="00694BBE">
        <w:trPr>
          <w:trHeight w:val="311"/>
        </w:trPr>
        <w:tc>
          <w:tcPr>
            <w:cnfStyle w:val="001000000000" w:firstRow="0" w:lastRow="0" w:firstColumn="1" w:lastColumn="0" w:oddVBand="0" w:evenVBand="0" w:oddHBand="0" w:evenHBand="0" w:firstRowFirstColumn="0" w:firstRowLastColumn="0" w:lastRowFirstColumn="0" w:lastRowLastColumn="0"/>
            <w:tcW w:w="1532" w:type="dxa"/>
          </w:tcPr>
          <w:p w14:paraId="565881A5" w14:textId="77777777" w:rsidR="0021501F" w:rsidRPr="00003AF3" w:rsidRDefault="0021501F" w:rsidP="0021501F">
            <w:pPr>
              <w:rPr>
                <w:sz w:val="16"/>
                <w:szCs w:val="16"/>
              </w:rPr>
            </w:pPr>
            <w:r w:rsidRPr="00003AF3">
              <w:rPr>
                <w:sz w:val="16"/>
                <w:szCs w:val="16"/>
              </w:rPr>
              <w:t>Latency</w:t>
            </w:r>
          </w:p>
        </w:tc>
        <w:tc>
          <w:tcPr>
            <w:tcW w:w="1627" w:type="dxa"/>
          </w:tcPr>
          <w:p w14:paraId="1C726881" w14:textId="77777777" w:rsidR="0021501F" w:rsidRPr="0028579B" w:rsidRDefault="0021501F" w:rsidP="0021501F">
            <w:pPr>
              <w:cnfStyle w:val="000000000000" w:firstRow="0" w:lastRow="0" w:firstColumn="0" w:lastColumn="0" w:oddVBand="0" w:evenVBand="0" w:oddHBand="0" w:evenHBand="0" w:firstRowFirstColumn="0" w:firstRowLastColumn="0" w:lastRowFirstColumn="0" w:lastRowLastColumn="0"/>
              <w:rPr>
                <w:b/>
                <w:bCs/>
                <w:sz w:val="16"/>
                <w:szCs w:val="16"/>
              </w:rPr>
            </w:pPr>
          </w:p>
        </w:tc>
        <w:tc>
          <w:tcPr>
            <w:tcW w:w="2552" w:type="dxa"/>
          </w:tcPr>
          <w:p w14:paraId="6C1FD8A7" w14:textId="77777777" w:rsidR="0021501F" w:rsidRPr="0028579B" w:rsidRDefault="0021501F" w:rsidP="0021501F">
            <w:pPr>
              <w:cnfStyle w:val="000000000000" w:firstRow="0" w:lastRow="0" w:firstColumn="0" w:lastColumn="0" w:oddVBand="0" w:evenVBand="0" w:oddHBand="0" w:evenHBand="0" w:firstRowFirstColumn="0" w:firstRowLastColumn="0" w:lastRowFirstColumn="0" w:lastRowLastColumn="0"/>
              <w:rPr>
                <w:b/>
                <w:bCs/>
                <w:sz w:val="16"/>
                <w:szCs w:val="16"/>
              </w:rPr>
            </w:pPr>
          </w:p>
        </w:tc>
        <w:tc>
          <w:tcPr>
            <w:tcW w:w="2917" w:type="dxa"/>
          </w:tcPr>
          <w:p w14:paraId="1CC77CED" w14:textId="77777777"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sidRPr="0028579B">
              <w:rPr>
                <w:b/>
                <w:bCs/>
                <w:sz w:val="16"/>
                <w:szCs w:val="16"/>
              </w:rPr>
              <w:t>works effectively</w:t>
            </w:r>
            <w:r>
              <w:rPr>
                <w:b/>
                <w:bCs/>
                <w:sz w:val="16"/>
                <w:szCs w:val="16"/>
              </w:rPr>
              <w:t xml:space="preserve"> -</w:t>
            </w:r>
            <w:r w:rsidRPr="00003AF3">
              <w:rPr>
                <w:sz w:val="16"/>
                <w:szCs w:val="16"/>
              </w:rPr>
              <w:t xml:space="preserve"> IBML are latency sensitive [local NAS is the reason]</w:t>
            </w:r>
            <w:r>
              <w:rPr>
                <w:sz w:val="16"/>
                <w:szCs w:val="16"/>
              </w:rPr>
              <w:t>.</w:t>
            </w:r>
          </w:p>
        </w:tc>
        <w:tc>
          <w:tcPr>
            <w:tcW w:w="6564" w:type="dxa"/>
          </w:tcPr>
          <w:p w14:paraId="2C10461F" w14:textId="77777777"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Introduces network hop that can degrade performance by 1000x for meta data operations like (creating 1000s of small tiff images) - might cause software timeouts.</w:t>
            </w:r>
          </w:p>
        </w:tc>
      </w:tr>
      <w:tr w:rsidR="0021501F" w:rsidRPr="00003AF3" w14:paraId="36FB76BE" w14:textId="77777777" w:rsidTr="00694BB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532" w:type="dxa"/>
          </w:tcPr>
          <w:p w14:paraId="5F843293" w14:textId="77777777" w:rsidR="0021501F" w:rsidRPr="00003AF3" w:rsidRDefault="0021501F" w:rsidP="0021501F">
            <w:pPr>
              <w:rPr>
                <w:sz w:val="16"/>
                <w:szCs w:val="16"/>
              </w:rPr>
            </w:pPr>
            <w:r>
              <w:rPr>
                <w:sz w:val="16"/>
                <w:szCs w:val="16"/>
              </w:rPr>
              <w:t xml:space="preserve">Productivity </w:t>
            </w:r>
          </w:p>
        </w:tc>
        <w:tc>
          <w:tcPr>
            <w:tcW w:w="1627" w:type="dxa"/>
          </w:tcPr>
          <w:p w14:paraId="6D950C5D"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552" w:type="dxa"/>
          </w:tcPr>
          <w:p w14:paraId="0A083942"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917" w:type="dxa"/>
          </w:tcPr>
          <w:p w14:paraId="78895AFC"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Already in Production</w:t>
            </w:r>
          </w:p>
        </w:tc>
        <w:tc>
          <w:tcPr>
            <w:tcW w:w="6564" w:type="dxa"/>
          </w:tcPr>
          <w:p w14:paraId="487476B9" w14:textId="77777777" w:rsidR="0021501F" w:rsidRPr="00003AF3"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Might directly impact </w:t>
            </w:r>
            <w:proofErr w:type="gramStart"/>
            <w:r>
              <w:rPr>
                <w:sz w:val="16"/>
                <w:szCs w:val="16"/>
              </w:rPr>
              <w:t>operational  productivity</w:t>
            </w:r>
            <w:proofErr w:type="gramEnd"/>
          </w:p>
        </w:tc>
      </w:tr>
      <w:tr w:rsidR="0021501F" w:rsidRPr="00003AF3" w14:paraId="2B9FDE4F" w14:textId="77777777" w:rsidTr="00694BBE">
        <w:trPr>
          <w:trHeight w:val="300"/>
        </w:trPr>
        <w:tc>
          <w:tcPr>
            <w:cnfStyle w:val="001000000000" w:firstRow="0" w:lastRow="0" w:firstColumn="1" w:lastColumn="0" w:oddVBand="0" w:evenVBand="0" w:oddHBand="0" w:evenHBand="0" w:firstRowFirstColumn="0" w:firstRowLastColumn="0" w:lastRowFirstColumn="0" w:lastRowLastColumn="0"/>
            <w:tcW w:w="1532" w:type="dxa"/>
          </w:tcPr>
          <w:p w14:paraId="68072133" w14:textId="77777777" w:rsidR="0021501F" w:rsidRPr="00003AF3" w:rsidRDefault="0021501F" w:rsidP="0021501F">
            <w:pPr>
              <w:rPr>
                <w:sz w:val="16"/>
                <w:szCs w:val="16"/>
              </w:rPr>
            </w:pPr>
            <w:r>
              <w:rPr>
                <w:sz w:val="16"/>
                <w:szCs w:val="16"/>
              </w:rPr>
              <w:t>Vendor Certification</w:t>
            </w:r>
          </w:p>
        </w:tc>
        <w:tc>
          <w:tcPr>
            <w:tcW w:w="1627" w:type="dxa"/>
          </w:tcPr>
          <w:p w14:paraId="74919AFC"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p>
        </w:tc>
        <w:tc>
          <w:tcPr>
            <w:tcW w:w="2552" w:type="dxa"/>
          </w:tcPr>
          <w:p w14:paraId="10F3A03F"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p>
        </w:tc>
        <w:tc>
          <w:tcPr>
            <w:tcW w:w="2917" w:type="dxa"/>
          </w:tcPr>
          <w:p w14:paraId="6D575D89" w14:textId="77777777"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Already in Production</w:t>
            </w:r>
          </w:p>
        </w:tc>
        <w:tc>
          <w:tcPr>
            <w:tcW w:w="6564" w:type="dxa"/>
          </w:tcPr>
          <w:p w14:paraId="4BAC4A01" w14:textId="77777777" w:rsidR="0021501F" w:rsidRPr="00003AF3"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Required from both the Vendors IBML and </w:t>
            </w:r>
            <w:proofErr w:type="spellStart"/>
            <w:r>
              <w:rPr>
                <w:sz w:val="16"/>
                <w:szCs w:val="16"/>
              </w:rPr>
              <w:t>FairFax</w:t>
            </w:r>
            <w:proofErr w:type="spellEnd"/>
          </w:p>
        </w:tc>
      </w:tr>
      <w:tr w:rsidR="0021501F" w14:paraId="4E79CFAA" w14:textId="77777777" w:rsidTr="00694B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32" w:type="dxa"/>
          </w:tcPr>
          <w:p w14:paraId="2F203D4A" w14:textId="77777777" w:rsidR="0021501F" w:rsidRDefault="0021501F" w:rsidP="0021501F">
            <w:pPr>
              <w:rPr>
                <w:sz w:val="16"/>
                <w:szCs w:val="16"/>
              </w:rPr>
            </w:pPr>
            <w:r>
              <w:rPr>
                <w:sz w:val="16"/>
                <w:szCs w:val="16"/>
              </w:rPr>
              <w:t>Vendor Dependency</w:t>
            </w:r>
          </w:p>
        </w:tc>
        <w:tc>
          <w:tcPr>
            <w:tcW w:w="1627" w:type="dxa"/>
          </w:tcPr>
          <w:p w14:paraId="02DC0964"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552" w:type="dxa"/>
          </w:tcPr>
          <w:p w14:paraId="4E60FC12"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917" w:type="dxa"/>
          </w:tcPr>
          <w:p w14:paraId="79B327F6"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Not Required</w:t>
            </w:r>
          </w:p>
        </w:tc>
        <w:tc>
          <w:tcPr>
            <w:tcW w:w="6564" w:type="dxa"/>
          </w:tcPr>
          <w:p w14:paraId="69110F03"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Required as both IBML and </w:t>
            </w:r>
            <w:proofErr w:type="spellStart"/>
            <w:r>
              <w:rPr>
                <w:sz w:val="16"/>
                <w:szCs w:val="16"/>
              </w:rPr>
              <w:t>FairFax</w:t>
            </w:r>
            <w:proofErr w:type="spellEnd"/>
            <w:r>
              <w:rPr>
                <w:sz w:val="16"/>
                <w:szCs w:val="16"/>
              </w:rPr>
              <w:t xml:space="preserve"> are impacted</w:t>
            </w:r>
          </w:p>
        </w:tc>
      </w:tr>
      <w:tr w:rsidR="0021501F" w14:paraId="1753C6ED" w14:textId="77777777" w:rsidTr="00694BBE">
        <w:trPr>
          <w:trHeight w:val="300"/>
        </w:trPr>
        <w:tc>
          <w:tcPr>
            <w:cnfStyle w:val="001000000000" w:firstRow="0" w:lastRow="0" w:firstColumn="1" w:lastColumn="0" w:oddVBand="0" w:evenVBand="0" w:oddHBand="0" w:evenHBand="0" w:firstRowFirstColumn="0" w:firstRowLastColumn="0" w:lastRowFirstColumn="0" w:lastRowLastColumn="0"/>
            <w:tcW w:w="1532" w:type="dxa"/>
          </w:tcPr>
          <w:p w14:paraId="322083FA" w14:textId="77777777" w:rsidR="0021501F" w:rsidRDefault="0021501F" w:rsidP="0021501F">
            <w:pPr>
              <w:rPr>
                <w:sz w:val="16"/>
                <w:szCs w:val="16"/>
              </w:rPr>
            </w:pPr>
            <w:r>
              <w:rPr>
                <w:sz w:val="16"/>
                <w:szCs w:val="16"/>
              </w:rPr>
              <w:t>POC &amp; Testing</w:t>
            </w:r>
          </w:p>
        </w:tc>
        <w:tc>
          <w:tcPr>
            <w:tcW w:w="1627" w:type="dxa"/>
          </w:tcPr>
          <w:p w14:paraId="2473D1C8"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p>
        </w:tc>
        <w:tc>
          <w:tcPr>
            <w:tcW w:w="2552" w:type="dxa"/>
          </w:tcPr>
          <w:p w14:paraId="0A43B5D5"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p>
        </w:tc>
        <w:tc>
          <w:tcPr>
            <w:tcW w:w="2917" w:type="dxa"/>
          </w:tcPr>
          <w:p w14:paraId="62A36D7D"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Not Required [minimal testing for </w:t>
            </w:r>
            <w:proofErr w:type="gramStart"/>
            <w:r>
              <w:rPr>
                <w:sz w:val="16"/>
                <w:szCs w:val="16"/>
              </w:rPr>
              <w:t>application level</w:t>
            </w:r>
            <w:proofErr w:type="gramEnd"/>
            <w:r>
              <w:rPr>
                <w:sz w:val="16"/>
                <w:szCs w:val="16"/>
              </w:rPr>
              <w:t xml:space="preserve"> </w:t>
            </w:r>
            <w:proofErr w:type="gramStart"/>
            <w:r>
              <w:rPr>
                <w:sz w:val="16"/>
                <w:szCs w:val="16"/>
              </w:rPr>
              <w:t>encryption ]</w:t>
            </w:r>
            <w:proofErr w:type="gramEnd"/>
          </w:p>
        </w:tc>
        <w:tc>
          <w:tcPr>
            <w:tcW w:w="6564" w:type="dxa"/>
          </w:tcPr>
          <w:p w14:paraId="32AC4EB2"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Required  </w:t>
            </w:r>
          </w:p>
        </w:tc>
      </w:tr>
      <w:tr w:rsidR="0021501F" w14:paraId="79D9345B" w14:textId="77777777" w:rsidTr="00694B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32" w:type="dxa"/>
          </w:tcPr>
          <w:p w14:paraId="040337C9" w14:textId="77777777" w:rsidR="0021501F" w:rsidRDefault="0021501F" w:rsidP="0021501F">
            <w:pPr>
              <w:rPr>
                <w:sz w:val="16"/>
                <w:szCs w:val="16"/>
              </w:rPr>
            </w:pPr>
            <w:r>
              <w:rPr>
                <w:sz w:val="16"/>
                <w:szCs w:val="16"/>
              </w:rPr>
              <w:t>Alignment</w:t>
            </w:r>
          </w:p>
        </w:tc>
        <w:tc>
          <w:tcPr>
            <w:tcW w:w="1627" w:type="dxa"/>
          </w:tcPr>
          <w:p w14:paraId="0A7FCAA7"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552" w:type="dxa"/>
          </w:tcPr>
          <w:p w14:paraId="638E17B9"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c>
          <w:tcPr>
            <w:tcW w:w="2917" w:type="dxa"/>
          </w:tcPr>
          <w:p w14:paraId="5D30F0BE"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Mostly Aligned</w:t>
            </w:r>
          </w:p>
        </w:tc>
        <w:tc>
          <w:tcPr>
            <w:tcW w:w="6564" w:type="dxa"/>
          </w:tcPr>
          <w:p w14:paraId="39908F60"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Not completely aligned.  Strategically Fairfax is planned for decommission.  Need to think of ROI</w:t>
            </w:r>
          </w:p>
        </w:tc>
      </w:tr>
      <w:tr w:rsidR="0021501F" w14:paraId="75E6EAB1" w14:textId="77777777" w:rsidTr="00694BBE">
        <w:trPr>
          <w:trHeight w:val="300"/>
        </w:trPr>
        <w:tc>
          <w:tcPr>
            <w:cnfStyle w:val="001000000000" w:firstRow="0" w:lastRow="0" w:firstColumn="1" w:lastColumn="0" w:oddVBand="0" w:evenVBand="0" w:oddHBand="0" w:evenHBand="0" w:firstRowFirstColumn="0" w:firstRowLastColumn="0" w:lastRowFirstColumn="0" w:lastRowLastColumn="0"/>
            <w:tcW w:w="1532" w:type="dxa"/>
          </w:tcPr>
          <w:p w14:paraId="1CBA8923" w14:textId="77777777" w:rsidR="0021501F" w:rsidRDefault="0021501F" w:rsidP="0021501F">
            <w:pPr>
              <w:rPr>
                <w:sz w:val="16"/>
                <w:szCs w:val="16"/>
              </w:rPr>
            </w:pPr>
            <w:r w:rsidRPr="0031571A">
              <w:rPr>
                <w:sz w:val="16"/>
                <w:szCs w:val="16"/>
              </w:rPr>
              <w:lastRenderedPageBreak/>
              <w:t>Compliance Strategy</w:t>
            </w:r>
          </w:p>
        </w:tc>
        <w:tc>
          <w:tcPr>
            <w:tcW w:w="1627" w:type="dxa"/>
          </w:tcPr>
          <w:p w14:paraId="3B2BC3C7" w14:textId="77777777" w:rsidR="0021501F" w:rsidRPr="0031571A"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p>
        </w:tc>
        <w:tc>
          <w:tcPr>
            <w:tcW w:w="2552" w:type="dxa"/>
          </w:tcPr>
          <w:p w14:paraId="19028EC0" w14:textId="77777777" w:rsidR="0021501F" w:rsidRPr="0031571A"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p>
        </w:tc>
        <w:tc>
          <w:tcPr>
            <w:tcW w:w="2917" w:type="dxa"/>
          </w:tcPr>
          <w:p w14:paraId="122B0CFB"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sidRPr="0031571A">
              <w:rPr>
                <w:sz w:val="16"/>
                <w:szCs w:val="16"/>
              </w:rPr>
              <w:t>Requires App-level encryption</w:t>
            </w:r>
          </w:p>
        </w:tc>
        <w:tc>
          <w:tcPr>
            <w:tcW w:w="6564" w:type="dxa"/>
          </w:tcPr>
          <w:p w14:paraId="189DB9A0"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sidRPr="00B15452">
              <w:rPr>
                <w:sz w:val="16"/>
                <w:szCs w:val="16"/>
              </w:rPr>
              <w:t>Requires Kernel-level agents</w:t>
            </w:r>
            <w:r>
              <w:rPr>
                <w:sz w:val="16"/>
                <w:szCs w:val="16"/>
              </w:rPr>
              <w:t xml:space="preserve"> like Thales. If we need to </w:t>
            </w:r>
          </w:p>
        </w:tc>
      </w:tr>
      <w:tr w:rsidR="0021501F" w:rsidRPr="00B15452" w14:paraId="100DDCA3" w14:textId="77777777" w:rsidTr="00694B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32" w:type="dxa"/>
          </w:tcPr>
          <w:p w14:paraId="36C671A7" w14:textId="77777777" w:rsidR="0021501F" w:rsidRPr="0031571A" w:rsidRDefault="0021501F" w:rsidP="0021501F">
            <w:pPr>
              <w:rPr>
                <w:sz w:val="16"/>
                <w:szCs w:val="16"/>
              </w:rPr>
            </w:pPr>
            <w:r>
              <w:rPr>
                <w:sz w:val="16"/>
                <w:szCs w:val="16"/>
              </w:rPr>
              <w:t>Storage Level Encryption</w:t>
            </w:r>
          </w:p>
        </w:tc>
        <w:tc>
          <w:tcPr>
            <w:tcW w:w="1627" w:type="dxa"/>
          </w:tcPr>
          <w:p w14:paraId="7602D620" w14:textId="77777777" w:rsidR="0021501F" w:rsidRPr="000C4D52" w:rsidRDefault="0021501F" w:rsidP="0021501F">
            <w:pPr>
              <w:cnfStyle w:val="000000100000" w:firstRow="0" w:lastRow="0" w:firstColumn="0" w:lastColumn="0" w:oddVBand="0" w:evenVBand="0" w:oddHBand="1" w:evenHBand="0" w:firstRowFirstColumn="0" w:firstRowLastColumn="0" w:lastRowFirstColumn="0" w:lastRowLastColumn="0"/>
              <w:rPr>
                <w:b/>
                <w:bCs/>
                <w:sz w:val="16"/>
                <w:szCs w:val="16"/>
              </w:rPr>
            </w:pPr>
          </w:p>
        </w:tc>
        <w:tc>
          <w:tcPr>
            <w:tcW w:w="2552" w:type="dxa"/>
          </w:tcPr>
          <w:p w14:paraId="65DD8E3F" w14:textId="77777777" w:rsidR="0021501F" w:rsidRPr="000C4D52" w:rsidRDefault="0021501F" w:rsidP="0021501F">
            <w:pPr>
              <w:cnfStyle w:val="000000100000" w:firstRow="0" w:lastRow="0" w:firstColumn="0" w:lastColumn="0" w:oddVBand="0" w:evenVBand="0" w:oddHBand="1" w:evenHBand="0" w:firstRowFirstColumn="0" w:firstRowLastColumn="0" w:lastRowFirstColumn="0" w:lastRowLastColumn="0"/>
              <w:rPr>
                <w:b/>
                <w:bCs/>
                <w:sz w:val="16"/>
                <w:szCs w:val="16"/>
              </w:rPr>
            </w:pPr>
          </w:p>
        </w:tc>
        <w:tc>
          <w:tcPr>
            <w:tcW w:w="2917" w:type="dxa"/>
          </w:tcPr>
          <w:p w14:paraId="7FA6F434" w14:textId="77777777" w:rsidR="0021501F" w:rsidRPr="0031571A"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sidRPr="000C4D52">
              <w:rPr>
                <w:b/>
                <w:bCs/>
                <w:sz w:val="16"/>
                <w:szCs w:val="16"/>
              </w:rPr>
              <w:t>volume or disk-level encryption</w:t>
            </w:r>
            <w:r w:rsidRPr="000C4D52">
              <w:rPr>
                <w:sz w:val="16"/>
                <w:szCs w:val="16"/>
              </w:rPr>
              <w:t>.</w:t>
            </w:r>
          </w:p>
        </w:tc>
        <w:tc>
          <w:tcPr>
            <w:tcW w:w="6564" w:type="dxa"/>
          </w:tcPr>
          <w:p w14:paraId="42F36F9E" w14:textId="77777777" w:rsidR="0021501F" w:rsidRPr="00B15452"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r w:rsidRPr="000C4D52">
              <w:rPr>
                <w:sz w:val="16"/>
                <w:szCs w:val="16"/>
              </w:rPr>
              <w:t>Azure Storage Service Encryption</w:t>
            </w:r>
            <w:r>
              <w:rPr>
                <w:sz w:val="16"/>
                <w:szCs w:val="16"/>
              </w:rPr>
              <w:t xml:space="preserve"> -</w:t>
            </w:r>
            <w:r w:rsidRPr="000C4D52">
              <w:t xml:space="preserve"> </w:t>
            </w:r>
            <w:r w:rsidRPr="000C4D52">
              <w:rPr>
                <w:sz w:val="16"/>
                <w:szCs w:val="16"/>
              </w:rPr>
              <w:t>using AES-256</w:t>
            </w:r>
          </w:p>
        </w:tc>
      </w:tr>
      <w:tr w:rsidR="0021501F" w:rsidRPr="000C4D52" w14:paraId="505AA73D" w14:textId="77777777" w:rsidTr="00694BBE">
        <w:trPr>
          <w:trHeight w:val="300"/>
        </w:trPr>
        <w:tc>
          <w:tcPr>
            <w:cnfStyle w:val="001000000000" w:firstRow="0" w:lastRow="0" w:firstColumn="1" w:lastColumn="0" w:oddVBand="0" w:evenVBand="0" w:oddHBand="0" w:evenHBand="0" w:firstRowFirstColumn="0" w:firstRowLastColumn="0" w:lastRowFirstColumn="0" w:lastRowLastColumn="0"/>
            <w:tcW w:w="1532" w:type="dxa"/>
          </w:tcPr>
          <w:p w14:paraId="7ED623B1" w14:textId="77777777" w:rsidR="0021501F" w:rsidRDefault="0021501F" w:rsidP="0021501F">
            <w:pPr>
              <w:rPr>
                <w:sz w:val="16"/>
                <w:szCs w:val="16"/>
              </w:rPr>
            </w:pPr>
            <w:r>
              <w:rPr>
                <w:sz w:val="16"/>
                <w:szCs w:val="16"/>
              </w:rPr>
              <w:t>Mounting</w:t>
            </w:r>
          </w:p>
        </w:tc>
        <w:tc>
          <w:tcPr>
            <w:tcW w:w="1627" w:type="dxa"/>
          </w:tcPr>
          <w:p w14:paraId="78242C44"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b/>
                <w:bCs/>
                <w:sz w:val="16"/>
                <w:szCs w:val="16"/>
              </w:rPr>
            </w:pPr>
          </w:p>
        </w:tc>
        <w:tc>
          <w:tcPr>
            <w:tcW w:w="2552" w:type="dxa"/>
          </w:tcPr>
          <w:p w14:paraId="1EC32D5B" w14:textId="77777777" w:rsidR="0021501F" w:rsidRDefault="0021501F" w:rsidP="0021501F">
            <w:pPr>
              <w:cnfStyle w:val="000000000000" w:firstRow="0" w:lastRow="0" w:firstColumn="0" w:lastColumn="0" w:oddVBand="0" w:evenVBand="0" w:oddHBand="0" w:evenHBand="0" w:firstRowFirstColumn="0" w:firstRowLastColumn="0" w:lastRowFirstColumn="0" w:lastRowLastColumn="0"/>
              <w:rPr>
                <w:b/>
                <w:bCs/>
                <w:sz w:val="16"/>
                <w:szCs w:val="16"/>
              </w:rPr>
            </w:pPr>
          </w:p>
        </w:tc>
        <w:tc>
          <w:tcPr>
            <w:tcW w:w="2917" w:type="dxa"/>
          </w:tcPr>
          <w:p w14:paraId="40AFD141" w14:textId="77777777" w:rsidR="0021501F" w:rsidRPr="000C4D52" w:rsidRDefault="0021501F" w:rsidP="0021501F">
            <w:pPr>
              <w:cnfStyle w:val="000000000000" w:firstRow="0" w:lastRow="0" w:firstColumn="0" w:lastColumn="0" w:oddVBand="0" w:evenVBand="0" w:oddHBand="0" w:evenHBand="0" w:firstRowFirstColumn="0" w:firstRowLastColumn="0" w:lastRowFirstColumn="0" w:lastRowLastColumn="0"/>
              <w:rPr>
                <w:b/>
                <w:bCs/>
                <w:sz w:val="16"/>
                <w:szCs w:val="16"/>
              </w:rPr>
            </w:pPr>
            <w:r>
              <w:rPr>
                <w:b/>
                <w:bCs/>
                <w:sz w:val="16"/>
                <w:szCs w:val="16"/>
              </w:rPr>
              <w:t>In production</w:t>
            </w:r>
          </w:p>
        </w:tc>
        <w:tc>
          <w:tcPr>
            <w:tcW w:w="6564" w:type="dxa"/>
          </w:tcPr>
          <w:p w14:paraId="33FB723F" w14:textId="77777777" w:rsidR="0021501F" w:rsidRPr="000C4D52" w:rsidRDefault="0021501F" w:rsidP="0021501F">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Direct mounting has to be discussed and make sure it is an established pattern at the enterprise. </w:t>
            </w:r>
          </w:p>
        </w:tc>
      </w:tr>
      <w:tr w:rsidR="0021501F" w14:paraId="4990B2C2" w14:textId="77777777" w:rsidTr="00694B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32" w:type="dxa"/>
          </w:tcPr>
          <w:p w14:paraId="40CEAC85" w14:textId="77777777" w:rsidR="0021501F" w:rsidRDefault="0021501F" w:rsidP="0021501F">
            <w:pPr>
              <w:rPr>
                <w:sz w:val="16"/>
                <w:szCs w:val="16"/>
              </w:rPr>
            </w:pPr>
          </w:p>
        </w:tc>
        <w:tc>
          <w:tcPr>
            <w:tcW w:w="1627" w:type="dxa"/>
          </w:tcPr>
          <w:p w14:paraId="53BD5098"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b/>
                <w:bCs/>
                <w:sz w:val="16"/>
                <w:szCs w:val="16"/>
              </w:rPr>
            </w:pPr>
          </w:p>
        </w:tc>
        <w:tc>
          <w:tcPr>
            <w:tcW w:w="2552" w:type="dxa"/>
          </w:tcPr>
          <w:p w14:paraId="20C9AEBD"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b/>
                <w:bCs/>
                <w:sz w:val="16"/>
                <w:szCs w:val="16"/>
              </w:rPr>
            </w:pPr>
          </w:p>
        </w:tc>
        <w:tc>
          <w:tcPr>
            <w:tcW w:w="2917" w:type="dxa"/>
          </w:tcPr>
          <w:p w14:paraId="74414221"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b/>
                <w:bCs/>
                <w:sz w:val="16"/>
                <w:szCs w:val="16"/>
              </w:rPr>
            </w:pPr>
          </w:p>
        </w:tc>
        <w:tc>
          <w:tcPr>
            <w:tcW w:w="6564" w:type="dxa"/>
          </w:tcPr>
          <w:p w14:paraId="0692D20B" w14:textId="77777777" w:rsidR="0021501F" w:rsidRDefault="0021501F" w:rsidP="0021501F">
            <w:pPr>
              <w:cnfStyle w:val="000000100000" w:firstRow="0" w:lastRow="0" w:firstColumn="0" w:lastColumn="0" w:oddVBand="0" w:evenVBand="0" w:oddHBand="1" w:evenHBand="0" w:firstRowFirstColumn="0" w:firstRowLastColumn="0" w:lastRowFirstColumn="0" w:lastRowLastColumn="0"/>
              <w:rPr>
                <w:sz w:val="16"/>
                <w:szCs w:val="16"/>
              </w:rPr>
            </w:pPr>
          </w:p>
        </w:tc>
      </w:tr>
    </w:tbl>
    <w:p w14:paraId="4FA89243" w14:textId="77777777" w:rsidR="0021501F" w:rsidRDefault="0021501F"/>
    <w:sectPr w:rsidR="0021501F" w:rsidSect="00020C4A">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66BB4" w14:textId="77777777" w:rsidR="00295026" w:rsidRDefault="00295026" w:rsidP="00FA60FC">
      <w:pPr>
        <w:spacing w:after="0" w:line="240" w:lineRule="auto"/>
      </w:pPr>
      <w:r>
        <w:separator/>
      </w:r>
    </w:p>
  </w:endnote>
  <w:endnote w:type="continuationSeparator" w:id="0">
    <w:p w14:paraId="518DC821" w14:textId="77777777" w:rsidR="00295026" w:rsidRDefault="00295026" w:rsidP="00FA6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5E903" w14:textId="77777777" w:rsidR="00295026" w:rsidRDefault="00295026" w:rsidP="00FA60FC">
      <w:pPr>
        <w:spacing w:after="0" w:line="240" w:lineRule="auto"/>
      </w:pPr>
      <w:r>
        <w:separator/>
      </w:r>
    </w:p>
  </w:footnote>
  <w:footnote w:type="continuationSeparator" w:id="0">
    <w:p w14:paraId="269BD96E" w14:textId="77777777" w:rsidR="00295026" w:rsidRDefault="00295026" w:rsidP="00FA6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C24AB"/>
    <w:multiLevelType w:val="multilevel"/>
    <w:tmpl w:val="BE88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262EF0"/>
    <w:multiLevelType w:val="multilevel"/>
    <w:tmpl w:val="C25E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622485">
    <w:abstractNumId w:val="0"/>
  </w:num>
  <w:num w:numId="2" w16cid:durableId="861361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4A"/>
    <w:rsid w:val="00016434"/>
    <w:rsid w:val="00020C4A"/>
    <w:rsid w:val="00067E80"/>
    <w:rsid w:val="00123681"/>
    <w:rsid w:val="00155755"/>
    <w:rsid w:val="00160A8B"/>
    <w:rsid w:val="0021501F"/>
    <w:rsid w:val="002248F1"/>
    <w:rsid w:val="00295026"/>
    <w:rsid w:val="002D5055"/>
    <w:rsid w:val="003C4E7B"/>
    <w:rsid w:val="00456771"/>
    <w:rsid w:val="006E6ABF"/>
    <w:rsid w:val="007E1A56"/>
    <w:rsid w:val="00B51998"/>
    <w:rsid w:val="00B97400"/>
    <w:rsid w:val="00C624A4"/>
    <w:rsid w:val="00E60B0F"/>
    <w:rsid w:val="00FA60F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CC87"/>
  <w15:chartTrackingRefBased/>
  <w15:docId w15:val="{FE4376A9-413A-479F-8ABE-76247FE17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998"/>
  </w:style>
  <w:style w:type="paragraph" w:styleId="Heading1">
    <w:name w:val="heading 1"/>
    <w:basedOn w:val="Normal"/>
    <w:next w:val="Normal"/>
    <w:link w:val="Heading1Char"/>
    <w:uiPriority w:val="9"/>
    <w:qFormat/>
    <w:rsid w:val="00020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C4A"/>
    <w:rPr>
      <w:rFonts w:eastAsiaTheme="majorEastAsia" w:cstheme="majorBidi"/>
      <w:color w:val="272727" w:themeColor="text1" w:themeTint="D8"/>
    </w:rPr>
  </w:style>
  <w:style w:type="paragraph" w:styleId="Title">
    <w:name w:val="Title"/>
    <w:basedOn w:val="Normal"/>
    <w:next w:val="Normal"/>
    <w:link w:val="TitleChar"/>
    <w:uiPriority w:val="10"/>
    <w:qFormat/>
    <w:rsid w:val="00020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C4A"/>
    <w:pPr>
      <w:spacing w:before="160"/>
      <w:jc w:val="center"/>
    </w:pPr>
    <w:rPr>
      <w:i/>
      <w:iCs/>
      <w:color w:val="404040" w:themeColor="text1" w:themeTint="BF"/>
    </w:rPr>
  </w:style>
  <w:style w:type="character" w:customStyle="1" w:styleId="QuoteChar">
    <w:name w:val="Quote Char"/>
    <w:basedOn w:val="DefaultParagraphFont"/>
    <w:link w:val="Quote"/>
    <w:uiPriority w:val="29"/>
    <w:rsid w:val="00020C4A"/>
    <w:rPr>
      <w:i/>
      <w:iCs/>
      <w:color w:val="404040" w:themeColor="text1" w:themeTint="BF"/>
    </w:rPr>
  </w:style>
  <w:style w:type="paragraph" w:styleId="ListParagraph">
    <w:name w:val="List Paragraph"/>
    <w:basedOn w:val="Normal"/>
    <w:uiPriority w:val="34"/>
    <w:qFormat/>
    <w:rsid w:val="00020C4A"/>
    <w:pPr>
      <w:ind w:left="720"/>
      <w:contextualSpacing/>
    </w:pPr>
  </w:style>
  <w:style w:type="character" w:styleId="IntenseEmphasis">
    <w:name w:val="Intense Emphasis"/>
    <w:basedOn w:val="DefaultParagraphFont"/>
    <w:uiPriority w:val="21"/>
    <w:qFormat/>
    <w:rsid w:val="00020C4A"/>
    <w:rPr>
      <w:i/>
      <w:iCs/>
      <w:color w:val="0F4761" w:themeColor="accent1" w:themeShade="BF"/>
    </w:rPr>
  </w:style>
  <w:style w:type="paragraph" w:styleId="IntenseQuote">
    <w:name w:val="Intense Quote"/>
    <w:basedOn w:val="Normal"/>
    <w:next w:val="Normal"/>
    <w:link w:val="IntenseQuoteChar"/>
    <w:uiPriority w:val="30"/>
    <w:qFormat/>
    <w:rsid w:val="00020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C4A"/>
    <w:rPr>
      <w:i/>
      <w:iCs/>
      <w:color w:val="0F4761" w:themeColor="accent1" w:themeShade="BF"/>
    </w:rPr>
  </w:style>
  <w:style w:type="character" w:styleId="IntenseReference">
    <w:name w:val="Intense Reference"/>
    <w:basedOn w:val="DefaultParagraphFont"/>
    <w:uiPriority w:val="32"/>
    <w:qFormat/>
    <w:rsid w:val="00020C4A"/>
    <w:rPr>
      <w:b/>
      <w:bCs/>
      <w:smallCaps/>
      <w:color w:val="0F4761" w:themeColor="accent1" w:themeShade="BF"/>
      <w:spacing w:val="5"/>
    </w:rPr>
  </w:style>
  <w:style w:type="table" w:styleId="GridTable5Dark-Accent1">
    <w:name w:val="Grid Table 5 Dark Accent 1"/>
    <w:basedOn w:val="TableNormal"/>
    <w:uiPriority w:val="50"/>
    <w:rsid w:val="00020C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FA6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0FC"/>
  </w:style>
  <w:style w:type="paragraph" w:styleId="Footer">
    <w:name w:val="footer"/>
    <w:basedOn w:val="Normal"/>
    <w:link w:val="FooterChar"/>
    <w:uiPriority w:val="99"/>
    <w:unhideWhenUsed/>
    <w:rsid w:val="00FA6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FFD26-6CEB-41AB-B542-9C85AE675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Chaganti</dc:creator>
  <cp:keywords/>
  <dc:description/>
  <cp:lastModifiedBy>Naga Chaganti</cp:lastModifiedBy>
  <cp:revision>4</cp:revision>
  <dcterms:created xsi:type="dcterms:W3CDTF">2026-02-25T05:21:00Z</dcterms:created>
  <dcterms:modified xsi:type="dcterms:W3CDTF">2026-02-25T07:30:00Z</dcterms:modified>
</cp:coreProperties>
</file>