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芯动联科（688582.SH）股票分析报告</w:t>
      </w:r>
    </w:p>
    <w:p/>
    <w:p>
      <w:r>
        <w:t>完整版</w:t>
      </w:r>
    </w:p>
    <w:p/>
    <w:p>
      <w:r>
        <w:t>报告生成日期：2026年06月28日</w:t>
      </w:r>
    </w:p>
    <w:p>
      <w:r>
        <w:t>数据期间：2025-06-30 至 2026-06-26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公司概况</w:t>
      </w:r>
    </w:p>
    <w:p>
      <w:r>
        <w:t>2. K线分析</w:t>
      </w:r>
    </w:p>
    <w:p>
      <w:r>
        <w:t>3. 基本面分析</w:t>
      </w:r>
    </w:p>
    <w:p>
      <w:r>
        <w:t>4. 技术面分析</w:t>
      </w:r>
    </w:p>
    <w:p>
      <w:r>
        <w:t>5. 投资建议</w:t>
      </w:r>
    </w:p>
    <w:p>
      <w:r>
        <w:t>6. 风险提示</w:t>
      </w:r>
    </w:p>
    <w:p>
      <w:r>
        <w:br w:type="page"/>
      </w:r>
    </w:p>
    <w:p>
      <w:pPr>
        <w:pStyle w:val="Heading1"/>
      </w:pPr>
      <w:r>
        <w:t>1. 公司概况</w:t>
      </w:r>
    </w:p>
    <w:p>
      <w:r>
        <w:t>芯动联科（688582.SH）是一家专注于MEMS惯性传感器芯片研发、生产和销售的高新技术企业。公司产品广泛应用于消费电子、汽车电子、工业控制等领域。</w:t>
      </w:r>
    </w:p>
    <w:p>
      <w:r>
        <w:t>最新收盘价：63.66元</w:t>
      </w:r>
    </w:p>
    <w:p>
      <w:r>
        <w:t>总市值：255.75亿元</w:t>
      </w:r>
    </w:p>
    <w:p>
      <w:r>
        <w:t>市盈率PE(TTM)：97.76</w:t>
      </w:r>
    </w:p>
    <w:p>
      <w:r>
        <w:t>市净率PB：10.31</w:t>
      </w:r>
    </w:p>
    <w:p>
      <w:r>
        <w:br w:type="page"/>
      </w:r>
    </w:p>
    <w:p>
      <w:pPr>
        <w:pStyle w:val="Heading1"/>
      </w:pPr>
      <w:r>
        <w:t>2. K线分析</w:t>
      </w:r>
    </w:p>
    <w:p>
      <w:r>
        <w:t>图1展示了芯动联科的K线走势及移动平均线分析。</w:t>
      </w:r>
    </w:p>
    <w:p>
      <w:r>
        <w:drawing>
          <wp:inline xmlns:a="http://schemas.openxmlformats.org/drawingml/2006/main" xmlns:pic="http://schemas.openxmlformats.org/drawingml/2006/picture">
            <wp:extent cx="5486400" cy="3122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K线图与均线分析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数据来源：Tushare金融数据接口</w:t>
      </w:r>
    </w:p>
    <w:p>
      <w:r>
        <w:br/>
        <w:t>解读：</w:t>
      </w:r>
    </w:p>
    <w:p>
      <w:r>
        <w:t>• 当前股价位于MA5均线之上，短期趋势偏强。</w:t>
      </w:r>
    </w:p>
    <w:p>
      <w:r>
        <w:br w:type="page"/>
      </w:r>
    </w:p>
    <w:p>
      <w:pPr>
        <w:pStyle w:val="Heading1"/>
      </w:pPr>
      <w:r>
        <w:t>3. 基本面分析</w:t>
      </w:r>
    </w:p>
    <w:p>
      <w:r>
        <w:t>图5展示了公司的估值指标变化。</w:t>
      </w:r>
    </w:p>
    <w:p>
      <w:r>
        <w:drawing>
          <wp:inline xmlns:a="http://schemas.openxmlformats.org/drawingml/2006/main" xmlns:pic="http://schemas.openxmlformats.org/drawingml/2006/picture">
            <wp:extent cx="5486400" cy="4076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估值指标分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估值分析：</w:t>
      </w:r>
    </w:p>
    <w:p>
      <w:r>
        <w:t>• 当前市盈率PE为84.29倍，PE(TTM)为97.76倍</w:t>
      </w:r>
    </w:p>
    <w:p>
      <w:r>
        <w:t>• 当前市净率PB为10.31倍</w:t>
      </w:r>
    </w:p>
    <w:p>
      <w:r>
        <w:t>• 当前市销率PS为48.83倍</w:t>
      </w:r>
    </w:p>
    <w:p>
      <w:r>
        <w:t>• 总市值为255.75亿元</w:t>
      </w:r>
    </w:p>
    <w:p>
      <w:r>
        <w:br w:type="page"/>
      </w:r>
    </w:p>
    <w:p>
      <w:pPr>
        <w:pStyle w:val="Heading1"/>
      </w:pPr>
      <w:r>
        <w:t>4. 技术面分析</w:t>
      </w:r>
    </w:p>
    <w:p>
      <w:r>
        <w:t>4.1 MACD指标</w:t>
      </w:r>
    </w:p>
    <w:p>
      <w:r>
        <w:drawing>
          <wp:inline xmlns:a="http://schemas.openxmlformats.org/drawingml/2006/main" xmlns:pic="http://schemas.openxmlformats.org/drawingml/2006/picture">
            <wp:extent cx="5486400" cy="3912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MACD指标分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MACD柱状图为正数(2.789)，显示多头力量占优。</w:t>
      </w:r>
    </w:p>
    <w:p>
      <w:r>
        <w:br/>
        <w:t>4.2 RSI和KDJ指标</w:t>
      </w:r>
    </w:p>
    <w:p>
      <w:r>
        <w:drawing>
          <wp:inline xmlns:a="http://schemas.openxmlformats.org/drawingml/2006/main" xmlns:pic="http://schemas.openxmlformats.org/drawingml/2006/picture">
            <wp:extent cx="5486400" cy="3908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RSI和KDJ指标分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8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RSI为81.55，处于超买区间，注意回调风险。</w:t>
      </w:r>
    </w:p>
    <w:p>
      <w:r>
        <w:br/>
        <w:t>4.3 布林带指标</w:t>
      </w:r>
    </w:p>
    <w:p>
      <w:r>
        <w:drawing>
          <wp:inline xmlns:a="http://schemas.openxmlformats.org/drawingml/2006/main" xmlns:pic="http://schemas.openxmlformats.org/drawingml/2006/picture">
            <wp:extent cx="5486400" cy="31222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布林带指标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4.4 换手率和量比</w:t>
      </w:r>
    </w:p>
    <w:p>
      <w:r>
        <w:drawing>
          <wp:inline xmlns:a="http://schemas.openxmlformats.org/drawingml/2006/main" xmlns:pic="http://schemas.openxmlformats.org/drawingml/2006/picture">
            <wp:extent cx="5486400" cy="39102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换手率和量比分析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0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最新换手率为7.21%，量比为1.68。</w:t>
      </w:r>
    </w:p>
    <w:p>
      <w:r>
        <w:br w:type="page"/>
      </w:r>
    </w:p>
    <w:p>
      <w:pPr>
        <w:pStyle w:val="Heading1"/>
      </w:pPr>
      <w:r>
        <w:t>5. 投资建议</w:t>
      </w:r>
    </w:p>
    <w:p>
      <w:r>
        <w:t>综合以上分析，给出以下投资建议：</w:t>
      </w:r>
    </w:p>
    <w:p>
      <w:r>
        <w:t>• 建议投资者密切关注技术指标变化</w:t>
      </w:r>
    </w:p>
    <w:p>
      <w:r>
        <w:t>• 注意估值水平是否合理</w:t>
      </w:r>
    </w:p>
    <w:p>
      <w:r>
        <w:t>• 关注行业政策和市场情绪变化</w:t>
      </w:r>
    </w:p>
    <w:p>
      <w:r>
        <w:t>• 控制仓位，做好风险管理</w:t>
      </w:r>
    </w:p>
    <w:p>
      <w:r>
        <w:br w:type="page"/>
      </w:r>
    </w:p>
    <w:p>
      <w:pPr>
        <w:pStyle w:val="Heading1"/>
      </w:pPr>
      <w:r>
        <w:t>6. 风险提示</w:t>
      </w:r>
    </w:p>
    <w:p>
      <w:r>
        <w:t>• 股市有风险，投资需谨慎</w:t>
      </w:r>
    </w:p>
    <w:p>
      <w:r>
        <w:t>• 本报告仅供参考，不构成投资建议</w:t>
      </w:r>
    </w:p>
    <w:p>
      <w:r>
        <w:t>• 技术指标存在滞后性，需结合其他因素综合判断</w:t>
      </w:r>
    </w:p>
    <w:p>
      <w:r>
        <w:t>• 市场环境和政策变化可能影响股价走势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