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2233F"/>
          <w:sz w:val="52"/>
          <w:szCs w:val="52"/>
        </w:rPr>
        <w:t xml:space="preserve">DPC Self-Service Whitelisting Portal</w:t>
      </w:r>
    </w:p>
    <w:p>
      <w:pPr>
        <w:spacing w:after="60"/>
        <w:jc w:val="center"/>
      </w:pPr>
      <w:r>
        <w:rPr>
          <w:color w:val="2E4B6B"/>
          <w:sz w:val="32"/>
          <w:szCs w:val="32"/>
        </w:rPr>
        <w:t xml:space="preserve">Documentation &amp; Operations Runbook</w:t>
      </w:r>
    </w:p>
    <w:p>
      <w:pPr>
        <w:spacing w:after="600"/>
        <w:jc w:val="center"/>
      </w:pPr>
      <w:r>
        <w:rPr>
          <w:i/>
          <w:iCs/>
          <w:color w:val="5B6B7C"/>
          <w:sz w:val="24"/>
          <w:szCs w:val="24"/>
        </w:rPr>
        <w:t xml:space="preserve">Org / Bitbucket-backed deployment</w:t>
      </w:r>
    </w:p>
    <w:p>
      <w:pPr>
        <w:spacing w:after="40"/>
        <w:jc w:val="center"/>
      </w:pPr>
      <w:r>
        <w:rPr>
          <w:color w:val="5B6B7C"/>
          <w:sz w:val="22"/>
          <w:szCs w:val="22"/>
        </w:rPr>
        <w:t xml:space="preserve">September 2026</w:t>
      </w:r>
    </w:p>
    <w:p>
      <w:pPr>
        <w:spacing w:after="800"/>
        <w:jc w:val="center"/>
      </w:pPr>
      <w:r>
        <w:rPr>
          <w:color w:val="5B6B7C"/>
          <w:sz w:val="20"/>
          <w:szCs w:val="20"/>
        </w:rPr>
        <w:t xml:space="preserve">Covers: architecture, the requester experience, deployment, day-2 operations, and troubleshooting</w:t>
      </w:r>
    </w:p>
    <w:p>
      <w:r>
        <w:br w:type="page"/>
      </w:r>
    </w:p>
    <w:p>
      <w:pPr>
        <w:pStyle w:val="Heading1"/>
        <w:spacing w:after="200" w:before="420"/>
      </w:pPr>
      <w:r>
        <w:t xml:space="preserve">Table of Contents</w:t>
      </w:r>
    </w:p>
    <w:p>
      <w:pPr>
        <w:spacing w:after="240"/>
      </w:pPr>
      <w:r>
        <w:rPr>
          <w:i/>
          <w:iCs/>
          <w:color w:val="5B6B7C"/>
          <w:sz w:val="18"/>
          <w:szCs w:val="18"/>
        </w:rPr>
        <w:t xml:space="preserve">This list updates automatically — right-click anywhere in it and choose “Update Field” (or press Ctrl+A then F9) to populate page numbers after opening this document.</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20"/>
      </w:pPr>
      <w:r>
        <w:t xml:space="preserve">1. Overview</w:t>
      </w:r>
    </w:p>
    <w:p>
      <w:pPr>
        <w:spacing w:after="160" w:line="276"/>
      </w:pPr>
      <w:r>
        <w:t xml:space="preserve">The DPC Self-Service Whitelisting Portal lets application teams request AWS resource access (S3 buckets, Secrets Manager secrets, KMS keys, and Lambda functions, per market and per environment) without a person manually editing a YAML config file and opening a pull request by hand. A requester fills out a form in the portal; the portal opens a pull request against the org's Bitbucket-hosted config repository on the requester's behalf, routes it to the configured approvers, and tracks the request's status end-to-end as that pull request (and the subsequent dev → qa → master promotion pull requests) move through review and merge.</w:t>
      </w:r>
    </w:p>
    <w:p>
      <w:pPr>
        <w:spacing w:after="160" w:line="276"/>
      </w:pPr>
      <w:r>
        <w:t xml:space="preserve">This document has two audiences. Sections 4 is written for requesters — anyone submitting a whitelist request and checking on it. Sections 5 through 8 are written for the engineers who deploy, operate, and troubleshoot the portal itself.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rPr>
          <w:tblHeader/>
        </w:trPr>
        <w:tc>
          <w:tcPr>
            <w:tcW w:type="dxa" w:w="2400"/>
            <w:shd w:fill="12233F" w:val="clear"/>
            <w:tcMar>
              <w:top w:type="dxa" w:w="90"/>
              <w:left w:type="dxa" w:w="120"/>
              <w:bottom w:type="dxa" w:w="90"/>
              <w:right w:type="dxa" w:w="120"/>
            </w:tcMar>
            <w:vAlign w:val="center"/>
          </w:tcPr>
          <w:p>
            <w:pPr>
              <w:jc w:val="left"/>
            </w:pPr>
            <w:r>
              <w:rPr>
                <w:b/>
                <w:bCs/>
                <w:color w:val="FFFFFF"/>
                <w:sz w:val="19"/>
                <w:szCs w:val="19"/>
              </w:rPr>
              <w:t xml:space="preserve">Section</w:t>
            </w:r>
          </w:p>
        </w:tc>
        <w:tc>
          <w:tcPr>
            <w:tcW w:type="dxa" w:w="1800"/>
            <w:shd w:fill="12233F" w:val="clear"/>
            <w:tcMar>
              <w:top w:type="dxa" w:w="90"/>
              <w:left w:type="dxa" w:w="120"/>
              <w:bottom w:type="dxa" w:w="90"/>
              <w:right w:type="dxa" w:w="120"/>
            </w:tcMar>
            <w:vAlign w:val="center"/>
          </w:tcPr>
          <w:p>
            <w:pPr>
              <w:jc w:val="left"/>
            </w:pPr>
            <w:r>
              <w:rPr>
                <w:b/>
                <w:bCs/>
                <w:color w:val="FFFFFF"/>
                <w:sz w:val="19"/>
                <w:szCs w:val="19"/>
              </w:rPr>
              <w:t xml:space="preserve">Audience</w:t>
            </w:r>
          </w:p>
        </w:tc>
        <w:tc>
          <w:tcPr>
            <w:tcW w:type="dxa" w:w="5150"/>
            <w:shd w:fill="12233F" w:val="clear"/>
            <w:tcMar>
              <w:top w:type="dxa" w:w="90"/>
              <w:left w:type="dxa" w:w="120"/>
              <w:bottom w:type="dxa" w:w="90"/>
              <w:right w:type="dxa" w:w="120"/>
            </w:tcMar>
            <w:vAlign w:val="center"/>
          </w:tcPr>
          <w:p>
            <w:pPr>
              <w:jc w:val="left"/>
            </w:pPr>
            <w:r>
              <w:rPr>
                <w:b/>
                <w:bCs/>
                <w:color w:val="FFFFFF"/>
                <w:sz w:val="19"/>
                <w:szCs w:val="19"/>
              </w:rPr>
              <w:t xml:space="preserve">Purpose</w:t>
            </w:r>
          </w:p>
        </w:tc>
      </w:tr>
      <w:tr>
        <w:tc>
          <w:tcPr>
            <w:tcW w:type="dxa" w:w="2400"/>
            <w:tcMar>
              <w:top w:type="dxa" w:w="90"/>
              <w:left w:type="dxa" w:w="120"/>
              <w:bottom w:type="dxa" w:w="90"/>
              <w:right w:type="dxa" w:w="120"/>
            </w:tcMar>
            <w:vAlign w:val="center"/>
          </w:tcPr>
          <w:p>
            <w:pPr>
              <w:jc w:val="left"/>
            </w:pPr>
            <w:r>
              <w:rPr>
                <w:b w:val="false"/>
                <w:bCs w:val="false"/>
                <w:color w:val="1B2733"/>
                <w:sz w:val="19"/>
                <w:szCs w:val="19"/>
              </w:rPr>
              <w:t xml:space="preserve">2. Architecture</w:t>
            </w:r>
          </w:p>
        </w:tc>
        <w:tc>
          <w:tcPr>
            <w:tcW w:type="dxa" w:w="1800"/>
            <w:tcMar>
              <w:top w:type="dxa" w:w="90"/>
              <w:left w:type="dxa" w:w="120"/>
              <w:bottom w:type="dxa" w:w="90"/>
              <w:right w:type="dxa" w:w="120"/>
            </w:tcMar>
            <w:vAlign w:val="center"/>
          </w:tcPr>
          <w:p>
            <w:pPr>
              <w:jc w:val="left"/>
            </w:pPr>
            <w:r>
              <w:rPr>
                <w:b w:val="false"/>
                <w:bCs w:val="false"/>
                <w:color w:val="1B2733"/>
                <w:sz w:val="19"/>
                <w:szCs w:val="19"/>
              </w:rPr>
              <w:t xml:space="preserve">Engineers</w:t>
            </w:r>
          </w:p>
        </w:tc>
        <w:tc>
          <w:tcPr>
            <w:tcW w:type="dxa" w:w="5150"/>
            <w:tcMar>
              <w:top w:type="dxa" w:w="90"/>
              <w:left w:type="dxa" w:w="120"/>
              <w:bottom w:type="dxa" w:w="90"/>
              <w:right w:type="dxa" w:w="120"/>
            </w:tcMar>
            <w:vAlign w:val="center"/>
          </w:tcPr>
          <w:p>
            <w:pPr>
              <w:jc w:val="left"/>
            </w:pPr>
            <w:r>
              <w:rPr>
                <w:b w:val="false"/>
                <w:bCs w:val="false"/>
                <w:color w:val="1B2733"/>
                <w:sz w:val="19"/>
                <w:szCs w:val="19"/>
              </w:rPr>
              <w:t xml:space="preserve">How the pieces fit together — one diagram, one component reference table.</w:t>
            </w:r>
          </w:p>
        </w:tc>
      </w:tr>
      <w:tr>
        <w:tc>
          <w:tcPr>
            <w:tcW w:type="dxa" w:w="24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3. Request Lifecycle</w:t>
            </w:r>
          </w:p>
        </w:tc>
        <w:tc>
          <w:tcPr>
            <w:tcW w:type="dxa" w:w="18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Both</w:t>
            </w:r>
          </w:p>
        </w:tc>
        <w:tc>
          <w:tcPr>
            <w:tcW w:type="dxa" w:w="51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Every status a request can be in, and what causes the transition.</w:t>
            </w:r>
          </w:p>
        </w:tc>
      </w:tr>
      <w:tr>
        <w:tc>
          <w:tcPr>
            <w:tcW w:type="dxa" w:w="2400"/>
            <w:tcMar>
              <w:top w:type="dxa" w:w="90"/>
              <w:left w:type="dxa" w:w="120"/>
              <w:bottom w:type="dxa" w:w="90"/>
              <w:right w:type="dxa" w:w="120"/>
            </w:tcMar>
            <w:vAlign w:val="center"/>
          </w:tcPr>
          <w:p>
            <w:pPr>
              <w:jc w:val="left"/>
            </w:pPr>
            <w:r>
              <w:rPr>
                <w:b w:val="false"/>
                <w:bCs w:val="false"/>
                <w:color w:val="1B2733"/>
                <w:sz w:val="19"/>
                <w:szCs w:val="19"/>
              </w:rPr>
              <w:t xml:space="preserve">4. Requester Guide</w:t>
            </w:r>
          </w:p>
        </w:tc>
        <w:tc>
          <w:tcPr>
            <w:tcW w:type="dxa" w:w="1800"/>
            <w:tcMar>
              <w:top w:type="dxa" w:w="90"/>
              <w:left w:type="dxa" w:w="120"/>
              <w:bottom w:type="dxa" w:w="90"/>
              <w:right w:type="dxa" w:w="120"/>
            </w:tcMar>
            <w:vAlign w:val="center"/>
          </w:tcPr>
          <w:p>
            <w:pPr>
              <w:jc w:val="left"/>
            </w:pPr>
            <w:r>
              <w:rPr>
                <w:b w:val="false"/>
                <w:bCs w:val="false"/>
                <w:color w:val="1B2733"/>
                <w:sz w:val="19"/>
                <w:szCs w:val="19"/>
              </w:rPr>
              <w:t xml:space="preserve">Requesters</w:t>
            </w:r>
          </w:p>
        </w:tc>
        <w:tc>
          <w:tcPr>
            <w:tcW w:type="dxa" w:w="5150"/>
            <w:tcMar>
              <w:top w:type="dxa" w:w="90"/>
              <w:left w:type="dxa" w:w="120"/>
              <w:bottom w:type="dxa" w:w="90"/>
              <w:right w:type="dxa" w:w="120"/>
            </w:tcMar>
            <w:vAlign w:val="center"/>
          </w:tcPr>
          <w:p>
            <w:pPr>
              <w:jc w:val="left"/>
            </w:pPr>
            <w:r>
              <w:rPr>
                <w:b w:val="false"/>
                <w:bCs w:val="false"/>
                <w:color w:val="1B2733"/>
                <w:sz w:val="19"/>
                <w:szCs w:val="19"/>
              </w:rPr>
              <w:t xml:space="preserve">How to log in, submit a request, and read its status.</w:t>
            </w:r>
          </w:p>
        </w:tc>
      </w:tr>
      <w:tr>
        <w:tc>
          <w:tcPr>
            <w:tcW w:type="dxa" w:w="24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5. Deployment &amp; Configuration</w:t>
            </w:r>
          </w:p>
        </w:tc>
        <w:tc>
          <w:tcPr>
            <w:tcW w:type="dxa" w:w="18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Engineers</w:t>
            </w:r>
          </w:p>
        </w:tc>
        <w:tc>
          <w:tcPr>
            <w:tcW w:type="dxa" w:w="51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Prerequisites, automated and manual setup, the variables reference.</w:t>
            </w:r>
          </w:p>
        </w:tc>
      </w:tr>
      <w:tr>
        <w:tc>
          <w:tcPr>
            <w:tcW w:type="dxa" w:w="2400"/>
            <w:tcMar>
              <w:top w:type="dxa" w:w="90"/>
              <w:left w:type="dxa" w:w="120"/>
              <w:bottom w:type="dxa" w:w="90"/>
              <w:right w:type="dxa" w:w="120"/>
            </w:tcMar>
            <w:vAlign w:val="center"/>
          </w:tcPr>
          <w:p>
            <w:pPr>
              <w:jc w:val="left"/>
            </w:pPr>
            <w:r>
              <w:rPr>
                <w:b w:val="false"/>
                <w:bCs w:val="false"/>
                <w:color w:val="1B2733"/>
                <w:sz w:val="19"/>
                <w:szCs w:val="19"/>
              </w:rPr>
              <w:t xml:space="preserve">6. Day-2 Operations</w:t>
            </w:r>
          </w:p>
        </w:tc>
        <w:tc>
          <w:tcPr>
            <w:tcW w:type="dxa" w:w="1800"/>
            <w:tcMar>
              <w:top w:type="dxa" w:w="90"/>
              <w:left w:type="dxa" w:w="120"/>
              <w:bottom w:type="dxa" w:w="90"/>
              <w:right w:type="dxa" w:w="120"/>
            </w:tcMar>
            <w:vAlign w:val="center"/>
          </w:tcPr>
          <w:p>
            <w:pPr>
              <w:jc w:val="left"/>
            </w:pPr>
            <w:r>
              <w:rPr>
                <w:b w:val="false"/>
                <w:bCs w:val="false"/>
                <w:color w:val="1B2733"/>
                <w:sz w:val="19"/>
                <w:szCs w:val="19"/>
              </w:rPr>
              <w:t xml:space="preserve">Engineers / on-call</w:t>
            </w:r>
          </w:p>
        </w:tc>
        <w:tc>
          <w:tcPr>
            <w:tcW w:type="dxa" w:w="5150"/>
            <w:tcMar>
              <w:top w:type="dxa" w:w="90"/>
              <w:left w:type="dxa" w:w="120"/>
              <w:bottom w:type="dxa" w:w="90"/>
              <w:right w:type="dxa" w:w="120"/>
            </w:tcMar>
            <w:vAlign w:val="center"/>
          </w:tcPr>
          <w:p>
            <w:pPr>
              <w:jc w:val="left"/>
            </w:pPr>
            <w:r>
              <w:rPr>
                <w:b w:val="false"/>
                <w:bCs w:val="false"/>
                <w:color w:val="1B2733"/>
                <w:sz w:val="19"/>
                <w:szCs w:val="19"/>
              </w:rPr>
              <w:t xml:space="preserve">What to monitor, what the sweep and DLQ do, routine maintenance.</w:t>
            </w:r>
          </w:p>
        </w:tc>
      </w:tr>
      <w:tr>
        <w:tc>
          <w:tcPr>
            <w:tcW w:type="dxa" w:w="24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7. Troubleshooting</w:t>
            </w:r>
          </w:p>
        </w:tc>
        <w:tc>
          <w:tcPr>
            <w:tcW w:type="dxa" w:w="18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Engineers / on-call</w:t>
            </w:r>
          </w:p>
        </w:tc>
        <w:tc>
          <w:tcPr>
            <w:tcW w:type="dxa" w:w="51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Every issue found and fixed while standing this stack up, symptom → cause → fix.</w:t>
            </w:r>
          </w:p>
        </w:tc>
      </w:tr>
      <w:tr>
        <w:tc>
          <w:tcPr>
            <w:tcW w:type="dxa" w:w="2400"/>
            <w:tcMar>
              <w:top w:type="dxa" w:w="90"/>
              <w:left w:type="dxa" w:w="120"/>
              <w:bottom w:type="dxa" w:w="90"/>
              <w:right w:type="dxa" w:w="120"/>
            </w:tcMar>
            <w:vAlign w:val="center"/>
          </w:tcPr>
          <w:p>
            <w:pPr>
              <w:jc w:val="left"/>
            </w:pPr>
            <w:r>
              <w:rPr>
                <w:b w:val="false"/>
                <w:bCs w:val="false"/>
                <w:color w:val="1B2733"/>
                <w:sz w:val="19"/>
                <w:szCs w:val="19"/>
              </w:rPr>
              <w:t xml:space="preserve">8. Security &amp; Secrets</w:t>
            </w:r>
          </w:p>
        </w:tc>
        <w:tc>
          <w:tcPr>
            <w:tcW w:type="dxa" w:w="1800"/>
            <w:tcMar>
              <w:top w:type="dxa" w:w="90"/>
              <w:left w:type="dxa" w:w="120"/>
              <w:bottom w:type="dxa" w:w="90"/>
              <w:right w:type="dxa" w:w="120"/>
            </w:tcMar>
            <w:vAlign w:val="center"/>
          </w:tcPr>
          <w:p>
            <w:pPr>
              <w:jc w:val="left"/>
            </w:pPr>
            <w:r>
              <w:rPr>
                <w:b w:val="false"/>
                <w:bCs w:val="false"/>
                <w:color w:val="1B2733"/>
                <w:sz w:val="19"/>
                <w:szCs w:val="19"/>
              </w:rPr>
              <w:t xml:space="preserve">Engineers</w:t>
            </w:r>
          </w:p>
        </w:tc>
        <w:tc>
          <w:tcPr>
            <w:tcW w:type="dxa" w:w="5150"/>
            <w:tcMar>
              <w:top w:type="dxa" w:w="90"/>
              <w:left w:type="dxa" w:w="120"/>
              <w:bottom w:type="dxa" w:w="90"/>
              <w:right w:type="dxa" w:w="120"/>
            </w:tcMar>
            <w:vAlign w:val="center"/>
          </w:tcPr>
          <w:p>
            <w:pPr>
              <w:jc w:val="left"/>
            </w:pPr>
            <w:r>
              <w:rPr>
                <w:b w:val="false"/>
                <w:bCs w:val="false"/>
                <w:color w:val="1B2733"/>
                <w:sz w:val="19"/>
                <w:szCs w:val="19"/>
              </w:rPr>
              <w:t xml:space="preserve">What's stored where, and what must never be committed.</w:t>
            </w:r>
          </w:p>
        </w:tc>
      </w:tr>
    </w:tbl>
    <w:p>
      <w:pPr>
        <w:spacing w:after="160"/>
      </w:pPr>
    </w:p>
    <w:p>
      <w:pPr>
        <w:pBdr>
          <w:top w:val="single" w:color="EAF1FB" w:sz="2"/>
          <w:bottom w:val="single" w:color="EAF1FB" w:sz="2"/>
          <w:left w:val="single" w:color="2E4B6B" w:sz="24"/>
          <w:right w:val="single" w:color="EAF1FB" w:sz="2"/>
        </w:pBdr>
        <w:shd w:fill="EAF1FB" w:val="clear"/>
        <w:spacing w:after="200" w:before="80"/>
      </w:pPr>
      <w:r>
        <w:rPr>
          <w:b/>
          <w:bCs/>
          <w:color w:val="2E4B6B"/>
          <w:sz w:val="20"/>
          <w:szCs w:val="20"/>
        </w:rPr>
        <w:t xml:space="preserve">Note:  </w:t>
      </w:r>
      <w:r>
        <w:rPr>
          <w:color w:val="2A2A2A"/>
          <w:sz w:val="20"/>
          <w:szCs w:val="20"/>
        </w:rPr>
        <w:t xml:space="preserve">This document covers the org / Bitbucket-backed deployment (the terraform/ directory) only. A separate personal / GitHub-backed deployment (terraform-personal/) exists for individual sandbox testing and is out of scope here.</w:t>
      </w:r>
    </w:p>
    <w:p>
      <w:r>
        <w:br w:type="page"/>
      </w:r>
    </w:p>
    <w:p>
      <w:pPr>
        <w:pStyle w:val="Heading1"/>
        <w:spacing w:after="200" w:before="420"/>
      </w:pPr>
      <w:r>
        <w:t xml:space="preserve">2. Architecture</w:t>
      </w:r>
    </w:p>
    <w:p>
      <w:pPr>
        <w:spacing w:after="160" w:line="276"/>
      </w:pPr>
      <w:r>
        <w:t xml:space="preserve">The portal is a static single-page frontend talking to a small serverless backend. Two Lambda functions do all the work: the main Lambda handles everything the browser calls directly (creating a request, listing a user's requests, reading one request's detail, and receiving Bitbucket's webhook), and gitops does everything that talks to Bitbucket Server (creating branches, committing the YAML change, opening pull requests, and promoting a merged change from dev to qa to master).</w:t>
      </w:r>
    </w:p>
    <w:p>
      <w:pPr>
        <w:spacing w:after="120"/>
        <w:jc w:val="center"/>
      </w:pPr>
      <w:r>
        <w:drawing>
          <wp:inline distT="0" distB="0" distL="0" distR="0">
            <wp:extent cx="58293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3733800"/>
                    </a:xfrm>
                    <a:prstGeom prst="rect">
                      <a:avLst/>
                    </a:prstGeom>
                  </pic:spPr>
                </pic:pic>
              </a:graphicData>
            </a:graphic>
          </wp:inline>
        </w:drawing>
      </w:r>
    </w:p>
    <w:p>
      <w:pPr>
        <w:spacing w:after="160" w:line="276"/>
      </w:pPr>
      <w:r>
        <w:rPr>
          <w:i/>
          <w:iCs/>
          <w:color w:val="5B6B7C"/>
          <w:sz w:val="18"/>
          <w:szCs w:val="18"/>
        </w:rPr>
        <w:t xml:space="preserve">Figure 1. Component and data-flow diagram for the org / Bitbucket stack.</w:t>
      </w:r>
    </w:p>
    <w:p>
      <w:pPr>
        <w:pStyle w:val="Heading2"/>
        <w:spacing w:after="160" w:before="320"/>
      </w:pPr>
      <w:r>
        <w:t xml:space="preserve">2.1 Component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650"/>
        <w:gridCol w:w="4600"/>
      </w:tblGrid>
      <w:tr>
        <w:trPr>
          <w:tblHeader/>
        </w:trPr>
        <w:tc>
          <w:tcPr>
            <w:tcW w:type="dxa" w:w="2100"/>
            <w:shd w:fill="12233F" w:val="clear"/>
            <w:tcMar>
              <w:top w:type="dxa" w:w="90"/>
              <w:left w:type="dxa" w:w="120"/>
              <w:bottom w:type="dxa" w:w="90"/>
              <w:right w:type="dxa" w:w="120"/>
            </w:tcMar>
            <w:vAlign w:val="center"/>
          </w:tcPr>
          <w:p>
            <w:pPr>
              <w:jc w:val="left"/>
            </w:pPr>
            <w:r>
              <w:rPr>
                <w:b/>
                <w:bCs/>
                <w:color w:val="FFFFFF"/>
                <w:sz w:val="19"/>
                <w:szCs w:val="19"/>
              </w:rPr>
              <w:t xml:space="preserve">Component</w:t>
            </w:r>
          </w:p>
        </w:tc>
        <w:tc>
          <w:tcPr>
            <w:tcW w:type="dxa" w:w="2650"/>
            <w:shd w:fill="12233F" w:val="clear"/>
            <w:tcMar>
              <w:top w:type="dxa" w:w="90"/>
              <w:left w:type="dxa" w:w="120"/>
              <w:bottom w:type="dxa" w:w="90"/>
              <w:right w:type="dxa" w:w="120"/>
            </w:tcMar>
            <w:vAlign w:val="center"/>
          </w:tcPr>
          <w:p>
            <w:pPr>
              <w:jc w:val="left"/>
            </w:pPr>
            <w:r>
              <w:rPr>
                <w:b/>
                <w:bCs/>
                <w:color w:val="FFFFFF"/>
                <w:sz w:val="19"/>
                <w:szCs w:val="19"/>
              </w:rPr>
              <w:t xml:space="preserve">Terraform resource</w:t>
            </w:r>
          </w:p>
        </w:tc>
        <w:tc>
          <w:tcPr>
            <w:tcW w:type="dxa" w:w="4600"/>
            <w:shd w:fill="12233F" w:val="clear"/>
            <w:tcMar>
              <w:top w:type="dxa" w:w="90"/>
              <w:left w:type="dxa" w:w="120"/>
              <w:bottom w:type="dxa" w:w="90"/>
              <w:right w:type="dxa" w:w="120"/>
            </w:tcMar>
            <w:vAlign w:val="center"/>
          </w:tcPr>
          <w:p>
            <w:pPr>
              <w:jc w:val="left"/>
            </w:pPr>
            <w:r>
              <w:rPr>
                <w:b/>
                <w:bCs/>
                <w:color w:val="FFFFFF"/>
                <w:sz w:val="19"/>
                <w:szCs w:val="19"/>
              </w:rPr>
              <w:t xml:space="preserve">Role</w:t>
            </w:r>
          </w:p>
        </w:tc>
      </w:tr>
      <w:tr>
        <w:tc>
          <w:tcPr>
            <w:tcW w:type="dxa" w:w="2100"/>
            <w:tcMar>
              <w:top w:type="dxa" w:w="90"/>
              <w:left w:type="dxa" w:w="120"/>
              <w:bottom w:type="dxa" w:w="90"/>
              <w:right w:type="dxa" w:w="120"/>
            </w:tcMar>
            <w:vAlign w:val="center"/>
          </w:tcPr>
          <w:p>
            <w:pPr>
              <w:jc w:val="left"/>
            </w:pPr>
            <w:r>
              <w:rPr>
                <w:b w:val="false"/>
                <w:bCs w:val="false"/>
                <w:color w:val="1B2733"/>
                <w:sz w:val="19"/>
                <w:szCs w:val="19"/>
              </w:rPr>
              <w:t xml:space="preserve">Frontend</w:t>
            </w:r>
          </w:p>
        </w:tc>
        <w:tc>
          <w:tcPr>
            <w:tcW w:type="dxa" w:w="2650"/>
            <w:tcMar>
              <w:top w:type="dxa" w:w="90"/>
              <w:left w:type="dxa" w:w="120"/>
              <w:bottom w:type="dxa" w:w="90"/>
              <w:right w:type="dxa" w:w="120"/>
            </w:tcMar>
            <w:vAlign w:val="center"/>
          </w:tcPr>
          <w:p>
            <w:pPr>
              <w:jc w:val="left"/>
            </w:pPr>
            <w:r>
              <w:rPr>
                <w:b w:val="false"/>
                <w:bCs w:val="false"/>
                <w:color w:val="1B2733"/>
                <w:sz w:val="19"/>
                <w:szCs w:val="19"/>
              </w:rPr>
              <w:t xml:space="preserve">(not in this module)</w:t>
            </w:r>
          </w:p>
        </w:tc>
        <w:tc>
          <w:tcPr>
            <w:tcW w:type="dxa" w:w="4600"/>
            <w:tcMar>
              <w:top w:type="dxa" w:w="90"/>
              <w:left w:type="dxa" w:w="120"/>
              <w:bottom w:type="dxa" w:w="90"/>
              <w:right w:type="dxa" w:w="120"/>
            </w:tcMar>
            <w:vAlign w:val="center"/>
          </w:tcPr>
          <w:p>
            <w:pPr>
              <w:jc w:val="left"/>
            </w:pPr>
            <w:r>
              <w:rPr>
                <w:b w:val="false"/>
                <w:bCs w:val="false"/>
                <w:color w:val="1B2733"/>
                <w:sz w:val="19"/>
                <w:szCs w:val="19"/>
              </w:rPr>
              <w:t xml:space="preserve">React + Vite SPA, MSAL/Azure AD login. Hosted on S3 + CloudFront that is managed outside this Terraform module — see §5.5.</w:t>
            </w:r>
          </w:p>
        </w:tc>
      </w:tr>
      <w:tr>
        <w:tc>
          <w:tcPr>
            <w:tcW w:type="dxa" w:w="21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API Gateway</w:t>
            </w:r>
          </w:p>
        </w:tc>
        <w:tc>
          <w:tcPr>
            <w:tcW w:type="dxa" w:w="26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aws_apigatewayv2_api.requests</w:t>
            </w:r>
          </w:p>
        </w:tc>
        <w:tc>
          <w:tcPr>
            <w:tcW w:type="dxa" w:w="46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HTTP API. Routes: POST /dpc/request, GET /dpc/listrequests, GET /dpc/requests/{request_id}, POST /dpc/bitbucket/webhook — all four target the main Lambda.</w:t>
            </w:r>
          </w:p>
        </w:tc>
      </w:tr>
      <w:tr>
        <w:tc>
          <w:tcPr>
            <w:tcW w:type="dxa" w:w="2100"/>
            <w:tcMar>
              <w:top w:type="dxa" w:w="90"/>
              <w:left w:type="dxa" w:w="120"/>
              <w:bottom w:type="dxa" w:w="90"/>
              <w:right w:type="dxa" w:w="120"/>
            </w:tcMar>
            <w:vAlign w:val="center"/>
          </w:tcPr>
          <w:p>
            <w:pPr>
              <w:jc w:val="left"/>
            </w:pPr>
            <w:r>
              <w:rPr>
                <w:b w:val="false"/>
                <w:bCs w:val="false"/>
                <w:color w:val="1B2733"/>
                <w:sz w:val="19"/>
                <w:szCs w:val="19"/>
              </w:rPr>
              <w:t xml:space="preserve">main Lambda</w:t>
            </w:r>
          </w:p>
        </w:tc>
        <w:tc>
          <w:tcPr>
            <w:tcW w:type="dxa" w:w="2650"/>
            <w:tcMar>
              <w:top w:type="dxa" w:w="90"/>
              <w:left w:type="dxa" w:w="120"/>
              <w:bottom w:type="dxa" w:w="90"/>
              <w:right w:type="dxa" w:w="120"/>
            </w:tcMar>
            <w:vAlign w:val="center"/>
          </w:tcPr>
          <w:p>
            <w:pPr>
              <w:jc w:val="left"/>
            </w:pPr>
            <w:r>
              <w:rPr>
                <w:b w:val="false"/>
                <w:bCs w:val="false"/>
                <w:color w:val="1B2733"/>
                <w:sz w:val="19"/>
                <w:szCs w:val="19"/>
              </w:rPr>
              <w:t xml:space="preserve">aws_lambda_function.request_api</w:t>
            </w:r>
          </w:p>
        </w:tc>
        <w:tc>
          <w:tcPr>
            <w:tcW w:type="dxa" w:w="4600"/>
            <w:tcMar>
              <w:top w:type="dxa" w:w="90"/>
              <w:left w:type="dxa" w:w="120"/>
              <w:bottom w:type="dxa" w:w="90"/>
              <w:right w:type="dxa" w:w="120"/>
            </w:tcMar>
            <w:vAlign w:val="center"/>
          </w:tcPr>
          <w:p>
            <w:pPr>
              <w:jc w:val="left"/>
            </w:pPr>
            <w:r>
              <w:rPr>
                <w:b w:val="false"/>
                <w:bCs w:val="false"/>
                <w:color w:val="1B2733"/>
                <w:sz w:val="19"/>
                <w:szCs w:val="19"/>
              </w:rPr>
              <w:t xml:space="preserve">lambda/handler.py. Creates requests, lists/reads them, and processes every Bitbucket webhook event.</w:t>
            </w:r>
          </w:p>
        </w:tc>
      </w:tr>
      <w:tr>
        <w:tc>
          <w:tcPr>
            <w:tcW w:type="dxa" w:w="21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gitops Lambda</w:t>
            </w:r>
          </w:p>
        </w:tc>
        <w:tc>
          <w:tcPr>
            <w:tcW w:type="dxa" w:w="26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aws_lambda_function.gitops</w:t>
            </w:r>
          </w:p>
        </w:tc>
        <w:tc>
          <w:tcPr>
            <w:tcW w:type="dxa" w:w="46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lambda-gitops/handler.py. Talks to Bitbucket Server: branch/commit/PR creation, promotion, and the scheduled sweep.</w:t>
            </w:r>
          </w:p>
        </w:tc>
      </w:tr>
      <w:tr>
        <w:tc>
          <w:tcPr>
            <w:tcW w:type="dxa" w:w="2100"/>
            <w:tcMar>
              <w:top w:type="dxa" w:w="90"/>
              <w:left w:type="dxa" w:w="120"/>
              <w:bottom w:type="dxa" w:w="90"/>
              <w:right w:type="dxa" w:w="120"/>
            </w:tcMar>
            <w:vAlign w:val="center"/>
          </w:tcPr>
          <w:p>
            <w:pPr>
              <w:jc w:val="left"/>
            </w:pPr>
            <w:r>
              <w:rPr>
                <w:b w:val="false"/>
                <w:bCs w:val="false"/>
                <w:color w:val="1B2733"/>
                <w:sz w:val="19"/>
                <w:szCs w:val="19"/>
              </w:rPr>
              <w:t xml:space="preserve">DynamoDB</w:t>
            </w:r>
          </w:p>
        </w:tc>
        <w:tc>
          <w:tcPr>
            <w:tcW w:type="dxa" w:w="2650"/>
            <w:tcMar>
              <w:top w:type="dxa" w:w="90"/>
              <w:left w:type="dxa" w:w="120"/>
              <w:bottom w:type="dxa" w:w="90"/>
              <w:right w:type="dxa" w:w="120"/>
            </w:tcMar>
            <w:vAlign w:val="center"/>
          </w:tcPr>
          <w:p>
            <w:pPr>
              <w:jc w:val="left"/>
            </w:pPr>
            <w:r>
              <w:rPr>
                <w:b w:val="false"/>
                <w:bCs w:val="false"/>
                <w:color w:val="1B2733"/>
                <w:sz w:val="19"/>
                <w:szCs w:val="19"/>
              </w:rPr>
              <w:t xml:space="preserve">aws_dynamodb_table.requests</w:t>
            </w:r>
          </w:p>
        </w:tc>
        <w:tc>
          <w:tcPr>
            <w:tcW w:type="dxa" w:w="4600"/>
            <w:tcMar>
              <w:top w:type="dxa" w:w="90"/>
              <w:left w:type="dxa" w:w="120"/>
              <w:bottom w:type="dxa" w:w="90"/>
              <w:right w:type="dxa" w:w="120"/>
            </w:tcMar>
            <w:vAlign w:val="center"/>
          </w:tcPr>
          <w:p>
            <w:pPr>
              <w:jc w:val="left"/>
            </w:pPr>
            <w:r>
              <w:rPr>
                <w:b w:val="false"/>
                <w:bCs w:val="false"/>
                <w:color w:val="1B2733"/>
                <w:sz w:val="19"/>
                <w:szCs w:val="19"/>
              </w:rPr>
              <w:t xml:space="preserve">Single table, hash key request_id, GSI submitted-by-created-at for “my requests” lookups. Holds the request payload, current status, and full history.</w:t>
            </w:r>
          </w:p>
        </w:tc>
      </w:tr>
      <w:tr>
        <w:tc>
          <w:tcPr>
            <w:tcW w:type="dxa" w:w="21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Secrets Manager</w:t>
            </w:r>
          </w:p>
        </w:tc>
        <w:tc>
          <w:tcPr>
            <w:tcW w:type="dxa" w:w="26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referenced via var.bitbucket_token_secret_name</w:t>
            </w:r>
          </w:p>
        </w:tc>
        <w:tc>
          <w:tcPr>
            <w:tcW w:type="dxa" w:w="46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Holds the Bitbucket HTTP access token. The secret itself is created once outside Terraform (see §5.2/5.3) — this module only reads it.</w:t>
            </w:r>
          </w:p>
        </w:tc>
      </w:tr>
      <w:tr>
        <w:tc>
          <w:tcPr>
            <w:tcW w:type="dxa" w:w="2100"/>
            <w:tcMar>
              <w:top w:type="dxa" w:w="90"/>
              <w:left w:type="dxa" w:w="120"/>
              <w:bottom w:type="dxa" w:w="90"/>
              <w:right w:type="dxa" w:w="120"/>
            </w:tcMar>
            <w:vAlign w:val="center"/>
          </w:tcPr>
          <w:p>
            <w:pPr>
              <w:jc w:val="left"/>
            </w:pPr>
            <w:r>
              <w:rPr>
                <w:b w:val="false"/>
                <w:bCs w:val="false"/>
                <w:color w:val="1B2733"/>
                <w:sz w:val="19"/>
                <w:szCs w:val="19"/>
              </w:rPr>
              <w:t xml:space="preserve">Bitbucket Server</w:t>
            </w:r>
          </w:p>
        </w:tc>
        <w:tc>
          <w:tcPr>
            <w:tcW w:type="dxa" w:w="2650"/>
            <w:tcMar>
              <w:top w:type="dxa" w:w="90"/>
              <w:left w:type="dxa" w:w="120"/>
              <w:bottom w:type="dxa" w:w="90"/>
              <w:right w:type="dxa" w:w="120"/>
            </w:tcMar>
            <w:vAlign w:val="center"/>
          </w:tcPr>
          <w:p>
            <w:pPr>
              <w:jc w:val="left"/>
            </w:pPr>
            <w:r>
              <w:rPr>
                <w:b w:val="false"/>
                <w:bCs w:val="false"/>
                <w:color w:val="1B2733"/>
                <w:sz w:val="19"/>
                <w:szCs w:val="19"/>
              </w:rPr>
              <w:t xml:space="preserve">external</w:t>
            </w:r>
          </w:p>
        </w:tc>
        <w:tc>
          <w:tcPr>
            <w:tcW w:type="dxa" w:w="4600"/>
            <w:tcMar>
              <w:top w:type="dxa" w:w="90"/>
              <w:left w:type="dxa" w:w="120"/>
              <w:bottom w:type="dxa" w:w="90"/>
              <w:right w:type="dxa" w:w="120"/>
            </w:tcMar>
            <w:vAlign w:val="center"/>
          </w:tcPr>
          <w:p>
            <w:pPr>
              <w:jc w:val="left"/>
            </w:pPr>
            <w:r>
              <w:rPr>
                <w:b w:val="false"/>
                <w:bCs w:val="false"/>
                <w:color w:val="1B2733"/>
                <w:sz w:val="19"/>
                <w:szCs w:val="19"/>
              </w:rPr>
              <w:t xml:space="preserve">Hosts the config repo (dev/qa/master branches, per-market values.&lt;env&gt;.yaml files) that the portal edits via PRs.</w:t>
            </w:r>
          </w:p>
        </w:tc>
      </w:tr>
      <w:tr>
        <w:tc>
          <w:tcPr>
            <w:tcW w:type="dxa" w:w="21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SQS DLQ (optional)</w:t>
            </w:r>
          </w:p>
        </w:tc>
        <w:tc>
          <w:tcPr>
            <w:tcW w:type="dxa" w:w="26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aws_sqs_queue.gitops_dlq</w:t>
            </w:r>
          </w:p>
        </w:tc>
        <w:tc>
          <w:tcPr>
            <w:tcW w:type="dxa" w:w="46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Lambda async on-failure destination for gitops. Only created when var.enable_gitops_dlq = true (see §6.3).</w:t>
            </w:r>
          </w:p>
        </w:tc>
      </w:tr>
      <w:tr>
        <w:tc>
          <w:tcPr>
            <w:tcW w:type="dxa" w:w="2100"/>
            <w:tcMar>
              <w:top w:type="dxa" w:w="90"/>
              <w:left w:type="dxa" w:w="120"/>
              <w:bottom w:type="dxa" w:w="90"/>
              <w:right w:type="dxa" w:w="120"/>
            </w:tcMar>
            <w:vAlign w:val="center"/>
          </w:tcPr>
          <w:p>
            <w:pPr>
              <w:jc w:val="left"/>
            </w:pPr>
            <w:r>
              <w:rPr>
                <w:b w:val="false"/>
                <w:bCs w:val="false"/>
                <w:color w:val="1B2733"/>
                <w:sz w:val="19"/>
                <w:szCs w:val="19"/>
              </w:rPr>
              <w:t xml:space="preserve">EventBridge rule</w:t>
            </w:r>
          </w:p>
        </w:tc>
        <w:tc>
          <w:tcPr>
            <w:tcW w:type="dxa" w:w="2650"/>
            <w:tcMar>
              <w:top w:type="dxa" w:w="90"/>
              <w:left w:type="dxa" w:w="120"/>
              <w:bottom w:type="dxa" w:w="90"/>
              <w:right w:type="dxa" w:w="120"/>
            </w:tcMar>
            <w:vAlign w:val="center"/>
          </w:tcPr>
          <w:p>
            <w:pPr>
              <w:jc w:val="left"/>
            </w:pPr>
            <w:r>
              <w:rPr>
                <w:b w:val="false"/>
                <w:bCs w:val="false"/>
                <w:color w:val="1B2733"/>
                <w:sz w:val="19"/>
                <w:szCs w:val="19"/>
              </w:rPr>
              <w:t xml:space="preserve">aws_cloudwatch_event_rule.gitops_sweep</w:t>
            </w:r>
          </w:p>
        </w:tc>
        <w:tc>
          <w:tcPr>
            <w:tcW w:type="dxa" w:w="4600"/>
            <w:tcMar>
              <w:top w:type="dxa" w:w="90"/>
              <w:left w:type="dxa" w:w="120"/>
              <w:bottom w:type="dxa" w:w="90"/>
              <w:right w:type="dxa" w:w="120"/>
            </w:tcMar>
            <w:vAlign w:val="center"/>
          </w:tcPr>
          <w:p>
            <w:pPr>
              <w:jc w:val="left"/>
            </w:pPr>
            <w:r>
              <w:rPr>
                <w:b w:val="false"/>
                <w:bCs w:val="false"/>
                <w:color w:val="1B2733"/>
                <w:sz w:val="19"/>
                <w:szCs w:val="19"/>
              </w:rPr>
              <w:t xml:space="preserve">Invokes gitops with action: SWEEP on a schedule (default every 10 minutes) to retry stuck syncs — see §6.2.</w:t>
            </w:r>
          </w:p>
        </w:tc>
      </w:tr>
      <w:tr>
        <w:tc>
          <w:tcPr>
            <w:tcW w:type="dxa" w:w="21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SES</w:t>
            </w:r>
          </w:p>
        </w:tc>
        <w:tc>
          <w:tcPr>
            <w:tcW w:type="dxa" w:w="26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referenced via var.domain</w:t>
            </w:r>
          </w:p>
        </w:tc>
        <w:tc>
          <w:tcPr>
            <w:tcW w:type="dxa" w:w="46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Sends approver notification emails (new PR / new promotion) and the requester's completion email.</w:t>
            </w:r>
          </w:p>
        </w:tc>
      </w:tr>
    </w:tbl>
    <w:p>
      <w:pPr>
        <w:pStyle w:val="Heading2"/>
        <w:spacing w:after="160" w:before="320"/>
      </w:pPr>
      <w:r>
        <w:t xml:space="preserve">2.2 Request data model</w:t>
      </w:r>
    </w:p>
    <w:p>
      <w:pPr>
        <w:spacing w:after="160" w:line="276"/>
      </w:pPr>
      <w:r>
        <w:t xml:space="preserve">Each whitelist request captures:</w:t>
      </w:r>
    </w:p>
    <w:p>
      <w:pPr>
        <w:pStyle w:val="ListParagraph"/>
        <w:numPr>
          <w:ilvl w:val="0"/>
          <w:numId w:val="1"/>
        </w:numPr>
        <w:spacing w:after="90" w:line="264"/>
      </w:pPr>
      <w:r>
        <w:t xml:space="preserve">Market code, market name, and a free-text business justification.</w:t>
      </w:r>
    </w:p>
    <w:p>
      <w:pPr>
        <w:pStyle w:val="ListParagraph"/>
        <w:numPr>
          <w:ilvl w:val="0"/>
          <w:numId w:val="1"/>
        </w:numPr>
        <w:spacing w:after="90" w:line="264"/>
      </w:pPr>
      <w:r>
        <w:t xml:space="preserve">The requester's identity (id, name, email) — used for the “my requests” list and the completion email.</w:t>
      </w:r>
    </w:p>
    <w:p>
      <w:pPr>
        <w:pStyle w:val="ListParagraph"/>
        <w:numPr>
          <w:ilvl w:val="0"/>
          <w:numId w:val="1"/>
        </w:numPr>
        <w:spacing w:after="90" w:line="264"/>
      </w:pPr>
      <w:r>
        <w:t xml:space="preserve">One or more environments (DEV / QA / PRD), each with the specific resources being requested: S3 buckets, Secrets Manager secrets, KMS keys, and Lambda functions (each identified by its ARN, or bucket name for S3).</w:t>
      </w:r>
    </w:p>
    <w:p>
      <w:pPr>
        <w:pStyle w:val="ListParagraph"/>
        <w:numPr>
          <w:ilvl w:val="0"/>
          <w:numId w:val="1"/>
        </w:numPr>
        <w:spacing w:after="90" w:line="264"/>
      </w:pPr>
      <w:r>
        <w:t xml:space="preserve">Which branches the request needs to pass through: DEV-only stays on dev; requesting QA also needs qa; requesting PRD needs qa then master (PRD can only be reached by first passing through QA).</w:t>
      </w:r>
    </w:p>
    <w:p>
      <w:pPr>
        <w:spacing w:after="160"/>
      </w:pPr>
    </w:p>
    <w:p>
      <w:r>
        <w:br w:type="page"/>
      </w:r>
    </w:p>
    <w:p>
      <w:pPr>
        <w:pStyle w:val="Heading1"/>
        <w:spacing w:after="200" w:before="420"/>
      </w:pPr>
      <w:r>
        <w:t xml:space="preserve">3. Request Lifecycle &amp; Status Reference</w:t>
      </w:r>
    </w:p>
    <w:p>
      <w:pPr>
        <w:spacing w:after="160" w:line="276"/>
      </w:pPr>
      <w:r>
        <w:t xml:space="preserve">A request's status is stored as a plain string on the DynamoDB item and is also appended to that item's history list on every transition (status, timestamp, and who/what performed it — always “System” today, since every transition is driven by a webhook or the sweep, never a person typing a status directly). The portal's request-detail screen renders this history as a timeline, showing each status exactly as stored — which is why you'll see the raw, underscored status names (e.g. DEV_MERGED_AWAITING_QA) rather than a friendlier label.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3500"/>
        <w:gridCol w:w="3200"/>
      </w:tblGrid>
      <w:tr>
        <w:trPr>
          <w:tblHeader/>
        </w:trPr>
        <w:tc>
          <w:tcPr>
            <w:tcW w:type="dxa" w:w="2650"/>
            <w:shd w:fill="12233F" w:val="clear"/>
            <w:tcMar>
              <w:top w:type="dxa" w:w="90"/>
              <w:left w:type="dxa" w:w="120"/>
              <w:bottom w:type="dxa" w:w="90"/>
              <w:right w:type="dxa" w:w="120"/>
            </w:tcMar>
            <w:vAlign w:val="center"/>
          </w:tcPr>
          <w:p>
            <w:pPr>
              <w:jc w:val="left"/>
            </w:pPr>
            <w:r>
              <w:rPr>
                <w:b/>
                <w:bCs/>
                <w:color w:val="FFFFFF"/>
                <w:sz w:val="19"/>
                <w:szCs w:val="19"/>
              </w:rPr>
              <w:t xml:space="preserve">Status</w:t>
            </w:r>
          </w:p>
        </w:tc>
        <w:tc>
          <w:tcPr>
            <w:tcW w:type="dxa" w:w="3500"/>
            <w:shd w:fill="12233F" w:val="clear"/>
            <w:tcMar>
              <w:top w:type="dxa" w:w="90"/>
              <w:left w:type="dxa" w:w="120"/>
              <w:bottom w:type="dxa" w:w="90"/>
              <w:right w:type="dxa" w:w="120"/>
            </w:tcMar>
            <w:vAlign w:val="center"/>
          </w:tcPr>
          <w:p>
            <w:pPr>
              <w:jc w:val="left"/>
            </w:pPr>
            <w:r>
              <w:rPr>
                <w:b/>
                <w:bCs/>
                <w:color w:val="FFFFFF"/>
                <w:sz w:val="19"/>
                <w:szCs w:val="19"/>
              </w:rPr>
              <w:t xml:space="preserve">Meaning</w:t>
            </w:r>
          </w:p>
        </w:tc>
        <w:tc>
          <w:tcPr>
            <w:tcW w:type="dxa" w:w="3200"/>
            <w:shd w:fill="12233F" w:val="clear"/>
            <w:tcMar>
              <w:top w:type="dxa" w:w="90"/>
              <w:left w:type="dxa" w:w="120"/>
              <w:bottom w:type="dxa" w:w="90"/>
              <w:right w:type="dxa" w:w="120"/>
            </w:tcMar>
            <w:vAlign w:val="center"/>
          </w:tcPr>
          <w:p>
            <w:pPr>
              <w:jc w:val="left"/>
            </w:pPr>
            <w:r>
              <w:rPr>
                <w:b/>
                <w:bCs/>
                <w:color w:val="FFFFFF"/>
                <w:sz w:val="19"/>
                <w:szCs w:val="19"/>
              </w:rPr>
              <w:t xml:space="preserve">Set when</w:t>
            </w:r>
          </w:p>
        </w:tc>
      </w:tr>
      <w:tr>
        <w:tc>
          <w:tcPr>
            <w:tcW w:type="dxa" w:w="2650"/>
            <w:tcMar>
              <w:top w:type="dxa" w:w="90"/>
              <w:left w:type="dxa" w:w="120"/>
              <w:bottom w:type="dxa" w:w="90"/>
              <w:right w:type="dxa" w:w="120"/>
            </w:tcMar>
            <w:vAlign w:val="center"/>
          </w:tcPr>
          <w:p>
            <w:pPr>
              <w:jc w:val="left"/>
            </w:pPr>
            <w:r>
              <w:rPr>
                <w:b w:val="false"/>
                <w:bCs w:val="false"/>
                <w:color w:val="1B2733"/>
                <w:sz w:val="19"/>
                <w:szCs w:val="19"/>
              </w:rPr>
              <w:t xml:space="preserve">REQUEST_RECEIVED</w:t>
            </w:r>
          </w:p>
        </w:tc>
        <w:tc>
          <w:tcPr>
            <w:tcW w:type="dxa" w:w="3500"/>
            <w:tcMar>
              <w:top w:type="dxa" w:w="90"/>
              <w:left w:type="dxa" w:w="120"/>
              <w:bottom w:type="dxa" w:w="90"/>
              <w:right w:type="dxa" w:w="120"/>
            </w:tcMar>
            <w:vAlign w:val="center"/>
          </w:tcPr>
          <w:p>
            <w:pPr>
              <w:jc w:val="left"/>
            </w:pPr>
            <w:r>
              <w:rPr>
                <w:b w:val="false"/>
                <w:bCs w:val="false"/>
                <w:color w:val="1B2733"/>
                <w:sz w:val="19"/>
                <w:szCs w:val="19"/>
              </w:rPr>
              <w:t xml:space="preserve">The request was created and is queued for the first PR.</w:t>
            </w:r>
          </w:p>
        </w:tc>
        <w:tc>
          <w:tcPr>
            <w:tcW w:type="dxa" w:w="3200"/>
            <w:tcMar>
              <w:top w:type="dxa" w:w="90"/>
              <w:left w:type="dxa" w:w="120"/>
              <w:bottom w:type="dxa" w:w="90"/>
              <w:right w:type="dxa" w:w="120"/>
            </w:tcMar>
            <w:vAlign w:val="center"/>
          </w:tcPr>
          <w:p>
            <w:pPr>
              <w:jc w:val="left"/>
            </w:pPr>
            <w:r>
              <w:rPr>
                <w:b w:val="false"/>
                <w:bCs w:val="false"/>
                <w:color w:val="1B2733"/>
                <w:sz w:val="19"/>
                <w:szCs w:val="19"/>
              </w:rPr>
              <w:t xml:space="preserve">Immediately on POST /dpc/request, before the gitops Lambda has even run.</w:t>
            </w:r>
          </w:p>
        </w:tc>
      </w:tr>
      <w:tr>
        <w:tc>
          <w:tcPr>
            <w:tcW w:type="dxa" w:w="26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PR_CREATED</w:t>
            </w:r>
          </w:p>
        </w:tc>
        <w:tc>
          <w:tcPr>
            <w:tcW w:type="dxa" w:w="35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The initial PR into dev is open.</w:t>
            </w:r>
          </w:p>
        </w:tc>
        <w:tc>
          <w:tcPr>
            <w:tcW w:type="dxa" w:w="32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Bitbucket webhook pr:opened, for the gitops/REQ-&lt;id&gt; branch.</w:t>
            </w:r>
          </w:p>
        </w:tc>
      </w:tr>
      <w:tr>
        <w:tc>
          <w:tcPr>
            <w:tcW w:type="dxa" w:w="2650"/>
            <w:tcMar>
              <w:top w:type="dxa" w:w="90"/>
              <w:left w:type="dxa" w:w="120"/>
              <w:bottom w:type="dxa" w:w="90"/>
              <w:right w:type="dxa" w:w="120"/>
            </w:tcMar>
            <w:vAlign w:val="center"/>
          </w:tcPr>
          <w:p>
            <w:pPr>
              <w:jc w:val="left"/>
            </w:pPr>
            <w:r>
              <w:rPr>
                <w:b w:val="false"/>
                <w:bCs w:val="false"/>
                <w:color w:val="1B2733"/>
                <w:sz w:val="19"/>
                <w:szCs w:val="19"/>
              </w:rPr>
              <w:t xml:space="preserve">PR_UPDATED</w:t>
            </w:r>
          </w:p>
        </w:tc>
        <w:tc>
          <w:tcPr>
            <w:tcW w:type="dxa" w:w="3500"/>
            <w:tcMar>
              <w:top w:type="dxa" w:w="90"/>
              <w:left w:type="dxa" w:w="120"/>
              <w:bottom w:type="dxa" w:w="90"/>
              <w:right w:type="dxa" w:w="120"/>
            </w:tcMar>
            <w:vAlign w:val="center"/>
          </w:tcPr>
          <w:p>
            <w:pPr>
              <w:jc w:val="left"/>
            </w:pPr>
            <w:r>
              <w:rPr>
                <w:b w:val="false"/>
                <w:bCs w:val="false"/>
                <w:color w:val="1B2733"/>
                <w:sz w:val="19"/>
                <w:szCs w:val="19"/>
              </w:rPr>
              <w:t xml:space="preserve">The PR was modified (new commit pushed, description edited, etc.).</w:t>
            </w:r>
          </w:p>
        </w:tc>
        <w:tc>
          <w:tcPr>
            <w:tcW w:type="dxa" w:w="3200"/>
            <w:tcMar>
              <w:top w:type="dxa" w:w="90"/>
              <w:left w:type="dxa" w:w="120"/>
              <w:bottom w:type="dxa" w:w="90"/>
              <w:right w:type="dxa" w:w="120"/>
            </w:tcMar>
            <w:vAlign w:val="center"/>
          </w:tcPr>
          <w:p>
            <w:pPr>
              <w:jc w:val="left"/>
            </w:pPr>
            <w:r>
              <w:rPr>
                <w:b w:val="false"/>
                <w:bCs w:val="false"/>
                <w:color w:val="1B2733"/>
                <w:sz w:val="19"/>
                <w:szCs w:val="19"/>
              </w:rPr>
              <w:t xml:space="preserve">Webhook pr:modified.</w:t>
            </w:r>
          </w:p>
        </w:tc>
      </w:tr>
      <w:tr>
        <w:tc>
          <w:tcPr>
            <w:tcW w:type="dxa" w:w="26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PR_APPROVED</w:t>
            </w:r>
          </w:p>
        </w:tc>
        <w:tc>
          <w:tcPr>
            <w:tcW w:type="dxa" w:w="35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A reviewer approved the PR.</w:t>
            </w:r>
          </w:p>
        </w:tc>
        <w:tc>
          <w:tcPr>
            <w:tcW w:type="dxa" w:w="32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Webhook pr:reviewer:approved.</w:t>
            </w:r>
          </w:p>
        </w:tc>
      </w:tr>
      <w:tr>
        <w:tc>
          <w:tcPr>
            <w:tcW w:type="dxa" w:w="2650"/>
            <w:tcMar>
              <w:top w:type="dxa" w:w="90"/>
              <w:left w:type="dxa" w:w="120"/>
              <w:bottom w:type="dxa" w:w="90"/>
              <w:right w:type="dxa" w:w="120"/>
            </w:tcMar>
            <w:vAlign w:val="center"/>
          </w:tcPr>
          <w:p>
            <w:pPr>
              <w:jc w:val="left"/>
            </w:pPr>
            <w:r>
              <w:rPr>
                <w:b w:val="false"/>
                <w:bCs w:val="false"/>
                <w:color w:val="1B2733"/>
                <w:sz w:val="19"/>
                <w:szCs w:val="19"/>
              </w:rPr>
              <w:t xml:space="preserve">PR_NEEDS_WORK</w:t>
            </w:r>
          </w:p>
        </w:tc>
        <w:tc>
          <w:tcPr>
            <w:tcW w:type="dxa" w:w="3500"/>
            <w:tcMar>
              <w:top w:type="dxa" w:w="90"/>
              <w:left w:type="dxa" w:w="120"/>
              <w:bottom w:type="dxa" w:w="90"/>
              <w:right w:type="dxa" w:w="120"/>
            </w:tcMar>
            <w:vAlign w:val="center"/>
          </w:tcPr>
          <w:p>
            <w:pPr>
              <w:jc w:val="left"/>
            </w:pPr>
            <w:r>
              <w:rPr>
                <w:b w:val="false"/>
                <w:bCs w:val="false"/>
                <w:color w:val="1B2733"/>
                <w:sz w:val="19"/>
                <w:szCs w:val="19"/>
              </w:rPr>
              <w:t xml:space="preserve">A reviewer requested changes.</w:t>
            </w:r>
          </w:p>
        </w:tc>
        <w:tc>
          <w:tcPr>
            <w:tcW w:type="dxa" w:w="3200"/>
            <w:tcMar>
              <w:top w:type="dxa" w:w="90"/>
              <w:left w:type="dxa" w:w="120"/>
              <w:bottom w:type="dxa" w:w="90"/>
              <w:right w:type="dxa" w:w="120"/>
            </w:tcMar>
            <w:vAlign w:val="center"/>
          </w:tcPr>
          <w:p>
            <w:pPr>
              <w:jc w:val="left"/>
            </w:pPr>
            <w:r>
              <w:rPr>
                <w:b w:val="false"/>
                <w:bCs w:val="false"/>
                <w:color w:val="1B2733"/>
                <w:sz w:val="19"/>
                <w:szCs w:val="19"/>
              </w:rPr>
              <w:t xml:space="preserve">Webhook pr:reviewer:needs_work.</w:t>
            </w:r>
          </w:p>
        </w:tc>
      </w:tr>
      <w:tr>
        <w:tc>
          <w:tcPr>
            <w:tcW w:type="dxa" w:w="26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PR_DECLINED</w:t>
            </w:r>
          </w:p>
        </w:tc>
        <w:tc>
          <w:tcPr>
            <w:tcW w:type="dxa" w:w="35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The PR was declined.</w:t>
            </w:r>
          </w:p>
        </w:tc>
        <w:tc>
          <w:tcPr>
            <w:tcW w:type="dxa" w:w="32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Webhook pr:declined. If this PR was part of a batched promotion, the promotion lock is released so the next attempt can retry.</w:t>
            </w:r>
          </w:p>
        </w:tc>
      </w:tr>
      <w:tr>
        <w:tc>
          <w:tcPr>
            <w:tcW w:type="dxa" w:w="2650"/>
            <w:tcMar>
              <w:top w:type="dxa" w:w="90"/>
              <w:left w:type="dxa" w:w="120"/>
              <w:bottom w:type="dxa" w:w="90"/>
              <w:right w:type="dxa" w:w="120"/>
            </w:tcMar>
            <w:vAlign w:val="center"/>
          </w:tcPr>
          <w:p>
            <w:pPr>
              <w:jc w:val="left"/>
            </w:pPr>
            <w:r>
              <w:rPr>
                <w:b w:val="false"/>
                <w:bCs w:val="false"/>
                <w:color w:val="1B2733"/>
                <w:sz w:val="19"/>
                <w:szCs w:val="19"/>
              </w:rPr>
              <w:t xml:space="preserve">PR_DELETED</w:t>
            </w:r>
          </w:p>
        </w:tc>
        <w:tc>
          <w:tcPr>
            <w:tcW w:type="dxa" w:w="3500"/>
            <w:tcMar>
              <w:top w:type="dxa" w:w="90"/>
              <w:left w:type="dxa" w:w="120"/>
              <w:bottom w:type="dxa" w:w="90"/>
              <w:right w:type="dxa" w:w="120"/>
            </w:tcMar>
            <w:vAlign w:val="center"/>
          </w:tcPr>
          <w:p>
            <w:pPr>
              <w:jc w:val="left"/>
            </w:pPr>
            <w:r>
              <w:rPr>
                <w:b w:val="false"/>
                <w:bCs w:val="false"/>
                <w:color w:val="1B2733"/>
                <w:sz w:val="19"/>
                <w:szCs w:val="19"/>
              </w:rPr>
              <w:t xml:space="preserve">The PR (or its branch) was deleted.</w:t>
            </w:r>
          </w:p>
        </w:tc>
        <w:tc>
          <w:tcPr>
            <w:tcW w:type="dxa" w:w="3200"/>
            <w:tcMar>
              <w:top w:type="dxa" w:w="90"/>
              <w:left w:type="dxa" w:w="120"/>
              <w:bottom w:type="dxa" w:w="90"/>
              <w:right w:type="dxa" w:w="120"/>
            </w:tcMar>
            <w:vAlign w:val="center"/>
          </w:tcPr>
          <w:p>
            <w:pPr>
              <w:jc w:val="left"/>
            </w:pPr>
            <w:r>
              <w:rPr>
                <w:b w:val="false"/>
                <w:bCs w:val="false"/>
                <w:color w:val="1B2733"/>
                <w:sz w:val="19"/>
                <w:szCs w:val="19"/>
              </w:rPr>
              <w:t xml:space="preserve">Webhook pr:deleted. Also releases a promotion lock, same as PR_DECLINED.</w:t>
            </w:r>
          </w:p>
        </w:tc>
      </w:tr>
      <w:tr>
        <w:tc>
          <w:tcPr>
            <w:tcW w:type="dxa" w:w="26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&lt;STAGE&gt;_MERGED_AWAITING_&lt;NEXT&gt;
e.g. DEV_MERGED_AWAITING_QA,
QA_MERGED_AWAITING_MASTER</w:t>
            </w:r>
          </w:p>
        </w:tc>
        <w:tc>
          <w:tcPr>
            <w:tcW w:type="dxa" w:w="35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The PR into &lt;STAGE&gt; merged; the request now needs a promotion PR into the next branch, which gitops has been asked to open.</w:t>
            </w:r>
          </w:p>
        </w:tc>
        <w:tc>
          <w:tcPr>
            <w:tcW w:type="dxa" w:w="32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Webhook pr:merged, when the request's pipeline isn't finished yet. Computed as f"{just_finished}_MERGED_AWAITING_{next_branch}" — see §7 for a known duplicate-entry issue here.</w:t>
            </w:r>
          </w:p>
        </w:tc>
      </w:tr>
      <w:tr>
        <w:tc>
          <w:tcPr>
            <w:tcW w:type="dxa" w:w="2650"/>
            <w:tcMar>
              <w:top w:type="dxa" w:w="90"/>
              <w:left w:type="dxa" w:w="120"/>
              <w:bottom w:type="dxa" w:w="90"/>
              <w:right w:type="dxa" w:w="120"/>
            </w:tcMar>
            <w:vAlign w:val="center"/>
          </w:tcPr>
          <w:p>
            <w:pPr>
              <w:jc w:val="left"/>
            </w:pPr>
            <w:r>
              <w:rPr>
                <w:b w:val="false"/>
                <w:bCs w:val="false"/>
                <w:color w:val="1B2733"/>
                <w:sz w:val="19"/>
                <w:szCs w:val="19"/>
              </w:rPr>
              <w:t xml:space="preserve">COMPLETED</w:t>
            </w:r>
          </w:p>
        </w:tc>
        <w:tc>
          <w:tcPr>
            <w:tcW w:type="dxa" w:w="3500"/>
            <w:tcMar>
              <w:top w:type="dxa" w:w="90"/>
              <w:left w:type="dxa" w:w="120"/>
              <w:bottom w:type="dxa" w:w="90"/>
              <w:right w:type="dxa" w:w="120"/>
            </w:tcMar>
            <w:vAlign w:val="center"/>
          </w:tcPr>
          <w:p>
            <w:pPr>
              <w:jc w:val="left"/>
            </w:pPr>
            <w:r>
              <w:rPr>
                <w:b w:val="false"/>
                <w:bCs w:val="false"/>
                <w:color w:val="1B2733"/>
                <w:sz w:val="19"/>
                <w:szCs w:val="19"/>
              </w:rPr>
              <w:t xml:space="preserve">The request has merged all the way through its required branches.</w:t>
            </w:r>
          </w:p>
        </w:tc>
        <w:tc>
          <w:tcPr>
            <w:tcW w:type="dxa" w:w="3200"/>
            <w:tcMar>
              <w:top w:type="dxa" w:w="90"/>
              <w:left w:type="dxa" w:w="120"/>
              <w:bottom w:type="dxa" w:w="90"/>
              <w:right w:type="dxa" w:w="120"/>
            </w:tcMar>
            <w:vAlign w:val="center"/>
          </w:tcPr>
          <w:p>
            <w:pPr>
              <w:jc w:val="left"/>
            </w:pPr>
            <w:r>
              <w:rPr>
                <w:b w:val="false"/>
                <w:bCs w:val="false"/>
                <w:color w:val="1B2733"/>
                <w:sz w:val="19"/>
                <w:szCs w:val="19"/>
              </w:rPr>
              <w:t xml:space="preserve">Webhook pr:merged on the final stage. Triggers the requester's completion email.</w:t>
            </w:r>
          </w:p>
        </w:tc>
      </w:tr>
      <w:tr>
        <w:tc>
          <w:tcPr>
            <w:tcW w:type="dxa" w:w="26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SYNC_FAILED</w:t>
            </w:r>
          </w:p>
        </w:tc>
        <w:tc>
          <w:tcPr>
            <w:tcW w:type="dxa" w:w="35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The initial PR could not be created after every retry (Bitbucket outage, expired token, etc.).</w:t>
            </w:r>
          </w:p>
        </w:tc>
        <w:tc>
          <w:tcPr>
            <w:tcW w:type="dxa" w:w="32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handle_create_pr exhausting _request_with_retry's retries. Auto-retried by the sweep — see §6.2.</w:t>
            </w:r>
          </w:p>
        </w:tc>
      </w:tr>
      <w:tr>
        <w:tc>
          <w:tcPr>
            <w:tcW w:type="dxa" w:w="2650"/>
            <w:tcMar>
              <w:top w:type="dxa" w:w="90"/>
              <w:left w:type="dxa" w:w="120"/>
              <w:bottom w:type="dxa" w:w="90"/>
              <w:right w:type="dxa" w:w="120"/>
            </w:tcMar>
            <w:vAlign w:val="center"/>
          </w:tcPr>
          <w:p>
            <w:pPr>
              <w:jc w:val="left"/>
            </w:pPr>
            <w:r>
              <w:rPr>
                <w:b w:val="false"/>
                <w:bCs w:val="false"/>
                <w:color w:val="1B2733"/>
                <w:sz w:val="19"/>
                <w:szCs w:val="19"/>
              </w:rPr>
              <w:t xml:space="preserve">FAILED (on a LOCK# item, not a request)</w:t>
            </w:r>
          </w:p>
        </w:tc>
        <w:tc>
          <w:tcPr>
            <w:tcW w:type="dxa" w:w="3500"/>
            <w:tcMar>
              <w:top w:type="dxa" w:w="90"/>
              <w:left w:type="dxa" w:w="120"/>
              <w:bottom w:type="dxa" w:w="90"/>
              <w:right w:type="dxa" w:w="120"/>
            </w:tcMar>
            <w:vAlign w:val="center"/>
          </w:tcPr>
          <w:p>
            <w:pPr>
              <w:jc w:val="left"/>
            </w:pPr>
            <w:r>
              <w:rPr>
                <w:b w:val="false"/>
                <w:bCs w:val="false"/>
                <w:color w:val="1B2733"/>
                <w:sz w:val="19"/>
                <w:szCs w:val="19"/>
              </w:rPr>
              <w:t xml:space="preserve">A promotion PR could not be opened after every retry.</w:t>
            </w:r>
          </w:p>
        </w:tc>
        <w:tc>
          <w:tcPr>
            <w:tcW w:type="dxa" w:w="3200"/>
            <w:tcMar>
              <w:top w:type="dxa" w:w="90"/>
              <w:left w:type="dxa" w:w="120"/>
              <w:bottom w:type="dxa" w:w="90"/>
              <w:right w:type="dxa" w:w="120"/>
            </w:tcMar>
            <w:vAlign w:val="center"/>
          </w:tcPr>
          <w:p>
            <w:pPr>
              <w:jc w:val="left"/>
            </w:pPr>
            <w:r>
              <w:rPr>
                <w:b w:val="false"/>
                <w:bCs w:val="false"/>
                <w:color w:val="1B2733"/>
                <w:sz w:val="19"/>
                <w:szCs w:val="19"/>
              </w:rPr>
              <w:t xml:space="preserve">handle_promote exhausting its retries. Also auto-retried by the sweep.</w:t>
            </w:r>
          </w:p>
        </w:tc>
      </w:tr>
    </w:tbl>
    <w:p>
      <w:pPr>
        <w:pBdr>
          <w:top w:val="single" w:color="FDEEDC" w:sz="2"/>
          <w:bottom w:val="single" w:color="FDEEDC" w:sz="2"/>
          <w:left w:val="single" w:color="8A5A00" w:sz="24"/>
          <w:right w:val="single" w:color="FDEEDC" w:sz="2"/>
        </w:pBdr>
        <w:shd w:fill="FDEEDC" w:val="clear"/>
        <w:spacing w:after="200" w:before="80"/>
      </w:pPr>
      <w:r>
        <w:rPr>
          <w:b/>
          <w:bCs/>
          <w:color w:val="8A5A00"/>
          <w:sz w:val="20"/>
          <w:szCs w:val="20"/>
        </w:rPr>
        <w:t xml:space="preserve">Note:  </w:t>
      </w:r>
      <w:r>
        <w:rPr>
          <w:color w:val="2A2A2A"/>
          <w:sz w:val="20"/>
          <w:szCs w:val="20"/>
        </w:rPr>
        <w:t xml:space="preserve">SYNC_FAILED and FAILED are not cosmetic — they're the two conditions the automatic sweep (§6.2) and the optional DLQ (§6.3) exist to catch. If a request looks stuck, check its status against this table first.</w:t>
      </w:r>
    </w:p>
    <w:p>
      <w:r>
        <w:br w:type="page"/>
      </w:r>
    </w:p>
    <w:p>
      <w:pPr>
        <w:pStyle w:val="Heading1"/>
        <w:spacing w:after="200" w:before="420"/>
      </w:pPr>
      <w:r>
        <w:t xml:space="preserve">4. Requester Guide</w:t>
      </w:r>
    </w:p>
    <w:p>
      <w:pPr>
        <w:spacing w:after="160" w:line="276"/>
      </w:pPr>
      <w:r>
        <w:t xml:space="preserve">This section is written for anyone submitting or tracking a whitelist request — no Terraform or AWS knowledge required.</w:t>
      </w:r>
    </w:p>
    <w:p>
      <w:pPr>
        <w:pStyle w:val="Heading2"/>
        <w:spacing w:after="160" w:before="320"/>
      </w:pPr>
      <w:r>
        <w:t xml:space="preserve">4.1 Logging in</w:t>
      </w:r>
    </w:p>
    <w:p>
      <w:pPr>
        <w:spacing w:after="160" w:line="276"/>
      </w:pPr>
      <w:r>
        <w:t xml:space="preserve">The portal is a single sign-on application: open the portal URL and sign in with your normal Azure AD (Microsoft) account. There is no separate portal password to manage.</w:t>
      </w:r>
    </w:p>
    <w:p>
      <w:pPr>
        <w:pStyle w:val="Heading2"/>
        <w:spacing w:after="160" w:before="320"/>
      </w:pPr>
      <w:r>
        <w:t xml:space="preserve">4.2 Submitting a request</w:t>
      </w:r>
    </w:p>
    <w:p>
      <w:pPr>
        <w:spacing w:after="160" w:line="276"/>
      </w:pPr>
      <w:r>
        <w:t xml:space="preserve">From the dashboard, choose New Request. The form asks for: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2233F" w:val="clear"/>
            <w:tcMar>
              <w:top w:type="dxa" w:w="90"/>
              <w:left w:type="dxa" w:w="120"/>
              <w:bottom w:type="dxa" w:w="90"/>
              <w:right w:type="dxa" w:w="120"/>
            </w:tcMar>
            <w:vAlign w:val="center"/>
          </w:tcPr>
          <w:p>
            <w:pPr>
              <w:jc w:val="left"/>
            </w:pPr>
            <w:r>
              <w:rPr>
                <w:b/>
                <w:bCs/>
                <w:color w:val="FFFFFF"/>
                <w:sz w:val="19"/>
                <w:szCs w:val="19"/>
              </w:rPr>
              <w:t xml:space="preserve">Field</w:t>
            </w:r>
          </w:p>
        </w:tc>
        <w:tc>
          <w:tcPr>
            <w:tcW w:type="dxa" w:w="6750"/>
            <w:shd w:fill="12233F" w:val="clear"/>
            <w:tcMar>
              <w:top w:type="dxa" w:w="90"/>
              <w:left w:type="dxa" w:w="120"/>
              <w:bottom w:type="dxa" w:w="90"/>
              <w:right w:type="dxa" w:w="120"/>
            </w:tcMar>
            <w:vAlign w:val="center"/>
          </w:tcPr>
          <w:p>
            <w:pPr>
              <w:jc w:val="left"/>
            </w:pPr>
            <w:r>
              <w:rPr>
                <w:b/>
                <w:bCs/>
                <w:color w:val="FFFFFF"/>
                <w:sz w:val="19"/>
                <w:szCs w:val="19"/>
              </w:rPr>
              <w:t xml:space="preserve">What to enter</w:t>
            </w:r>
          </w:p>
        </w:tc>
      </w:tr>
      <w:tr>
        <w:tc>
          <w:tcPr>
            <w:tcW w:type="dxa" w:w="2600"/>
            <w:tcMar>
              <w:top w:type="dxa" w:w="90"/>
              <w:left w:type="dxa" w:w="120"/>
              <w:bottom w:type="dxa" w:w="90"/>
              <w:right w:type="dxa" w:w="120"/>
            </w:tcMar>
            <w:vAlign w:val="center"/>
          </w:tcPr>
          <w:p>
            <w:pPr>
              <w:jc w:val="left"/>
            </w:pPr>
            <w:r>
              <w:rPr>
                <w:b w:val="false"/>
                <w:bCs w:val="false"/>
                <w:color w:val="1B2733"/>
                <w:sz w:val="19"/>
                <w:szCs w:val="19"/>
              </w:rPr>
              <w:t xml:space="preserve">Market code / market name</w:t>
            </w:r>
          </w:p>
        </w:tc>
        <w:tc>
          <w:tcPr>
            <w:tcW w:type="dxa" w:w="6750"/>
            <w:tcMar>
              <w:top w:type="dxa" w:w="90"/>
              <w:left w:type="dxa" w:w="120"/>
              <w:bottom w:type="dxa" w:w="90"/>
              <w:right w:type="dxa" w:w="120"/>
            </w:tcMar>
            <w:vAlign w:val="center"/>
          </w:tcPr>
          <w:p>
            <w:pPr>
              <w:jc w:val="left"/>
            </w:pPr>
            <w:r>
              <w:rPr>
                <w:b w:val="false"/>
                <w:bCs w:val="false"/>
                <w:color w:val="1B2733"/>
                <w:sz w:val="19"/>
                <w:szCs w:val="19"/>
              </w:rPr>
              <w:t xml:space="preserve">The market this access is for.</w:t>
            </w:r>
          </w:p>
        </w:tc>
      </w:tr>
      <w:tr>
        <w:tc>
          <w:tcPr>
            <w:tcW w:type="dxa" w:w="26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Business justification</w:t>
            </w:r>
          </w:p>
        </w:tc>
        <w:tc>
          <w:tcPr>
            <w:tcW w:type="dxa" w:w="67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A short free-text explanation of why the access is needed — this is what your approver sees in the PR notification.</w:t>
            </w:r>
          </w:p>
        </w:tc>
      </w:tr>
      <w:tr>
        <w:tc>
          <w:tcPr>
            <w:tcW w:type="dxa" w:w="2600"/>
            <w:tcMar>
              <w:top w:type="dxa" w:w="90"/>
              <w:left w:type="dxa" w:w="120"/>
              <w:bottom w:type="dxa" w:w="90"/>
              <w:right w:type="dxa" w:w="120"/>
            </w:tcMar>
            <w:vAlign w:val="center"/>
          </w:tcPr>
          <w:p>
            <w:pPr>
              <w:jc w:val="left"/>
            </w:pPr>
            <w:r>
              <w:rPr>
                <w:b w:val="false"/>
                <w:bCs w:val="false"/>
                <w:color w:val="1B2733"/>
                <w:sz w:val="19"/>
                <w:szCs w:val="19"/>
              </w:rPr>
              <w:t xml:space="preserve">Environment(s)</w:t>
            </w:r>
          </w:p>
        </w:tc>
        <w:tc>
          <w:tcPr>
            <w:tcW w:type="dxa" w:w="6750"/>
            <w:tcMar>
              <w:top w:type="dxa" w:w="90"/>
              <w:left w:type="dxa" w:w="120"/>
              <w:bottom w:type="dxa" w:w="90"/>
              <w:right w:type="dxa" w:w="120"/>
            </w:tcMar>
            <w:vAlign w:val="center"/>
          </w:tcPr>
          <w:p>
            <w:pPr>
              <w:jc w:val="left"/>
            </w:pPr>
            <w:r>
              <w:rPr>
                <w:b w:val="false"/>
                <w:bCs w:val="false"/>
                <w:color w:val="1B2733"/>
                <w:sz w:val="19"/>
                <w:szCs w:val="19"/>
              </w:rPr>
              <w:t xml:space="preserve">One or more of DEV, QA, PRD. Requesting PRD automatically routes the change through QA first — you don't need to also tick QA yourself, though you can if you want the QA change to land as its own step.</w:t>
            </w:r>
          </w:p>
        </w:tc>
      </w:tr>
      <w:tr>
        <w:tc>
          <w:tcPr>
            <w:tcW w:type="dxa" w:w="26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Resources, per environment</w:t>
            </w:r>
          </w:p>
        </w:tc>
        <w:tc>
          <w:tcPr>
            <w:tcW w:type="dxa" w:w="67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S3 buckets (by bucket name), Secrets Manager secrets (by ARN), KMS keys (by ARN), and Lambda functions (by ARN). Add as many as the environment needs.</w:t>
            </w:r>
          </w:p>
        </w:tc>
      </w:tr>
    </w:tbl>
    <w:p>
      <w:pPr>
        <w:spacing w:after="160" w:line="276"/>
      </w:pPr>
      <w:r>
        <w:t xml:space="preserve">Submitting the form immediately creates the request (status REQUEST_RECEIVED) and kicks off the automation — you do not need to do anything in Bitbucket yourself.</w:t>
      </w:r>
    </w:p>
    <w:p>
      <w:pPr>
        <w:pStyle w:val="Heading2"/>
        <w:spacing w:after="160" w:before="320"/>
      </w:pPr>
      <w:r>
        <w:t xml:space="preserve">4.3 Tracking a request</w:t>
      </w:r>
    </w:p>
    <w:p>
      <w:pPr>
        <w:spacing w:after="160" w:line="276"/>
      </w:pPr>
      <w:r>
        <w:t xml:space="preserve">My Requests lists everything you've submitted, newest first. Open a request to see its detail page, which includes a timeline of every status change with a timestamp — this is the same history used for the screenshot-style audit trail engineers use for troubleshooting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rPr>
          <w:tblHeader/>
        </w:trPr>
        <w:tc>
          <w:tcPr>
            <w:tcW w:type="dxa" w:w="2650"/>
            <w:shd w:fill="12233F" w:val="clear"/>
            <w:tcMar>
              <w:top w:type="dxa" w:w="90"/>
              <w:left w:type="dxa" w:w="120"/>
              <w:bottom w:type="dxa" w:w="90"/>
              <w:right w:type="dxa" w:w="120"/>
            </w:tcMar>
            <w:vAlign w:val="center"/>
          </w:tcPr>
          <w:p>
            <w:pPr>
              <w:jc w:val="left"/>
            </w:pPr>
            <w:r>
              <w:rPr>
                <w:b/>
                <w:bCs/>
                <w:color w:val="FFFFFF"/>
                <w:sz w:val="19"/>
                <w:szCs w:val="19"/>
              </w:rPr>
              <w:t xml:space="preserve">If the status is…</w:t>
            </w:r>
          </w:p>
        </w:tc>
        <w:tc>
          <w:tcPr>
            <w:tcW w:type="dxa" w:w="6700"/>
            <w:shd w:fill="12233F" w:val="clear"/>
            <w:tcMar>
              <w:top w:type="dxa" w:w="90"/>
              <w:left w:type="dxa" w:w="120"/>
              <w:bottom w:type="dxa" w:w="90"/>
              <w:right w:type="dxa" w:w="120"/>
            </w:tcMar>
            <w:vAlign w:val="center"/>
          </w:tcPr>
          <w:p>
            <w:pPr>
              <w:jc w:val="left"/>
            </w:pPr>
            <w:r>
              <w:rPr>
                <w:b/>
                <w:bCs/>
                <w:color w:val="FFFFFF"/>
                <w:sz w:val="19"/>
                <w:szCs w:val="19"/>
              </w:rPr>
              <w:t xml:space="preserve">…it means</w:t>
            </w:r>
          </w:p>
        </w:tc>
      </w:tr>
      <w:tr>
        <w:tc>
          <w:tcPr>
            <w:tcW w:type="dxa" w:w="2650"/>
            <w:tcMar>
              <w:top w:type="dxa" w:w="90"/>
              <w:left w:type="dxa" w:w="120"/>
              <w:bottom w:type="dxa" w:w="90"/>
              <w:right w:type="dxa" w:w="120"/>
            </w:tcMar>
            <w:vAlign w:val="center"/>
          </w:tcPr>
          <w:p>
            <w:pPr>
              <w:jc w:val="left"/>
            </w:pPr>
            <w:r>
              <w:rPr>
                <w:b w:val="false"/>
                <w:bCs w:val="false"/>
                <w:color w:val="1B2733"/>
                <w:sz w:val="19"/>
                <w:szCs w:val="19"/>
              </w:rPr>
              <w:t xml:space="preserve">REQUEST_RECEIVED</w:t>
            </w:r>
          </w:p>
        </w:tc>
        <w:tc>
          <w:tcPr>
            <w:tcW w:type="dxa" w:w="6700"/>
            <w:tcMar>
              <w:top w:type="dxa" w:w="90"/>
              <w:left w:type="dxa" w:w="120"/>
              <w:bottom w:type="dxa" w:w="90"/>
              <w:right w:type="dxa" w:w="120"/>
            </w:tcMar>
            <w:vAlign w:val="center"/>
          </w:tcPr>
          <w:p>
            <w:pPr>
              <w:jc w:val="left"/>
            </w:pPr>
            <w:r>
              <w:rPr>
                <w:b w:val="false"/>
                <w:bCs w:val="false"/>
                <w:color w:val="1B2733"/>
                <w:sz w:val="19"/>
                <w:szCs w:val="19"/>
              </w:rPr>
              <w:t xml:space="preserve">Received, and the portal is opening the first pull request now. This is normally momentary.</w:t>
            </w:r>
          </w:p>
        </w:tc>
      </w:tr>
      <w:tr>
        <w:tc>
          <w:tcPr>
            <w:tcW w:type="dxa" w:w="26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PR_CREATED / PR_UPDATED</w:t>
            </w:r>
          </w:p>
        </w:tc>
        <w:tc>
          <w:tcPr>
            <w:tcW w:type="dxa" w:w="67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A pull request is open in Bitbucket and waiting on review. No action needed from you.</w:t>
            </w:r>
          </w:p>
        </w:tc>
      </w:tr>
      <w:tr>
        <w:tc>
          <w:tcPr>
            <w:tcW w:type="dxa" w:w="2650"/>
            <w:tcMar>
              <w:top w:type="dxa" w:w="90"/>
              <w:left w:type="dxa" w:w="120"/>
              <w:bottom w:type="dxa" w:w="90"/>
              <w:right w:type="dxa" w:w="120"/>
            </w:tcMar>
            <w:vAlign w:val="center"/>
          </w:tcPr>
          <w:p>
            <w:pPr>
              <w:jc w:val="left"/>
            </w:pPr>
            <w:r>
              <w:rPr>
                <w:b w:val="false"/>
                <w:bCs w:val="false"/>
                <w:color w:val="1B2733"/>
                <w:sz w:val="19"/>
                <w:szCs w:val="19"/>
              </w:rPr>
              <w:t xml:space="preserve">PR_APPROVED</w:t>
            </w:r>
          </w:p>
        </w:tc>
        <w:tc>
          <w:tcPr>
            <w:tcW w:type="dxa" w:w="6700"/>
            <w:tcMar>
              <w:top w:type="dxa" w:w="90"/>
              <w:left w:type="dxa" w:w="120"/>
              <w:bottom w:type="dxa" w:w="90"/>
              <w:right w:type="dxa" w:w="120"/>
            </w:tcMar>
            <w:vAlign w:val="center"/>
          </w:tcPr>
          <w:p>
            <w:pPr>
              <w:jc w:val="left"/>
            </w:pPr>
            <w:r>
              <w:rPr>
                <w:b w:val="false"/>
                <w:bCs w:val="false"/>
                <w:color w:val="1B2733"/>
                <w:sz w:val="19"/>
                <w:szCs w:val="19"/>
              </w:rPr>
              <w:t xml:space="preserve">A reviewer approved it. It will merge once your team's normal merge process completes.</w:t>
            </w:r>
          </w:p>
        </w:tc>
      </w:tr>
      <w:tr>
        <w:tc>
          <w:tcPr>
            <w:tcW w:type="dxa" w:w="26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PR_NEEDS_WORK</w:t>
            </w:r>
          </w:p>
        </w:tc>
        <w:tc>
          <w:tcPr>
            <w:tcW w:type="dxa" w:w="67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A reviewer asked for changes. Check with your approver about what's needed — the portal doesn't yet surface the reviewer's written comment on this stack (see §7), so the context lives in Bitbucket.</w:t>
            </w:r>
          </w:p>
        </w:tc>
      </w:tr>
      <w:tr>
        <w:tc>
          <w:tcPr>
            <w:tcW w:type="dxa" w:w="2650"/>
            <w:tcMar>
              <w:top w:type="dxa" w:w="90"/>
              <w:left w:type="dxa" w:w="120"/>
              <w:bottom w:type="dxa" w:w="90"/>
              <w:right w:type="dxa" w:w="120"/>
            </w:tcMar>
            <w:vAlign w:val="center"/>
          </w:tcPr>
          <w:p>
            <w:pPr>
              <w:jc w:val="left"/>
            </w:pPr>
            <w:r>
              <w:rPr>
                <w:b w:val="false"/>
                <w:bCs w:val="false"/>
                <w:color w:val="1B2733"/>
                <w:sz w:val="19"/>
                <w:szCs w:val="19"/>
              </w:rPr>
              <w:t xml:space="preserve">…_MERGED_AWAITING_…</w:t>
            </w:r>
          </w:p>
        </w:tc>
        <w:tc>
          <w:tcPr>
            <w:tcW w:type="dxa" w:w="6700"/>
            <w:tcMar>
              <w:top w:type="dxa" w:w="90"/>
              <w:left w:type="dxa" w:w="120"/>
              <w:bottom w:type="dxa" w:w="90"/>
              <w:right w:type="dxa" w:w="120"/>
            </w:tcMar>
            <w:vAlign w:val="center"/>
          </w:tcPr>
          <w:p>
            <w:pPr>
              <w:jc w:val="left"/>
            </w:pPr>
            <w:r>
              <w:rPr>
                <w:b w:val="false"/>
                <w:bCs w:val="false"/>
                <w:color w:val="1B2733"/>
                <w:sz w:val="19"/>
                <w:szCs w:val="19"/>
              </w:rPr>
              <w:t xml:space="preserve">Your change merged into that branch and is now being promoted toward the next one automatically. No action needed.</w:t>
            </w:r>
          </w:p>
        </w:tc>
      </w:tr>
      <w:tr>
        <w:tc>
          <w:tcPr>
            <w:tcW w:type="dxa" w:w="26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COMPLETED</w:t>
            </w:r>
          </w:p>
        </w:tc>
        <w:tc>
          <w:tcPr>
            <w:tcW w:type="dxa" w:w="67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Done — every required branch has the change. You'll also get an email confirming this.</w:t>
            </w:r>
          </w:p>
        </w:tc>
      </w:tr>
      <w:tr>
        <w:tc>
          <w:tcPr>
            <w:tcW w:type="dxa" w:w="2650"/>
            <w:tcMar>
              <w:top w:type="dxa" w:w="90"/>
              <w:left w:type="dxa" w:w="120"/>
              <w:bottom w:type="dxa" w:w="90"/>
              <w:right w:type="dxa" w:w="120"/>
            </w:tcMar>
            <w:vAlign w:val="center"/>
          </w:tcPr>
          <w:p>
            <w:pPr>
              <w:jc w:val="left"/>
            </w:pPr>
            <w:r>
              <w:rPr>
                <w:b w:val="false"/>
                <w:bCs w:val="false"/>
                <w:color w:val="1B2733"/>
                <w:sz w:val="19"/>
                <w:szCs w:val="19"/>
              </w:rPr>
              <w:t xml:space="preserve">PR_DECLINED / PR_DELETED</w:t>
            </w:r>
          </w:p>
        </w:tc>
        <w:tc>
          <w:tcPr>
            <w:tcW w:type="dxa" w:w="6700"/>
            <w:tcMar>
              <w:top w:type="dxa" w:w="90"/>
              <w:left w:type="dxa" w:w="120"/>
              <w:bottom w:type="dxa" w:w="90"/>
              <w:right w:type="dxa" w:w="120"/>
            </w:tcMar>
            <w:vAlign w:val="center"/>
          </w:tcPr>
          <w:p>
            <w:pPr>
              <w:jc w:val="left"/>
            </w:pPr>
            <w:r>
              <w:rPr>
                <w:b w:val="false"/>
                <w:bCs w:val="false"/>
                <w:color w:val="1B2733"/>
                <w:sz w:val="19"/>
                <w:szCs w:val="19"/>
              </w:rPr>
              <w:t xml:space="preserve">The pull request was declined or removed. Reach out to your approver or resubmit if it was a mistake.</w:t>
            </w:r>
          </w:p>
        </w:tc>
      </w:tr>
      <w:tr>
        <w:tc>
          <w:tcPr>
            <w:tcW w:type="dxa" w:w="26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SYNC_FAILED</w:t>
            </w:r>
          </w:p>
        </w:tc>
        <w:tc>
          <w:tcPr>
            <w:tcW w:type="dxa" w:w="67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A temporary problem (e.g. Bitbucket unavailable) stopped the pull request from being created. This retries automatically — see §6.2 — no need to resubmit right away.</w:t>
            </w:r>
          </w:p>
        </w:tc>
      </w:tr>
    </w:tbl>
    <w:p>
      <w:pPr>
        <w:pStyle w:val="Heading2"/>
        <w:spacing w:after="160" w:before="320"/>
      </w:pPr>
      <w:r>
        <w:t xml:space="preserve">4.4 Getting help</w:t>
      </w:r>
    </w:p>
    <w:p>
      <w:pPr>
        <w:spacing w:after="160" w:line="276"/>
      </w:pPr>
      <w:r>
        <w:t xml:space="preserve">The in-portal Help page has a shorter version of the table above. For anything not covered there, or for a request that seems stuck longer than expected, contact the platform/DevOps team that runs the portal — they can look up your request by ID in the operational tooling covered in §6–7 of this document.</w:t>
      </w:r>
    </w:p>
    <w:p>
      <w:r>
        <w:br w:type="page"/>
      </w:r>
    </w:p>
    <w:p>
      <w:pPr>
        <w:pStyle w:val="Heading1"/>
        <w:spacing w:after="200" w:before="420"/>
      </w:pPr>
      <w:r>
        <w:t xml:space="preserve">5. Deployment &amp; Configuration Runbook</w:t>
      </w:r>
    </w:p>
    <w:p>
      <w:pPr>
        <w:pStyle w:val="Heading2"/>
        <w:spacing w:after="160" w:before="320"/>
      </w:pPr>
      <w:r>
        <w:t xml:space="preserve">5.1 Prerequisites</w:t>
      </w:r>
    </w:p>
    <w:p>
      <w:pPr>
        <w:pStyle w:val="ListParagraph"/>
        <w:numPr>
          <w:ilvl w:val="0"/>
          <w:numId w:val="1"/>
        </w:numPr>
        <w:spacing w:after="90" w:line="264"/>
      </w:pPr>
      <w:r>
        <w:t xml:space="preserve">An AWS account/credentials with permission to create the resources in main.tf (DynamoDB, Lambda, API Gateway, IAM, SQS, EventBridge), and the AWS CLI configured (aws sts get-caller-identity works).</w:t>
      </w:r>
    </w:p>
    <w:p>
      <w:pPr>
        <w:pStyle w:val="ListParagraph"/>
        <w:numPr>
          <w:ilvl w:val="0"/>
          <w:numId w:val="1"/>
        </w:numPr>
        <w:spacing w:after="90" w:line="264"/>
      </w:pPr>
      <w:r>
        <w:t xml:space="preserve">Terraform (version required by versions.tf).</w:t>
      </w:r>
    </w:p>
    <w:p>
      <w:pPr>
        <w:pStyle w:val="ListParagraph"/>
        <w:numPr>
          <w:ilvl w:val="0"/>
          <w:numId w:val="1"/>
        </w:numPr>
        <w:spacing w:after="90" w:line="264"/>
      </w:pPr>
      <w:r>
        <w:t xml:space="preserve">git, curl, python3, node/npm.</w:t>
      </w:r>
    </w:p>
    <w:p>
      <w:pPr>
        <w:pStyle w:val="ListParagraph"/>
        <w:numPr>
          <w:ilvl w:val="0"/>
          <w:numId w:val="1"/>
        </w:numPr>
        <w:spacing w:after="90" w:line="264"/>
      </w:pPr>
      <w:r>
        <w:t xml:space="preserve">Access to the org's Bitbucket Server instance and the project/repo that holds (or will hold) the per-market config YAML.</w:t>
      </w:r>
    </w:p>
    <w:p>
      <w:pPr>
        <w:pStyle w:val="ListParagraph"/>
        <w:numPr>
          <w:ilvl w:val="0"/>
          <w:numId w:val="1"/>
        </w:numPr>
        <w:spacing w:after="90" w:line="264"/>
      </w:pPr>
      <w:r>
        <w:t xml:space="preserve">A Bitbucket Server HTTP access token with repo admin (for webhook registration) and read/write permissions. This is the one step that cannot be scripted — there is no API to mint a token without one already existing.</w:t>
      </w:r>
    </w:p>
    <w:p>
      <w:pPr>
        <w:pStyle w:val="Heading2"/>
        <w:spacing w:after="160" w:before="320"/>
      </w:pPr>
      <w:r>
        <w:t xml:space="preserve">5.2 Automated setup (setup.sh) — recommended</w:t>
      </w:r>
    </w:p>
    <w:p>
      <w:pPr>
        <w:spacing w:after="160" w:line="276"/>
      </w:pPr>
      <w:r>
        <w:t xml:space="preserve">From the repo root:</w:t>
      </w:r>
    </w:p>
    <w:p>
      <w:pPr>
        <w:pBdr>
          <w:top w:val="single" w:color="C9D3DE" w:sz="2"/>
          <w:bottom w:val="single" w:color="C9D3DE" w:sz="2"/>
          <w:left w:val="single" w:color="C9D3DE" w:sz="2"/>
          <w:right w:val="single" w:color="C9D3DE" w:sz="2"/>
        </w:pBdr>
        <w:shd w:fill="F4F5F7" w:val="clear"/>
        <w:spacing w:after="160"/>
      </w:pPr>
      <w:r>
        <w:rPr>
          <w:rFonts w:ascii="Consolas" w:cs="Consolas" w:eastAsia="Consolas" w:hAnsi="Consolas"/>
          <w:sz w:val="18"/>
          <w:szCs w:val="18"/>
        </w:rPr>
        <w:t xml:space="preserve">cd terraform</w:t>
      </w:r>
      <w:r>
        <w:rPr>
          <w:rFonts w:ascii="Consolas" w:cs="Consolas" w:eastAsia="Consolas" w:hAnsi="Consolas"/>
          <w:sz w:val="18"/>
          <w:szCs w:val="18"/>
        </w:rPr>
        <w:br/>
        <w:t xml:space="preserve">BITBUCKET_URL=https://bitbucket.example.com \</w:t>
      </w:r>
      <w:r>
        <w:rPr>
          <w:rFonts w:ascii="Consolas" w:cs="Consolas" w:eastAsia="Consolas" w:hAnsi="Consolas"/>
          <w:sz w:val="18"/>
          <w:szCs w:val="18"/>
        </w:rPr>
        <w:br/>
        <w:t xml:space="preserve">PROJECT_KEY=&lt;your-project-key&gt; \</w:t>
      </w:r>
      <w:r>
        <w:rPr>
          <w:rFonts w:ascii="Consolas" w:cs="Consolas" w:eastAsia="Consolas" w:hAnsi="Consolas"/>
          <w:sz w:val="18"/>
          <w:szCs w:val="18"/>
        </w:rPr>
        <w:br/>
        <w:t xml:space="preserve">REPO_NAME=&lt;your-repo-slug&gt; \</w:t>
      </w:r>
      <w:r>
        <w:rPr>
          <w:rFonts w:ascii="Consolas" w:cs="Consolas" w:eastAsia="Consolas" w:hAnsi="Consolas"/>
          <w:sz w:val="18"/>
          <w:szCs w:val="18"/>
        </w:rPr>
        <w:br/>
        <w:t xml:space="preserve">BITBUCKET_TOKEN=&lt;the-access-token&gt; \</w:t>
      </w:r>
      <w:r>
        <w:rPr>
          <w:rFonts w:ascii="Consolas" w:cs="Consolas" w:eastAsia="Consolas" w:hAnsi="Consolas"/>
          <w:sz w:val="18"/>
          <w:szCs w:val="18"/>
        </w:rPr>
        <w:br/>
        <w:t xml:space="preserve">./setup.sh</w:t>
      </w:r>
    </w:p>
    <w:p>
      <w:pPr>
        <w:spacing w:after="160" w:line="276"/>
      </w:pPr>
      <w:r>
        <w:t xml:space="preserve">Optional flags: -y (or AUTO_APPROVE=1) skips Terraform's interactive apply confirmation. SCAFFOLD_IF_EMPTY=1 populates a brand-new, genuinely empty config repo with starter dev/qa/master branches — omit it against a repo that already has history.</w:t>
      </w:r>
    </w:p>
    <w:p>
      <w:pPr>
        <w:spacing w:after="160" w:line="276"/>
      </w:pPr>
      <w:r>
        <w:t xml:space="preserve">In order, the script: verifies the token can read the repo, stores the token in Secrets Manager, checks for a dev branch (and optionally scaffolds one), writes terraform.tfvars, runs terraform init + terraform apply, registers the Bitbucket webhook (creating it or updating an existing one to the current event set), and updates the frontend's .env in place (only VITE_API_BASE_URL / VITE_REPOSITORY_NAME — everything else in that file is left alone).</w:t>
      </w:r>
    </w:p>
    <w:p>
      <w:pPr>
        <w:spacing w:after="160" w:line="276"/>
      </w:pPr>
      <w:r>
        <w:t xml:space="preserve">Every step checks before it creates or overwrites, so re-running setup.sh after a Terraform change, or after a manual terraform apply, is safe and won't duplicate the secret, re-scaffold branches, clobber a hand-edited terraform.tfvars, or create a second webhook.</w:t>
      </w:r>
    </w:p>
    <w:p>
      <w:pPr>
        <w:pBdr>
          <w:top w:val="single" w:color="FDEEDC" w:sz="2"/>
          <w:bottom w:val="single" w:color="FDEEDC" w:sz="2"/>
          <w:left w:val="single" w:color="8A5A00" w:sz="24"/>
          <w:right w:val="single" w:color="FDEEDC" w:sz="2"/>
        </w:pBdr>
        <w:shd w:fill="FDEEDC" w:val="clear"/>
        <w:spacing w:after="200" w:before="80"/>
      </w:pPr>
      <w:r>
        <w:rPr>
          <w:b/>
          <w:bCs/>
          <w:color w:val="8A5A00"/>
          <w:sz w:val="20"/>
          <w:szCs w:val="20"/>
        </w:rPr>
        <w:t xml:space="preserve">Note:  </w:t>
      </w:r>
      <w:r>
        <w:rPr>
          <w:color w:val="2A2A2A"/>
          <w:sz w:val="20"/>
          <w:szCs w:val="20"/>
        </w:rPr>
        <w:t xml:space="preserve">A second, independently-registered webhook is one of the two confirmed causes of the duplicate-timeline-entry issue in §7.5 — re-running setup.sh (rather than registering a webhook by hand) is what keeps this from happening.</w:t>
      </w:r>
    </w:p>
    <w:p>
      <w:pPr>
        <w:pStyle w:val="Heading2"/>
        <w:spacing w:after="160" w:before="320"/>
      </w:pPr>
      <w:r>
        <w:t xml:space="preserve">5.3 Manual setup</w:t>
      </w:r>
    </w:p>
    <w:p>
      <w:pPr>
        <w:spacing w:after="160" w:line="276"/>
      </w:pPr>
      <w:r>
        <w:t xml:space="preserve">Use this if you want to understand each piece, or if setup.sh failed partway and you're resuming by hand.</w:t>
      </w:r>
    </w:p>
    <w:p>
      <w:pPr>
        <w:pStyle w:val="ListParagraph"/>
        <w:numPr>
          <w:ilvl w:val="0"/>
          <w:numId w:val="2"/>
        </w:numPr>
        <w:spacing w:after="90" w:line="264"/>
      </w:pPr>
      <w:r>
        <w:t xml:space="preserve">Config repo. Confirm it exists in Bitbucket. Only if it's genuinely empty and yours to initialize, run scaffold-config-repo.sh (see setup.sh's header comment for its variables) to create dev/qa/master branches with starter values.&lt;env&gt;.yaml files.</w:t>
      </w:r>
    </w:p>
    <w:p>
      <w:pPr>
        <w:pStyle w:val="ListParagraph"/>
        <w:numPr>
          <w:ilvl w:val="0"/>
          <w:numId w:val="2"/>
        </w:numPr>
        <w:spacing w:after="90" w:line="264"/>
      </w:pPr>
      <w:r>
        <w:t xml:space="preserve">Token in Secrets Manager: aws secretsmanager create-secret --name bitbucket-token --secret-string &lt;token&gt; --region &lt;region&gt; (use put-secret-value if the secret already exists). The name must match var.bitbucket_token_secret_name.</w:t>
      </w:r>
    </w:p>
    <w:p>
      <w:pPr>
        <w:pStyle w:val="ListParagraph"/>
        <w:numPr>
          <w:ilvl w:val="0"/>
          <w:numId w:val="2"/>
        </w:numPr>
        <w:spacing w:after="90" w:line="264"/>
      </w:pPr>
      <w:r>
        <w:t xml:space="preserve">Copy terraform.tfvars.example to terraform.tfvars and fill in bitbucket_url, project_key, repo_name, repo_base_path. Leave domain empty unless you have a verified SES identity — every notification function no-ops cleanly when it's unset.</w:t>
      </w:r>
    </w:p>
    <w:p>
      <w:pPr>
        <w:pStyle w:val="ListParagraph"/>
        <w:numPr>
          <w:ilvl w:val="0"/>
          <w:numId w:val="2"/>
        </w:numPr>
        <w:spacing w:after="90" w:line="264"/>
      </w:pPr>
      <w:r>
        <w:t xml:space="preserve">terraform init &amp;&amp; terraform apply.</w:t>
      </w:r>
    </w:p>
    <w:p>
      <w:pPr>
        <w:pStyle w:val="ListParagraph"/>
        <w:numPr>
          <w:ilvl w:val="0"/>
          <w:numId w:val="2"/>
        </w:numPr>
        <w:spacing w:after="90" w:line="264"/>
      </w:pPr>
      <w:r>
        <w:t xml:space="preserve">Register the webhook by hand: URL = &lt;api_base_url output&gt; + /dpc/bitbucket/webhook, content type application/json, subscribed to pr:opened, pr:modified, pr:merged, pr:declined, pr:deleted, pr:reviewer:approved, pr:reviewer:needs_work.</w:t>
      </w:r>
    </w:p>
    <w:p>
      <w:pPr>
        <w:pStyle w:val="ListParagraph"/>
        <w:numPr>
          <w:ilvl w:val="0"/>
          <w:numId w:val="2"/>
        </w:numPr>
        <w:spacing w:after="90" w:line="264"/>
      </w:pPr>
      <w:r>
        <w:t xml:space="preserve">Frontend env: set VITE_API_BASE_URL=&lt;api_base_url output&gt;/dpc and VITE_REPOSITORY_NAME=&lt;repo-slug&gt; in the frontend's .env, leaving every other key as-is.</w:t>
      </w:r>
    </w:p>
    <w:p>
      <w:pPr>
        <w:pStyle w:val="Heading2"/>
        <w:spacing w:after="160" w:before="320"/>
      </w:pPr>
      <w:r>
        <w:t xml:space="preserve">5.4 Configuration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200"/>
        <w:gridCol w:w="4500"/>
      </w:tblGrid>
      <w:tr>
        <w:trPr>
          <w:tblHeader/>
        </w:trPr>
        <w:tc>
          <w:tcPr>
            <w:tcW w:type="dxa" w:w="2650"/>
            <w:shd w:fill="12233F" w:val="clear"/>
            <w:tcMar>
              <w:top w:type="dxa" w:w="90"/>
              <w:left w:type="dxa" w:w="120"/>
              <w:bottom w:type="dxa" w:w="90"/>
              <w:right w:type="dxa" w:w="120"/>
            </w:tcMar>
            <w:vAlign w:val="center"/>
          </w:tcPr>
          <w:p>
            <w:pPr>
              <w:jc w:val="left"/>
            </w:pPr>
            <w:r>
              <w:rPr>
                <w:b/>
                <w:bCs/>
                <w:color w:val="FFFFFF"/>
                <w:sz w:val="19"/>
                <w:szCs w:val="19"/>
              </w:rPr>
              <w:t xml:space="preserve">Variable</w:t>
            </w:r>
          </w:p>
        </w:tc>
        <w:tc>
          <w:tcPr>
            <w:tcW w:type="dxa" w:w="2200"/>
            <w:shd w:fill="12233F" w:val="clear"/>
            <w:tcMar>
              <w:top w:type="dxa" w:w="90"/>
              <w:left w:type="dxa" w:w="120"/>
              <w:bottom w:type="dxa" w:w="90"/>
              <w:right w:type="dxa" w:w="120"/>
            </w:tcMar>
            <w:vAlign w:val="center"/>
          </w:tcPr>
          <w:p>
            <w:pPr>
              <w:jc w:val="left"/>
            </w:pPr>
            <w:r>
              <w:rPr>
                <w:b/>
                <w:bCs/>
                <w:color w:val="FFFFFF"/>
                <w:sz w:val="19"/>
                <w:szCs w:val="19"/>
              </w:rPr>
              <w:t xml:space="preserve">Required?</w:t>
            </w:r>
          </w:p>
        </w:tc>
        <w:tc>
          <w:tcPr>
            <w:tcW w:type="dxa" w:w="4500"/>
            <w:shd w:fill="12233F" w:val="clear"/>
            <w:tcMar>
              <w:top w:type="dxa" w:w="90"/>
              <w:left w:type="dxa" w:w="120"/>
              <w:bottom w:type="dxa" w:w="90"/>
              <w:right w:type="dxa" w:w="120"/>
            </w:tcMar>
            <w:vAlign w:val="center"/>
          </w:tcPr>
          <w:p>
            <w:pPr>
              <w:jc w:val="left"/>
            </w:pPr>
            <w:r>
              <w:rPr>
                <w:b/>
                <w:bCs/>
                <w:color w:val="FFFFFF"/>
                <w:sz w:val="19"/>
                <w:szCs w:val="19"/>
              </w:rPr>
              <w:t xml:space="preserve">Purpose</w:t>
            </w:r>
          </w:p>
        </w:tc>
      </w:tr>
      <w:tr>
        <w:tc>
          <w:tcPr>
            <w:tcW w:type="dxa" w:w="2650"/>
            <w:tcMar>
              <w:top w:type="dxa" w:w="90"/>
              <w:left w:type="dxa" w:w="120"/>
              <w:bottom w:type="dxa" w:w="90"/>
              <w:right w:type="dxa" w:w="120"/>
            </w:tcMar>
            <w:vAlign w:val="center"/>
          </w:tcPr>
          <w:p>
            <w:pPr>
              <w:jc w:val="left"/>
            </w:pPr>
            <w:r>
              <w:rPr>
                <w:b w:val="false"/>
                <w:bCs w:val="false"/>
                <w:color w:val="1B2733"/>
                <w:sz w:val="19"/>
                <w:szCs w:val="19"/>
              </w:rPr>
              <w:t xml:space="preserve">bitbucket_url, project_key, repo_name, repo_base_path</w:t>
            </w:r>
          </w:p>
        </w:tc>
        <w:tc>
          <w:tcPr>
            <w:tcW w:type="dxa" w:w="2200"/>
            <w:tcMar>
              <w:top w:type="dxa" w:w="90"/>
              <w:left w:type="dxa" w:w="120"/>
              <w:bottom w:type="dxa" w:w="90"/>
              <w:right w:type="dxa" w:w="120"/>
            </w:tcMar>
            <w:vAlign w:val="center"/>
          </w:tcPr>
          <w:p>
            <w:pPr>
              <w:jc w:val="left"/>
            </w:pPr>
            <w:r>
              <w:rPr>
                <w:b w:val="false"/>
                <w:bCs w:val="false"/>
                <w:color w:val="1B2733"/>
                <w:sz w:val="19"/>
                <w:szCs w:val="19"/>
              </w:rPr>
              <w:t xml:space="preserve">Required — no default</w:t>
            </w:r>
          </w:p>
        </w:tc>
        <w:tc>
          <w:tcPr>
            <w:tcW w:type="dxa" w:w="4500"/>
            <w:tcMar>
              <w:top w:type="dxa" w:w="90"/>
              <w:left w:type="dxa" w:w="120"/>
              <w:bottom w:type="dxa" w:w="90"/>
              <w:right w:type="dxa" w:w="120"/>
            </w:tcMar>
            <w:vAlign w:val="center"/>
          </w:tcPr>
          <w:p>
            <w:pPr>
              <w:jc w:val="left"/>
            </w:pPr>
            <w:r>
              <w:rPr>
                <w:b w:val="false"/>
                <w:bCs w:val="false"/>
                <w:color w:val="1B2733"/>
                <w:sz w:val="19"/>
                <w:szCs w:val="19"/>
              </w:rPr>
              <w:t xml:space="preserve">The gitops Lambda fails on every invocation until all four are set.</w:t>
            </w:r>
          </w:p>
        </w:tc>
      </w:tr>
      <w:tr>
        <w:tc>
          <w:tcPr>
            <w:tcW w:type="dxa" w:w="26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bitbucket_token_secret_name</w:t>
            </w:r>
          </w:p>
        </w:tc>
        <w:tc>
          <w:tcPr>
            <w:tcW w:type="dxa" w:w="22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Optional (default bitbucket-token)</w:t>
            </w:r>
          </w:p>
        </w:tc>
        <w:tc>
          <w:tcPr>
            <w:tcW w:type="dxa" w:w="45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Must match the SecretId used in lambda-gitops/handler.py.</w:t>
            </w:r>
          </w:p>
        </w:tc>
      </w:tr>
      <w:tr>
        <w:tc>
          <w:tcPr>
            <w:tcW w:type="dxa" w:w="2650"/>
            <w:tcMar>
              <w:top w:type="dxa" w:w="90"/>
              <w:left w:type="dxa" w:w="120"/>
              <w:bottom w:type="dxa" w:w="90"/>
              <w:right w:type="dxa" w:w="120"/>
            </w:tcMar>
            <w:vAlign w:val="center"/>
          </w:tcPr>
          <w:p>
            <w:pPr>
              <w:jc w:val="left"/>
            </w:pPr>
            <w:r>
              <w:rPr>
                <w:b w:val="false"/>
                <w:bCs w:val="false"/>
                <w:color w:val="1B2733"/>
                <w:sz w:val="19"/>
                <w:szCs w:val="19"/>
              </w:rPr>
              <w:t xml:space="preserve">pr_approver_usernames</w:t>
            </w:r>
          </w:p>
        </w:tc>
        <w:tc>
          <w:tcPr>
            <w:tcW w:type="dxa" w:w="2200"/>
            <w:tcMar>
              <w:top w:type="dxa" w:w="90"/>
              <w:left w:type="dxa" w:w="120"/>
              <w:bottom w:type="dxa" w:w="90"/>
              <w:right w:type="dxa" w:w="120"/>
            </w:tcMar>
            <w:vAlign w:val="center"/>
          </w:tcPr>
          <w:p>
            <w:pPr>
              <w:jc w:val="left"/>
            </w:pPr>
            <w:r>
              <w:rPr>
                <w:b w:val="false"/>
                <w:bCs w:val="false"/>
                <w:color w:val="1B2733"/>
                <w:sz w:val="19"/>
                <w:szCs w:val="19"/>
              </w:rPr>
              <w:t xml:space="preserve">Optional</w:t>
            </w:r>
          </w:p>
        </w:tc>
        <w:tc>
          <w:tcPr>
            <w:tcW w:type="dxa" w:w="4500"/>
            <w:tcMar>
              <w:top w:type="dxa" w:w="90"/>
              <w:left w:type="dxa" w:w="120"/>
              <w:bottom w:type="dxa" w:w="90"/>
              <w:right w:type="dxa" w:w="120"/>
            </w:tcMar>
            <w:vAlign w:val="center"/>
          </w:tcPr>
          <w:p>
            <w:pPr>
              <w:jc w:val="left"/>
            </w:pPr>
            <w:r>
              <w:rPr>
                <w:b w:val="false"/>
                <w:bCs w:val="false"/>
                <w:color w:val="1B2733"/>
                <w:sz w:val="19"/>
                <w:szCs w:val="19"/>
              </w:rPr>
              <w:t xml:space="preserve">Bitbucket usernames added as reviewers on every GitOps pull request. Empty = no reviewers added.</w:t>
            </w:r>
          </w:p>
        </w:tc>
      </w:tr>
      <w:tr>
        <w:tc>
          <w:tcPr>
            <w:tcW w:type="dxa" w:w="26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pr_approver_emails</w:t>
            </w:r>
          </w:p>
        </w:tc>
        <w:tc>
          <w:tcPr>
            <w:tcW w:type="dxa" w:w="22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Optional</w:t>
            </w:r>
          </w:p>
        </w:tc>
        <w:tc>
          <w:tcPr>
            <w:tcW w:type="dxa" w:w="45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SES recipients for the “PR/promotion needs review” notification. Not assumed to match pr_approver_usernames.</w:t>
            </w:r>
          </w:p>
        </w:tc>
      </w:tr>
      <w:tr>
        <w:tc>
          <w:tcPr>
            <w:tcW w:type="dxa" w:w="2650"/>
            <w:tcMar>
              <w:top w:type="dxa" w:w="90"/>
              <w:left w:type="dxa" w:w="120"/>
              <w:bottom w:type="dxa" w:w="90"/>
              <w:right w:type="dxa" w:w="120"/>
            </w:tcMar>
            <w:vAlign w:val="center"/>
          </w:tcPr>
          <w:p>
            <w:pPr>
              <w:jc w:val="left"/>
            </w:pPr>
            <w:r>
              <w:rPr>
                <w:b w:val="false"/>
                <w:bCs w:val="false"/>
                <w:color w:val="1B2733"/>
                <w:sz w:val="19"/>
                <w:szCs w:val="19"/>
              </w:rPr>
              <w:t xml:space="preserve">domain</w:t>
            </w:r>
          </w:p>
        </w:tc>
        <w:tc>
          <w:tcPr>
            <w:tcW w:type="dxa" w:w="2200"/>
            <w:tcMar>
              <w:top w:type="dxa" w:w="90"/>
              <w:left w:type="dxa" w:w="120"/>
              <w:bottom w:type="dxa" w:w="90"/>
              <w:right w:type="dxa" w:w="120"/>
            </w:tcMar>
            <w:vAlign w:val="center"/>
          </w:tcPr>
          <w:p>
            <w:pPr>
              <w:jc w:val="left"/>
            </w:pPr>
            <w:r>
              <w:rPr>
                <w:b w:val="false"/>
                <w:bCs w:val="false"/>
                <w:color w:val="1B2733"/>
                <w:sz w:val="19"/>
                <w:szCs w:val="19"/>
              </w:rPr>
              <w:t xml:space="preserve">Optional</w:t>
            </w:r>
          </w:p>
        </w:tc>
        <w:tc>
          <w:tcPr>
            <w:tcW w:type="dxa" w:w="4500"/>
            <w:tcMar>
              <w:top w:type="dxa" w:w="90"/>
              <w:left w:type="dxa" w:w="120"/>
              <w:bottom w:type="dxa" w:w="90"/>
              <w:right w:type="dxa" w:w="120"/>
            </w:tcMar>
            <w:vAlign w:val="center"/>
          </w:tcPr>
          <w:p>
            <w:pPr>
              <w:jc w:val="left"/>
            </w:pPr>
            <w:r>
              <w:rPr>
                <w:b w:val="false"/>
                <w:bCs w:val="false"/>
                <w:color w:val="1B2733"/>
                <w:sz w:val="19"/>
                <w:szCs w:val="19"/>
              </w:rPr>
              <w:t xml:space="preserve">Builds the notification sender as noreply@&lt;domain&gt;. Must be a verified SES identity. Empty disables all notification emails cleanly.</w:t>
            </w:r>
          </w:p>
        </w:tc>
      </w:tr>
      <w:tr>
        <w:tc>
          <w:tcPr>
            <w:tcW w:type="dxa" w:w="26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cors_allow_origins</w:t>
            </w:r>
          </w:p>
        </w:tc>
        <w:tc>
          <w:tcPr>
            <w:tcW w:type="dxa" w:w="22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Recommended in prod</w:t>
            </w:r>
          </w:p>
        </w:tc>
        <w:tc>
          <w:tcPr>
            <w:tcW w:type="dxa" w:w="45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Browser origins allowed to call the API — must include the deployed portal's CloudFront URL, or the browser will reject the response with a CORS error.</w:t>
            </w:r>
          </w:p>
        </w:tc>
      </w:tr>
      <w:tr>
        <w:tc>
          <w:tcPr>
            <w:tcW w:type="dxa" w:w="2650"/>
            <w:tcMar>
              <w:top w:type="dxa" w:w="90"/>
              <w:left w:type="dxa" w:w="120"/>
              <w:bottom w:type="dxa" w:w="90"/>
              <w:right w:type="dxa" w:w="120"/>
            </w:tcMar>
            <w:vAlign w:val="center"/>
          </w:tcPr>
          <w:p>
            <w:pPr>
              <w:jc w:val="left"/>
            </w:pPr>
            <w:r>
              <w:rPr>
                <w:b w:val="false"/>
                <w:bCs w:val="false"/>
                <w:color w:val="1B2733"/>
                <w:sz w:val="19"/>
                <w:szCs w:val="19"/>
              </w:rPr>
              <w:t xml:space="preserve">sweep_schedule_expression</w:t>
            </w:r>
          </w:p>
        </w:tc>
        <w:tc>
          <w:tcPr>
            <w:tcW w:type="dxa" w:w="2200"/>
            <w:tcMar>
              <w:top w:type="dxa" w:w="90"/>
              <w:left w:type="dxa" w:w="120"/>
              <w:bottom w:type="dxa" w:w="90"/>
              <w:right w:type="dxa" w:w="120"/>
            </w:tcMar>
            <w:vAlign w:val="center"/>
          </w:tcPr>
          <w:p>
            <w:pPr>
              <w:jc w:val="left"/>
            </w:pPr>
            <w:r>
              <w:rPr>
                <w:b w:val="false"/>
                <w:bCs w:val="false"/>
                <w:color w:val="1B2733"/>
                <w:sz w:val="19"/>
                <w:szCs w:val="19"/>
              </w:rPr>
              <w:t xml:space="preserve">Optional (default rate(10 minutes))</w:t>
            </w:r>
          </w:p>
        </w:tc>
        <w:tc>
          <w:tcPr>
            <w:tcW w:type="dxa" w:w="4500"/>
            <w:tcMar>
              <w:top w:type="dxa" w:w="90"/>
              <w:left w:type="dxa" w:w="120"/>
              <w:bottom w:type="dxa" w:w="90"/>
              <w:right w:type="dxa" w:w="120"/>
            </w:tcMar>
            <w:vAlign w:val="center"/>
          </w:tcPr>
          <w:p>
            <w:pPr>
              <w:jc w:val="left"/>
            </w:pPr>
            <w:r>
              <w:rPr>
                <w:b w:val="false"/>
                <w:bCs w:val="false"/>
                <w:color w:val="1B2733"/>
                <w:sz w:val="19"/>
                <w:szCs w:val="19"/>
              </w:rPr>
              <w:t xml:space="preserve">Keep in sync with SWEEP_STALE_MINUTES in lambda-gitops/handler.py (currently 10) so stuck items are picked up roughly once per staleness window.</w:t>
            </w:r>
          </w:p>
        </w:tc>
      </w:tr>
      <w:tr>
        <w:tc>
          <w:tcPr>
            <w:tcW w:type="dxa" w:w="26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enable_gitops_dlq</w:t>
            </w:r>
          </w:p>
        </w:tc>
        <w:tc>
          <w:tcPr>
            <w:tcW w:type="dxa" w:w="22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Optional (default true)</w:t>
            </w:r>
          </w:p>
        </w:tc>
        <w:tc>
          <w:tcPr>
            <w:tcW w:type="dxa" w:w="45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Set false only if sqs:CreateQueue is denied in this account (e.g. by an Organization SCP) — see §6.3 and §7.3.</w:t>
            </w:r>
          </w:p>
        </w:tc>
      </w:tr>
    </w:tbl>
    <w:p>
      <w:pPr>
        <w:pStyle w:val="Heading2"/>
        <w:spacing w:after="160" w:before="320"/>
      </w:pPr>
      <w:r>
        <w:t xml:space="preserve">5.5 Frontend hosting</w:t>
      </w:r>
    </w:p>
    <w:p>
      <w:pPr>
        <w:spacing w:after="160" w:line="276"/>
      </w:pPr>
      <w:r>
        <w:t xml:space="preserve">This Terraform module provisions the API/backend only — it does not create the S3 bucket or CloudFront distribution the frontend is served from; that hosting is managed separately. Deploying a frontend change is therefore a manual step outside this module: npm run build produces a static dist/ folder, which then needs to be synced to that S3 bucket with a CloudFront cache invalidation to follow.</w:t>
      </w:r>
    </w:p>
    <w:p>
      <w:pPr>
        <w:pBdr>
          <w:top w:val="single" w:color="FDEEDC" w:sz="2"/>
          <w:bottom w:val="single" w:color="FDEEDC" w:sz="2"/>
          <w:left w:val="single" w:color="8A5A00" w:sz="24"/>
          <w:right w:val="single" w:color="FDEEDC" w:sz="2"/>
        </w:pBdr>
        <w:shd w:fill="FDEEDC" w:val="clear"/>
        <w:spacing w:after="200" w:before="80"/>
      </w:pPr>
      <w:r>
        <w:rPr>
          <w:b/>
          <w:bCs/>
          <w:color w:val="8A5A00"/>
          <w:sz w:val="20"/>
          <w:szCs w:val="20"/>
        </w:rPr>
        <w:t xml:space="preserve">Note:  </w:t>
      </w:r>
      <w:r>
        <w:rPr>
          <w:color w:val="2A2A2A"/>
          <w:sz w:val="20"/>
          <w:szCs w:val="20"/>
        </w:rPr>
        <w:t xml:space="preserve">Because Vite bakes VITE_* values into the build at build time, not at runtime, a stale .env at build time produces a broken deployed bundle no matter what .env says afterward — always rebuild after changing VITE_API_BASE_URL, VITE_REPOSITORY_NAME, or any other VITE_* value.</w:t>
      </w:r>
    </w:p>
    <w:p>
      <w:r>
        <w:br w:type="page"/>
      </w:r>
    </w:p>
    <w:p>
      <w:pPr>
        <w:pStyle w:val="Heading1"/>
        <w:spacing w:after="200" w:before="420"/>
      </w:pPr>
      <w:r>
        <w:t xml:space="preserve">6. Day-2 Operations Runbook</w:t>
      </w:r>
    </w:p>
    <w:p>
      <w:pPr>
        <w:pStyle w:val="Heading2"/>
        <w:spacing w:after="160" w:before="320"/>
      </w:pPr>
      <w:r>
        <w:t xml:space="preserve">6.1 Monitoring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50"/>
      </w:tblGrid>
      <w:tr>
        <w:trPr>
          <w:tblHeader/>
        </w:trPr>
        <w:tc>
          <w:tcPr>
            <w:tcW w:type="dxa" w:w="1900"/>
            <w:shd w:fill="12233F" w:val="clear"/>
            <w:tcMar>
              <w:top w:type="dxa" w:w="90"/>
              <w:left w:type="dxa" w:w="120"/>
              <w:bottom w:type="dxa" w:w="90"/>
              <w:right w:type="dxa" w:w="120"/>
            </w:tcMar>
            <w:vAlign w:val="center"/>
          </w:tcPr>
          <w:p>
            <w:pPr>
              <w:jc w:val="left"/>
            </w:pPr>
            <w:r>
              <w:rPr>
                <w:b/>
                <w:bCs/>
                <w:color w:val="FFFFFF"/>
                <w:sz w:val="19"/>
                <w:szCs w:val="19"/>
              </w:rPr>
              <w:t xml:space="preserve">Check</w:t>
            </w:r>
          </w:p>
        </w:tc>
        <w:tc>
          <w:tcPr>
            <w:tcW w:type="dxa" w:w="3300"/>
            <w:shd w:fill="12233F" w:val="clear"/>
            <w:tcMar>
              <w:top w:type="dxa" w:w="90"/>
              <w:left w:type="dxa" w:w="120"/>
              <w:bottom w:type="dxa" w:w="90"/>
              <w:right w:type="dxa" w:w="120"/>
            </w:tcMar>
            <w:vAlign w:val="center"/>
          </w:tcPr>
          <w:p>
            <w:pPr>
              <w:jc w:val="left"/>
            </w:pPr>
            <w:r>
              <w:rPr>
                <w:b/>
                <w:bCs/>
                <w:color w:val="FFFFFF"/>
                <w:sz w:val="19"/>
                <w:szCs w:val="19"/>
              </w:rPr>
              <w:t xml:space="preserve">Where</w:t>
            </w:r>
          </w:p>
        </w:tc>
        <w:tc>
          <w:tcPr>
            <w:tcW w:type="dxa" w:w="4150"/>
            <w:shd w:fill="12233F" w:val="clear"/>
            <w:tcMar>
              <w:top w:type="dxa" w:w="90"/>
              <w:left w:type="dxa" w:w="120"/>
              <w:bottom w:type="dxa" w:w="90"/>
              <w:right w:type="dxa" w:w="120"/>
            </w:tcMar>
            <w:vAlign w:val="center"/>
          </w:tcPr>
          <w:p>
            <w:pPr>
              <w:jc w:val="left"/>
            </w:pPr>
            <w:r>
              <w:rPr>
                <w:b/>
                <w:bCs/>
                <w:color w:val="FFFFFF"/>
                <w:sz w:val="19"/>
                <w:szCs w:val="19"/>
              </w:rPr>
              <w:t xml:space="preserve">Look for</w:t>
            </w:r>
          </w:p>
        </w:tc>
      </w:tr>
      <w:tr>
        <w:tc>
          <w:tcPr>
            <w:tcW w:type="dxa" w:w="1900"/>
            <w:tcMar>
              <w:top w:type="dxa" w:w="90"/>
              <w:left w:type="dxa" w:w="120"/>
              <w:bottom w:type="dxa" w:w="90"/>
              <w:right w:type="dxa" w:w="120"/>
            </w:tcMar>
            <w:vAlign w:val="center"/>
          </w:tcPr>
          <w:p>
            <w:pPr>
              <w:jc w:val="left"/>
            </w:pPr>
            <w:r>
              <w:rPr>
                <w:b w:val="false"/>
                <w:bCs w:val="false"/>
                <w:color w:val="1B2733"/>
                <w:sz w:val="19"/>
                <w:szCs w:val="19"/>
              </w:rPr>
              <w:t xml:space="preserve">Lambda errors</w:t>
            </w:r>
          </w:p>
        </w:tc>
        <w:tc>
          <w:tcPr>
            <w:tcW w:type="dxa" w:w="3300"/>
            <w:tcMar>
              <w:top w:type="dxa" w:w="90"/>
              <w:left w:type="dxa" w:w="120"/>
              <w:bottom w:type="dxa" w:w="90"/>
              <w:right w:type="dxa" w:w="120"/>
            </w:tcMar>
            <w:vAlign w:val="center"/>
          </w:tcPr>
          <w:p>
            <w:pPr>
              <w:jc w:val="left"/>
            </w:pPr>
            <w:r>
              <w:rPr>
                <w:b w:val="false"/>
                <w:bCs w:val="false"/>
                <w:color w:val="1B2733"/>
                <w:sz w:val="19"/>
                <w:szCs w:val="19"/>
              </w:rPr>
              <w:t xml:space="preserve">CloudWatch Logs, /aws/lambda/&lt;project&gt;-request-api (main Lambda) and /aws/lambda/&lt;project&gt;-gitops log groups</w:t>
            </w:r>
          </w:p>
        </w:tc>
        <w:tc>
          <w:tcPr>
            <w:tcW w:type="dxa" w:w="4150"/>
            <w:tcMar>
              <w:top w:type="dxa" w:w="90"/>
              <w:left w:type="dxa" w:w="120"/>
              <w:bottom w:type="dxa" w:w="90"/>
              <w:right w:type="dxa" w:w="120"/>
            </w:tcMar>
            <w:vAlign w:val="center"/>
          </w:tcPr>
          <w:p>
            <w:pPr>
              <w:jc w:val="left"/>
            </w:pPr>
            <w:r>
              <w:rPr>
                <w:b w:val="false"/>
                <w:bCs w:val="false"/>
                <w:color w:val="1B2733"/>
                <w:sz w:val="19"/>
                <w:szCs w:val="19"/>
              </w:rPr>
              <w:t xml:space="preserve">Unhandled exceptions — lambda_handler catches everything and returns 500, but always logs the error first.</w:t>
            </w:r>
          </w:p>
        </w:tc>
      </w:tr>
      <w:tr>
        <w:tc>
          <w:tcPr>
            <w:tcW w:type="dxa" w:w="19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Latency / throttles / error rate</w:t>
            </w:r>
          </w:p>
        </w:tc>
        <w:tc>
          <w:tcPr>
            <w:tcW w:type="dxa" w:w="33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CloudWatch Metrics, AWS/Lambda namespace, per function name</w:t>
            </w:r>
          </w:p>
        </w:tc>
        <w:tc>
          <w:tcPr>
            <w:tcW w:type="dxa" w:w="41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Duration, Errors, and Throttles for both the main and gitops Lambdas. Neither function in this module ships with an APM agent (New Relic or otherwise) — CloudWatch is the only built-in signal unless one is added.</w:t>
            </w:r>
          </w:p>
        </w:tc>
      </w:tr>
      <w:tr>
        <w:tc>
          <w:tcPr>
            <w:tcW w:type="dxa" w:w="1900"/>
            <w:tcMar>
              <w:top w:type="dxa" w:w="90"/>
              <w:left w:type="dxa" w:w="120"/>
              <w:bottom w:type="dxa" w:w="90"/>
              <w:right w:type="dxa" w:w="120"/>
            </w:tcMar>
            <w:vAlign w:val="center"/>
          </w:tcPr>
          <w:p>
            <w:pPr>
              <w:jc w:val="left"/>
            </w:pPr>
            <w:r>
              <w:rPr>
                <w:b w:val="false"/>
                <w:bCs w:val="false"/>
                <w:color w:val="1B2733"/>
                <w:sz w:val="19"/>
                <w:szCs w:val="19"/>
              </w:rPr>
              <w:t xml:space="preserve">Sweep health</w:t>
            </w:r>
          </w:p>
        </w:tc>
        <w:tc>
          <w:tcPr>
            <w:tcW w:type="dxa" w:w="3300"/>
            <w:tcMar>
              <w:top w:type="dxa" w:w="90"/>
              <w:left w:type="dxa" w:w="120"/>
              <w:bottom w:type="dxa" w:w="90"/>
              <w:right w:type="dxa" w:w="120"/>
            </w:tcMar>
            <w:vAlign w:val="center"/>
          </w:tcPr>
          <w:p>
            <w:pPr>
              <w:jc w:val="left"/>
            </w:pPr>
            <w:r>
              <w:rPr>
                <w:b w:val="false"/>
                <w:bCs w:val="false"/>
                <w:color w:val="1B2733"/>
                <w:sz w:val="19"/>
                <w:szCs w:val="19"/>
              </w:rPr>
              <w:t xml:space="preserve">aws_cloudwatch_event_rule.gitops_sweep (EventBridge rule) invocation history</w:t>
            </w:r>
          </w:p>
        </w:tc>
        <w:tc>
          <w:tcPr>
            <w:tcW w:type="dxa" w:w="4150"/>
            <w:tcMar>
              <w:top w:type="dxa" w:w="90"/>
              <w:left w:type="dxa" w:w="120"/>
              <w:bottom w:type="dxa" w:w="90"/>
              <w:right w:type="dxa" w:w="120"/>
            </w:tcMar>
            <w:vAlign w:val="center"/>
          </w:tcPr>
          <w:p>
            <w:pPr>
              <w:jc w:val="left"/>
            </w:pPr>
            <w:r>
              <w:rPr>
                <w:b w:val="false"/>
                <w:bCs w:val="false"/>
                <w:color w:val="1B2733"/>
                <w:sz w:val="19"/>
                <w:szCs w:val="19"/>
              </w:rPr>
              <w:t xml:space="preserve">The rule should be firing on schedule and the target Lambda invocation succeeding. See §6.2 for what it does.</w:t>
            </w:r>
          </w:p>
        </w:tc>
      </w:tr>
      <w:tr>
        <w:tc>
          <w:tcPr>
            <w:tcW w:type="dxa" w:w="19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Last-resort failures</w:t>
            </w:r>
          </w:p>
        </w:tc>
        <w:tc>
          <w:tcPr>
            <w:tcW w:type="dxa" w:w="33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gitops_dlq_url output (SQS queue), only if enable_gitops_dlq = true</w:t>
            </w:r>
          </w:p>
        </w:tc>
        <w:tc>
          <w:tcPr>
            <w:tcW w:type="dxa" w:w="41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Any message here means an item exhausted every retry (in-handler and Lambda's own async retries) and needs a human look. See §6.3.</w:t>
            </w:r>
          </w:p>
        </w:tc>
      </w:tr>
      <w:tr>
        <w:tc>
          <w:tcPr>
            <w:tcW w:type="dxa" w:w="1900"/>
            <w:tcMar>
              <w:top w:type="dxa" w:w="90"/>
              <w:left w:type="dxa" w:w="120"/>
              <w:bottom w:type="dxa" w:w="90"/>
              <w:right w:type="dxa" w:w="120"/>
            </w:tcMar>
            <w:vAlign w:val="center"/>
          </w:tcPr>
          <w:p>
            <w:pPr>
              <w:jc w:val="left"/>
            </w:pPr>
            <w:r>
              <w:rPr>
                <w:b w:val="false"/>
                <w:bCs w:val="false"/>
                <w:color w:val="1B2733"/>
                <w:sz w:val="19"/>
                <w:szCs w:val="19"/>
              </w:rPr>
              <w:t xml:space="preserve">Stuck requests</w:t>
            </w:r>
          </w:p>
        </w:tc>
        <w:tc>
          <w:tcPr>
            <w:tcW w:type="dxa" w:w="3300"/>
            <w:tcMar>
              <w:top w:type="dxa" w:w="90"/>
              <w:left w:type="dxa" w:w="120"/>
              <w:bottom w:type="dxa" w:w="90"/>
              <w:right w:type="dxa" w:w="120"/>
            </w:tcMar>
            <w:vAlign w:val="center"/>
          </w:tcPr>
          <w:p>
            <w:pPr>
              <w:jc w:val="left"/>
            </w:pPr>
            <w:r>
              <w:rPr>
                <w:b w:val="false"/>
                <w:bCs w:val="false"/>
                <w:color w:val="1B2733"/>
                <w:sz w:val="19"/>
                <w:szCs w:val="19"/>
              </w:rPr>
              <w:t xml:space="preserve">DynamoDB requests table — scan for status = SYNC_FAILED or an item whose request_id begins LOCK# with status = FAILED</w:t>
            </w:r>
          </w:p>
        </w:tc>
        <w:tc>
          <w:tcPr>
            <w:tcW w:type="dxa" w:w="4150"/>
            <w:tcMar>
              <w:top w:type="dxa" w:w="90"/>
              <w:left w:type="dxa" w:w="120"/>
              <w:bottom w:type="dxa" w:w="90"/>
              <w:right w:type="dxa" w:w="120"/>
            </w:tcMar>
            <w:vAlign w:val="center"/>
          </w:tcPr>
          <w:p>
            <w:pPr>
              <w:jc w:val="left"/>
            </w:pPr>
            <w:r>
              <w:rPr>
                <w:b w:val="false"/>
                <w:bCs w:val="false"/>
                <w:color w:val="1B2733"/>
                <w:sz w:val="19"/>
                <w:szCs w:val="19"/>
              </w:rPr>
              <w:t xml:space="preserve">Anything older than a few sweep cycles that's still stuck; check sync_failure_count against the 5-retry cap (§6.2).</w:t>
            </w:r>
          </w:p>
        </w:tc>
      </w:tr>
    </w:tbl>
    <w:p>
      <w:pPr>
        <w:pStyle w:val="Heading2"/>
        <w:spacing w:after="160" w:before="320"/>
      </w:pPr>
      <w:r>
        <w:t xml:space="preserve">6.2 The automatic retry sweep</w:t>
      </w:r>
    </w:p>
    <w:p>
      <w:pPr>
        <w:spacing w:after="160" w:line="276"/>
      </w:pPr>
      <w:r>
        <w:t xml:space="preserve">handle_sweep runs on the gitops_sweep EventBridge schedule (default every 10 minutes) and is the main reason most transient Bitbucket outages resolve themselves without anyone re-submitting anything. Each run:</w:t>
      </w:r>
    </w:p>
    <w:p>
      <w:pPr>
        <w:pStyle w:val="ListParagraph"/>
        <w:numPr>
          <w:ilvl w:val="0"/>
          <w:numId w:val="1"/>
        </w:numPr>
        <w:spacing w:after="90" w:line="264"/>
      </w:pPr>
      <w:r>
        <w:t xml:space="preserve">Scans for requests with status SYNC_FAILED and re-runs handle_create_pr for each one whose last attempt is at least SWEEP_STALE_MINUTES (10) old — skipping anything still within that window so a slow-but-succeeding first attempt isn't raced.</w:t>
      </w:r>
    </w:p>
    <w:p>
      <w:pPr>
        <w:pStyle w:val="ListParagraph"/>
        <w:numPr>
          <w:ilvl w:val="0"/>
          <w:numId w:val="1"/>
        </w:numPr>
        <w:spacing w:after="90" w:line="264"/>
      </w:pPr>
      <w:r>
        <w:t xml:space="preserve">Scans for promotion “locks” (items whose request_id begins LOCK#) that are FAILED, or stuck CLAIMING with no pr_id (e.g. the Lambda crashed before it could self-report), and re-runs handle_promote for each.</w:t>
      </w:r>
    </w:p>
    <w:p>
      <w:pPr>
        <w:pStyle w:val="ListParagraph"/>
        <w:numPr>
          <w:ilvl w:val="0"/>
          <w:numId w:val="1"/>
        </w:numPr>
        <w:spacing w:after="90" w:line="264"/>
      </w:pPr>
      <w:r>
        <w:t xml:space="preserve">Caps retries per item at SYNC_MAX_AUTO_RETRIES (5) via each item's sync_failure_count — beyond that it's reported as skipped-for-cap rather than retried forever.</w:t>
      </w:r>
    </w:p>
    <w:p>
      <w:pPr>
        <w:pStyle w:val="ListParagraph"/>
        <w:numPr>
          <w:ilvl w:val="0"/>
          <w:numId w:val="1"/>
        </w:numPr>
        <w:spacing w:after="90" w:line="264"/>
      </w:pPr>
      <w:r>
        <w:t xml:space="preserve">Bails out early if the Lambda's own remaining execution time drops below a 30-second safety margin, so a long-lasting outage with many stuck items can't blow the sweep's own timeout mid-run — anything left over is simply picked up on the next scheduled run.</w:t>
      </w:r>
    </w:p>
    <w:p>
      <w:pPr>
        <w:spacing w:after="160" w:line="276"/>
      </w:pPr>
      <w:r>
        <w:t xml:space="preserve">A run's summary (counts of requests/locks retried vs. skipped-for-cap) is printed to CloudWatch Logs as [SWEEP] {...} — grep the gitops log group for that prefix to see recent sweep activity.</w:t>
      </w:r>
    </w:p>
    <w:p>
      <w:pPr>
        <w:pStyle w:val="Heading2"/>
        <w:spacing w:after="160" w:before="320"/>
      </w:pPr>
      <w:r>
        <w:t xml:space="preserve">6.3 The dead-letter queue (DLQ)</w:t>
      </w:r>
    </w:p>
    <w:p>
      <w:pPr>
        <w:spacing w:after="160" w:line="276"/>
      </w:pPr>
      <w:r>
        <w:t xml:space="preserve">aws_sqs_queue.gitops_dlq is the gitops Lambda's async on-failure destination — it only receives a message if an invocation fails all the way through both the handler's own retry logic (_request_with_retry: 3 attempts with backoff on 429/5xx) and Lambda's own built-in asynchronous retries. In practice this means a message here represents an outage or failure the automatic sweep (§6.2) has also been unable to clear on its own — worth a manual look, not an auto-recoverable case.</w:t>
      </w:r>
    </w:p>
    <w:p>
      <w:pPr>
        <w:pBdr>
          <w:top w:val="single" w:color="FBEFEF" w:sz="2"/>
          <w:bottom w:val="single" w:color="FBEFEF" w:sz="2"/>
          <w:left w:val="single" w:color="8A2D2D" w:sz="24"/>
          <w:right w:val="single" w:color="FBEFEF" w:sz="2"/>
        </w:pBdr>
        <w:shd w:fill="FBEFEF" w:val="clear"/>
        <w:spacing w:after="200" w:before="80"/>
      </w:pPr>
      <w:r>
        <w:rPr>
          <w:b/>
          <w:bCs/>
          <w:color w:val="8A2D2D"/>
          <w:sz w:val="20"/>
          <w:szCs w:val="20"/>
        </w:rPr>
        <w:t xml:space="preserve">Important:  </w:t>
      </w:r>
      <w:r>
        <w:rPr>
          <w:color w:val="2A2A2A"/>
          <w:sz w:val="20"/>
          <w:szCs w:val="20"/>
        </w:rPr>
        <w:t xml:space="preserve">This queue is optional and gated by var.enable_gitops_dlq. Some AWS Organizations deny sqs:CreateQueue via a Service Control Policy — if terraform apply fails with an AccessDenied naming an explicit deny in a service control policy, set enable_gitops_dlq = false and re-apply (see §7.3). The sweep in §6.2 is completely unaffected either way; only this last-resort visibility is lost when it's false.</w:t>
      </w:r>
    </w:p>
    <w:p>
      <w:pPr>
        <w:pStyle w:val="Heading2"/>
        <w:spacing w:after="160" w:before="320"/>
      </w:pPr>
      <w:r>
        <w:t xml:space="preserve">6.4 Rotating the Bitbucket access token</w:t>
      </w:r>
    </w:p>
    <w:p>
      <w:pPr>
        <w:pStyle w:val="ListParagraph"/>
        <w:numPr>
          <w:ilvl w:val="0"/>
          <w:numId w:val="3"/>
        </w:numPr>
        <w:spacing w:after="90" w:line="264"/>
      </w:pPr>
      <w:r>
        <w:t xml:space="preserve">Create a new HTTP access token in Bitbucket Server with the same permissions as the current one (repo admin + read/write).</w:t>
      </w:r>
    </w:p>
    <w:p>
      <w:pPr>
        <w:pStyle w:val="ListParagraph"/>
        <w:numPr>
          <w:ilvl w:val="0"/>
          <w:numId w:val="3"/>
        </w:numPr>
        <w:spacing w:after="90" w:line="264"/>
      </w:pPr>
      <w:r>
        <w:t xml:space="preserve">aws secretsmanager put-secret-value --secret-id &lt;bitbucket_token_secret_name&gt; --secret-string &lt;new-token&gt; --region &lt;region&gt;.</w:t>
      </w:r>
    </w:p>
    <w:p>
      <w:pPr>
        <w:pStyle w:val="ListParagraph"/>
        <w:numPr>
          <w:ilvl w:val="0"/>
          <w:numId w:val="3"/>
        </w:numPr>
        <w:spacing w:after="90" w:line="264"/>
      </w:pPr>
      <w:r>
        <w:t xml:space="preserve">No Terraform apply or Lambda redeploy is needed — the gitops Lambda reads the secret fresh on every invocation via GetSecretValue.</w:t>
      </w:r>
    </w:p>
    <w:p>
      <w:pPr>
        <w:pStyle w:val="ListParagraph"/>
        <w:numPr>
          <w:ilvl w:val="0"/>
          <w:numId w:val="3"/>
        </w:numPr>
        <w:spacing w:after="90" w:line="264"/>
      </w:pPr>
      <w:r>
        <w:t xml:space="preserve">Revoke the old token in Bitbucket once you've confirmed a new request/promotion PR opens successfully.</w:t>
      </w:r>
    </w:p>
    <w:p>
      <w:pPr>
        <w:pStyle w:val="Heading2"/>
        <w:spacing w:after="160" w:before="320"/>
      </w:pPr>
      <w:r>
        <w:t xml:space="preserve">6.5 Adding a new market or config field</w:t>
      </w:r>
    </w:p>
    <w:p>
      <w:pPr>
        <w:spacing w:after="160" w:line="276"/>
      </w:pPr>
      <w:r>
        <w:t xml:space="preserve">The portal itself doesn't need a config change to support a new market — market_code is free-form on the request payload. What needs to exist is the corresponding values.&lt;env&gt;.yaml file(s) under the config repo's repo_base_path for that market, matching the {buckets, secrets, kmsKeys, functions} structure process_yaml_updates (lambda-gitops/handler.py) expects. If the market's branches don't have that file yet, create it (empty arrays are fine) before the first request for that market comes through — otherwise the first PR for it will fail to find a file to update.</w:t>
      </w:r>
    </w:p>
    <w:p>
      <w:r>
        <w:br w:type="page"/>
      </w:r>
    </w:p>
    <w:p>
      <w:pPr>
        <w:pStyle w:val="Heading1"/>
        <w:spacing w:after="200" w:before="420"/>
      </w:pPr>
      <w:r>
        <w:t xml:space="preserve">7. Troubleshooting / Incident Runbook</w:t>
      </w:r>
    </w:p>
    <w:p>
      <w:pPr>
        <w:spacing w:after="160" w:line="276"/>
      </w:pPr>
      <w:r>
        <w:t xml:space="preserve">Every issue below was actually hit and fixed while standing up this stack. Each entry gives the exact symptom to match against, the root cause, and the fix — in the order you're most likely to hit them during a first deployment.</w:t>
      </w:r>
    </w:p>
    <w:p>
      <w:pPr>
        <w:pStyle w:val="Heading2"/>
        <w:spacing w:after="160" w:before="320"/>
      </w:pPr>
      <w:r>
        <w:t xml:space="preserve">7.1 GitOps Lambda fails on every invocation</w:t>
      </w:r>
    </w:p>
    <w:p>
      <w:pPr>
        <w:spacing w:after="160" w:line="276"/>
      </w:pPr>
      <w:r>
        <w:t xml:space="preserve">Symptom: every request gets stuck at REQUEST_RECEIVED, or a direct Lambda invoke errors immediately.</w:t>
      </w:r>
    </w:p>
    <w:p>
      <w:pPr>
        <w:spacing w:after="160" w:line="276"/>
      </w:pPr>
      <w:r>
        <w:t xml:space="preserve">Cause: bitbucket_url, project_key, repo_name, or repo_base_path is unset in terraform.tfvars — these have no default and the Lambda checks for them explicitly on every invocation.</w:t>
      </w:r>
    </w:p>
    <w:p>
      <w:pPr>
        <w:spacing w:after="160" w:line="276"/>
      </w:pPr>
      <w:r>
        <w:t xml:space="preserve">Fix: set all four in terraform.tfvars (§5.4) and terraform apply.</w:t>
      </w:r>
    </w:p>
    <w:p>
      <w:pPr>
        <w:pStyle w:val="Heading2"/>
        <w:spacing w:after="160" w:before="320"/>
      </w:pPr>
      <w:r>
        <w:t xml:space="preserve">7.2 A specific request never got its DYNAMODB_TABLE-related error</w:t>
      </w:r>
    </w:p>
    <w:p>
      <w:pPr>
        <w:spacing w:after="160" w:line="276"/>
      </w:pPr>
      <w:r>
        <w:t xml:space="preserve">Symptom: CloudWatch shows [FAILURE] action-PROMOTE failed after retries: DYNAMODB_TABLE is not configured - required for promotion PRs, and/or requests appear to promote in Bitbucket but never update status in the portal.</w:t>
      </w:r>
    </w:p>
    <w:p>
      <w:pPr>
        <w:spacing w:after="160" w:line="276"/>
      </w:pPr>
      <w:r>
        <w:t xml:space="preserve">Cause: the gitops Lambda's environment block was missing the DYNAMODB_TABLE variable, so any code path that needs to read/write the requests table directly (promotion bookkeeping) had nothing to point at.</w:t>
      </w:r>
    </w:p>
    <w:p>
      <w:pPr>
        <w:spacing w:after="160" w:line="276"/>
      </w:pPr>
      <w:r>
        <w:t xml:space="preserve">Fix: add DYNAMODB_TABLE = aws_dynamodb_table.requests.name to aws_lambda_function.gitops's environment.variables, and grant the gitops IAM role the matching DynamoDB permissions (GetItem/PutItem/UpdateItem/Scan) — this repo's main.tf already has both wired up correctly; this entry exists because it's the single most common gap when standing up a fresh copy of the stack by hand.</w:t>
      </w:r>
    </w:p>
    <w:p>
      <w:pPr>
        <w:pStyle w:val="Heading2"/>
        <w:spacing w:after="160" w:before="320"/>
      </w:pPr>
      <w:r>
        <w:t xml:space="preserve">7.3 terraform apply fails with AccessDenied on sqs:CreateQueue</w:t>
      </w:r>
    </w:p>
    <w:p>
      <w:pPr>
        <w:spacing w:after="160" w:line="276"/>
      </w:pPr>
      <w:r>
        <w:t xml:space="preserve">Symptom: apply fails with a message naming an explicit deny in a service control policy.</w:t>
      </w:r>
    </w:p>
    <w:p>
      <w:pPr>
        <w:spacing w:after="160" w:line="276"/>
      </w:pPr>
      <w:r>
        <w:t xml:space="preserve">Cause: an AWS Organization SCP blocking SQS queue creation account-wide — no IAM permission can override an SCP deny.</w:t>
      </w:r>
    </w:p>
    <w:p>
      <w:pPr>
        <w:spacing w:after="160" w:line="276"/>
      </w:pPr>
      <w:r>
        <w:t xml:space="preserve">Fix: set enable_gitops_dlq = false in terraform.tfvars and re-apply (§5.4, §6.3). Nothing else in the stack — including the automatic sweep in §6.2 — depends on this queue.</w:t>
      </w:r>
    </w:p>
    <w:p>
      <w:pPr>
        <w:pStyle w:val="Heading2"/>
        <w:spacing w:after="160" w:before="320"/>
      </w:pPr>
      <w:r>
        <w:t xml:space="preserve">7.4 Local-exec provisioner error on Windows ("'rm' is not recognized...")</w:t>
      </w:r>
    </w:p>
    <w:p>
      <w:pPr>
        <w:spacing w:after="160" w:line="276"/>
      </w:pPr>
      <w:r>
        <w:t xml:space="preserve">Symptom: terraform apply fails building the gitops Lambda layer, with a shell error implying rm, mkdir -p, or &amp;&amp; chaining isn't understood.</w:t>
      </w:r>
    </w:p>
    <w:p>
      <w:pPr>
        <w:spacing w:after="160" w:line="276"/>
      </w:pPr>
      <w:r>
        <w:t xml:space="preserve">Cause: local-exec runs under the host's native shell — PowerShell/cmd.exe on Windows, which doesn't understand Unix shell syntax — and the provisioner didn't branch on OS.</w:t>
      </w:r>
    </w:p>
    <w:p>
      <w:pPr>
        <w:spacing w:after="160" w:line="276"/>
      </w:pPr>
      <w:r>
        <w:t xml:space="preserve">Fix: this repo's main.tf detects a Windows-built terraform binary (abspath(path.module) renders with a drive-letter colon) and branches the provisioner's interpreter and command between PowerShell and /bin/sh accordingly. A related follow-up error ("pip3 is not recognized") is handled the same way — both the Windows and Unix branches now probe pip3, then pip, then python -m pip (plus py -m pip on Windows) rather than assuming one specific executable name is on PATH.</w:t>
      </w:r>
    </w:p>
    <w:p>
      <w:pPr>
        <w:pStyle w:val="Heading2"/>
        <w:spacing w:after="160" w:before="320"/>
      </w:pPr>
      <w:r>
        <w:t xml:space="preserve">7.5 The UI shows the same status twice for one promotion</w:t>
      </w:r>
    </w:p>
    <w:p>
      <w:pPr>
        <w:spacing w:after="160" w:line="276"/>
      </w:pPr>
      <w:r>
        <w:t xml:space="preserve">Symptom: a request's timeline shows an identical status entry (e.g. DEV_MERGED_AWAITING_QA) twice, timestamped about a second apart.</w:t>
      </w:r>
    </w:p>
    <w:p>
      <w:pPr>
        <w:spacing w:after="160" w:line="276"/>
      </w:pPr>
      <w:r>
        <w:t xml:space="preserve">Cause: lambda/handler.py's _update_item always appends a new history entry — there is no idempotency guard keyed on the Bitbucket event or PR id. The identical status (rather than a further-advanced one) means two Lambda invocations raced each other off the same pr:merged action, both reading the pre-update item before either one's write committed.</w:t>
      </w:r>
    </w:p>
    <w:p>
      <w:pPr>
        <w:spacing w:after="160" w:line="276"/>
      </w:pPr>
      <w:r>
        <w:t xml:space="preserve">Fix / check: this is a code-level gap, not yet fixed in the handler. First check Bitbucket Repository settings → Webhooks for a duplicate registration pointing at /dpc/bitbucket/webhook (the more common cause, and a one-click check) — consistently using setup.sh (§5.2) to register/update the webhook rather than doing it by hand avoids this. If only one webhook is registered, the likelier cause is Bitbucket redelivering because the Lambda's response was slow enough to hit Bitbucket's webhook timeout. A permanent fix would add an idempotency check to _update_item / handle_stage_event (e.g. skip the write if the same event/PR id was already recorded) — flagged here for a future change, not yet implemented.</w:t>
      </w:r>
    </w:p>
    <w:p>
      <w:pPr>
        <w:pStyle w:val="Heading2"/>
        <w:spacing w:after="160" w:before="320"/>
      </w:pPr>
      <w:r>
        <w:t xml:space="preserve">7.6 CORS error in the browser ("No 'Access-Control-Allow-Origin' header")</w:t>
      </w:r>
    </w:p>
    <w:p>
      <w:pPr>
        <w:spacing w:after="160" w:line="276"/>
      </w:pPr>
      <w:r>
        <w:t xml:space="preserve">Symptom: the browser console shows a CORS error calling the API, typically noticed when testing the CloudFront-hosted build rather than a local dev server.</w:t>
      </w:r>
    </w:p>
    <w:p>
      <w:pPr>
        <w:spacing w:after="160" w:line="276"/>
      </w:pPr>
      <w:r>
        <w:t xml:space="preserve">Two independent causes, check both:</w:t>
      </w:r>
    </w:p>
    <w:p>
      <w:pPr>
        <w:pStyle w:val="ListParagraph"/>
        <w:numPr>
          <w:ilvl w:val="0"/>
          <w:numId w:val="1"/>
        </w:numPr>
        <w:spacing w:after="90" w:line="264"/>
      </w:pPr>
      <w:r>
        <w:t xml:space="preserve">API Gateway CORS config: cors_allow_origins must include the exact origin the browser is calling from. aws_apigatewayv2_api's native CORS only adds the Access-Control-Allow-Origin header for an origin in that exact list — anything else gets no CORS header at all, not a wildcard fallback.</w:t>
      </w:r>
    </w:p>
    <w:p>
      <w:pPr>
        <w:pStyle w:val="ListParagraph"/>
        <w:numPr>
          <w:ilvl w:val="0"/>
          <w:numId w:val="1"/>
        </w:numPr>
        <w:spacing w:after="90" w:line="264"/>
      </w:pPr>
      <w:r>
        <w:t xml:space="preserve">Lambda-level CORS: if the handler also reads a CORS_ALLOW_ORIGINS environment variable to decide whether to echo back the Origin header (see response() in lambda/handler.py), that variable needs the same origin added independently of the API Gateway config above.</w:t>
      </w:r>
    </w:p>
    <w:p>
      <w:pPr>
        <w:pBdr>
          <w:top w:val="single" w:color="FDEEDC" w:sz="2"/>
          <w:bottom w:val="single" w:color="FDEEDC" w:sz="2"/>
          <w:left w:val="single" w:color="8A5A00" w:sz="24"/>
          <w:right w:val="single" w:color="FDEEDC" w:sz="2"/>
        </w:pBdr>
        <w:shd w:fill="FDEEDC" w:val="clear"/>
        <w:spacing w:after="200" w:before="80"/>
      </w:pPr>
      <w:r>
        <w:rPr>
          <w:b/>
          <w:bCs/>
          <w:color w:val="8A5A00"/>
          <w:sz w:val="20"/>
          <w:szCs w:val="20"/>
        </w:rPr>
        <w:t xml:space="preserve">Note:  </w:t>
      </w:r>
      <w:r>
        <w:rPr>
          <w:color w:val="2A2A2A"/>
          <w:sz w:val="20"/>
          <w:szCs w:val="20"/>
        </w:rPr>
        <w:t xml:space="preserve">Vite bakes VITE_* values into the build at build time, not runtime — after fixing either config, rebuild and redeploy the frontend (§5.5). A stale deployed bundle will keep failing even after the backend config is correct.</w:t>
      </w:r>
    </w:p>
    <w:p>
      <w:pPr>
        <w:pStyle w:val="Heading2"/>
        <w:spacing w:after="160" w:before="320"/>
      </w:pPr>
      <w:r>
        <w:t xml:space="preserve">7.7 404 registering/testing against a personal Bitbucket repo</w:t>
      </w:r>
    </w:p>
    <w:p>
      <w:pPr>
        <w:spacing w:after="160" w:line="276"/>
      </w:pPr>
      <w:r>
        <w:t xml:space="preserve">Symptom: a REST call like .../rest/api/&lt;version&gt;/projects/&lt;username&gt;/repos/&lt;repo&gt; returns 404 even though the repo exists.</w:t>
      </w:r>
    </w:p>
    <w:p>
      <w:pPr>
        <w:spacing w:after="160" w:line="276"/>
      </w:pPr>
      <w:r>
        <w:t xml:space="preserve">Cause: a personal repository's project key in Bitbucket Server/Data Center is not the bare username — it's a tilde (~) followed by the user's slug, e.g. ~jdoe, and Bitbucket deliberately returns 404 rather than 403 for both “doesn't exist” and “no permission”, as an obscurity measure. A missing API version segment (/1.0/ or /latest/) in the URL causes the same symptom independently.</w:t>
      </w:r>
    </w:p>
    <w:p>
      <w:pPr>
        <w:spacing w:after="160" w:line="276"/>
      </w:pPr>
      <w:r>
        <w:t xml:space="preserve">Fix: use PROJECT_KEY=~&lt;user-slug&gt; (not the raw username) when pointing setup.sh or terraform.tfvars at a personal repo, and double-check the URL includes its version segment. The repo's Clone button in the Bitbucket UI shows the correct project key if in doubt.</w:t>
      </w:r>
    </w:p>
    <w:p>
      <w:pPr>
        <w:pStyle w:val="Heading2"/>
        <w:spacing w:after="160" w:before="320"/>
      </w:pPr>
      <w:r>
        <w:t xml:space="preserve">7.8 pip3 not found on Windows</w:t>
      </w:r>
    </w:p>
    <w:p>
      <w:pPr>
        <w:spacing w:after="160" w:line="276"/>
      </w:pPr>
      <w:r>
        <w:t xml:space="preserve">Symptom: CommandNotFoundException for pip3 during the gitops Lambda layer build.</w:t>
      </w:r>
    </w:p>
    <w:p>
      <w:pPr>
        <w:spacing w:after="160" w:line="276"/>
      </w:pPr>
      <w:r>
        <w:t xml:space="preserve">Cause: Windows Python installs inconsistently expose pip3 on PATH depending on how Python was installed.</w:t>
      </w:r>
    </w:p>
    <w:p>
      <w:pPr>
        <w:spacing w:after="160" w:line="276"/>
      </w:pPr>
      <w:r>
        <w:t xml:space="preserve">Fix: covered by the same provisioner fix as §7.4 — both OS branches try pip3, pip, and python -m pip (plus py -m pip on Windows) in order and use whichever is found.</w:t>
      </w:r>
    </w:p>
    <w:p>
      <w:r>
        <w:br w:type="page"/>
      </w:r>
    </w:p>
    <w:p>
      <w:pPr>
        <w:pStyle w:val="Heading1"/>
        <w:spacing w:after="200" w:before="420"/>
      </w:pPr>
      <w:r>
        <w:t xml:space="preserve">8. Security &amp; Secrets Handling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50"/>
        <w:gridCol w:w="2450"/>
        <w:gridCol w:w="3850"/>
      </w:tblGrid>
      <w:tr>
        <w:trPr>
          <w:tblHeader/>
        </w:trPr>
        <w:tc>
          <w:tcPr>
            <w:tcW w:type="dxa" w:w="3050"/>
            <w:shd w:fill="12233F" w:val="clear"/>
            <w:tcMar>
              <w:top w:type="dxa" w:w="90"/>
              <w:left w:type="dxa" w:w="120"/>
              <w:bottom w:type="dxa" w:w="90"/>
              <w:right w:type="dxa" w:w="120"/>
            </w:tcMar>
            <w:vAlign w:val="center"/>
          </w:tcPr>
          <w:p>
            <w:pPr>
              <w:jc w:val="left"/>
            </w:pPr>
            <w:r>
              <w:rPr>
                <w:b/>
                <w:bCs/>
                <w:color w:val="FFFFFF"/>
                <w:sz w:val="19"/>
                <w:szCs w:val="19"/>
              </w:rPr>
              <w:t xml:space="preserve">What</w:t>
            </w:r>
          </w:p>
        </w:tc>
        <w:tc>
          <w:tcPr>
            <w:tcW w:type="dxa" w:w="2450"/>
            <w:shd w:fill="12233F" w:val="clear"/>
            <w:tcMar>
              <w:top w:type="dxa" w:w="90"/>
              <w:left w:type="dxa" w:w="120"/>
              <w:bottom w:type="dxa" w:w="90"/>
              <w:right w:type="dxa" w:w="120"/>
            </w:tcMar>
            <w:vAlign w:val="center"/>
          </w:tcPr>
          <w:p>
            <w:pPr>
              <w:jc w:val="left"/>
            </w:pPr>
            <w:r>
              <w:rPr>
                <w:b/>
                <w:bCs/>
                <w:color w:val="FFFFFF"/>
                <w:sz w:val="19"/>
                <w:szCs w:val="19"/>
              </w:rPr>
              <w:t xml:space="preserve">Where it lives</w:t>
            </w:r>
          </w:p>
        </w:tc>
        <w:tc>
          <w:tcPr>
            <w:tcW w:type="dxa" w:w="3850"/>
            <w:shd w:fill="12233F" w:val="clear"/>
            <w:tcMar>
              <w:top w:type="dxa" w:w="90"/>
              <w:left w:type="dxa" w:w="120"/>
              <w:bottom w:type="dxa" w:w="90"/>
              <w:right w:type="dxa" w:w="120"/>
            </w:tcMar>
            <w:vAlign w:val="center"/>
          </w:tcPr>
          <w:p>
            <w:pPr>
              <w:jc w:val="left"/>
            </w:pPr>
            <w:r>
              <w:rPr>
                <w:b/>
                <w:bCs/>
                <w:color w:val="FFFFFF"/>
                <w:sz w:val="19"/>
                <w:szCs w:val="19"/>
              </w:rPr>
              <w:t xml:space="preserve">Notes</w:t>
            </w:r>
          </w:p>
        </w:tc>
      </w:tr>
      <w:tr>
        <w:tc>
          <w:tcPr>
            <w:tcW w:type="dxa" w:w="3050"/>
            <w:tcMar>
              <w:top w:type="dxa" w:w="90"/>
              <w:left w:type="dxa" w:w="120"/>
              <w:bottom w:type="dxa" w:w="90"/>
              <w:right w:type="dxa" w:w="120"/>
            </w:tcMar>
            <w:vAlign w:val="center"/>
          </w:tcPr>
          <w:p>
            <w:pPr>
              <w:jc w:val="left"/>
            </w:pPr>
            <w:r>
              <w:rPr>
                <w:b w:val="false"/>
                <w:bCs w:val="false"/>
                <w:color w:val="1B2733"/>
                <w:sz w:val="19"/>
                <w:szCs w:val="19"/>
              </w:rPr>
              <w:t xml:space="preserve">Bitbucket access token</w:t>
            </w:r>
          </w:p>
        </w:tc>
        <w:tc>
          <w:tcPr>
            <w:tcW w:type="dxa" w:w="2450"/>
            <w:tcMar>
              <w:top w:type="dxa" w:w="90"/>
              <w:left w:type="dxa" w:w="120"/>
              <w:bottom w:type="dxa" w:w="90"/>
              <w:right w:type="dxa" w:w="120"/>
            </w:tcMar>
            <w:vAlign w:val="center"/>
          </w:tcPr>
          <w:p>
            <w:pPr>
              <w:jc w:val="left"/>
            </w:pPr>
            <w:r>
              <w:rPr>
                <w:b w:val="false"/>
                <w:bCs w:val="false"/>
                <w:color w:val="1B2733"/>
                <w:sz w:val="19"/>
                <w:szCs w:val="19"/>
              </w:rPr>
              <w:t xml:space="preserve">AWS Secrets Manager only</w:t>
            </w:r>
          </w:p>
        </w:tc>
        <w:tc>
          <w:tcPr>
            <w:tcW w:type="dxa" w:w="3850"/>
            <w:tcMar>
              <w:top w:type="dxa" w:w="90"/>
              <w:left w:type="dxa" w:w="120"/>
              <w:bottom w:type="dxa" w:w="90"/>
              <w:right w:type="dxa" w:w="120"/>
            </w:tcMar>
            <w:vAlign w:val="center"/>
          </w:tcPr>
          <w:p>
            <w:pPr>
              <w:jc w:val="left"/>
            </w:pPr>
            <w:r>
              <w:rPr>
                <w:b w:val="false"/>
                <w:bCs w:val="false"/>
                <w:color w:val="1B2733"/>
                <w:sz w:val="19"/>
                <w:szCs w:val="19"/>
              </w:rPr>
              <w:t xml:space="preserve">Never written to a file in the repo at any point — read from the BITBUCKET_TOKEN environment variable during setup, used in-memory, then discarded.</w:t>
            </w:r>
          </w:p>
        </w:tc>
      </w:tr>
      <w:tr>
        <w:tc>
          <w:tcPr>
            <w:tcW w:type="dxa" w:w="30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terraform.tfvars (real values)</w:t>
            </w:r>
          </w:p>
        </w:tc>
        <w:tc>
          <w:tcPr>
            <w:tcW w:type="dxa" w:w="24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Gitignored</w:t>
            </w:r>
          </w:p>
        </w:tc>
        <w:tc>
          <w:tcPr>
            <w:tcW w:type="dxa" w:w="38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Only terraform.tfvars.example (placeholders, no secrets) is tracked. See terraform/.gitignore.</w:t>
            </w:r>
          </w:p>
        </w:tc>
      </w:tr>
      <w:tr>
        <w:tc>
          <w:tcPr>
            <w:tcW w:type="dxa" w:w="3050"/>
            <w:tcMar>
              <w:top w:type="dxa" w:w="90"/>
              <w:left w:type="dxa" w:w="120"/>
              <w:bottom w:type="dxa" w:w="90"/>
              <w:right w:type="dxa" w:w="120"/>
            </w:tcMar>
            <w:vAlign w:val="center"/>
          </w:tcPr>
          <w:p>
            <w:pPr>
              <w:jc w:val="left"/>
            </w:pPr>
            <w:r>
              <w:rPr>
                <w:b w:val="false"/>
                <w:bCs w:val="false"/>
                <w:color w:val="1B2733"/>
                <w:sz w:val="19"/>
                <w:szCs w:val="19"/>
              </w:rPr>
              <w:t xml:space="preserve">*.tfstate / *.tfstate.backup</w:t>
            </w:r>
          </w:p>
        </w:tc>
        <w:tc>
          <w:tcPr>
            <w:tcW w:type="dxa" w:w="2450"/>
            <w:tcMar>
              <w:top w:type="dxa" w:w="90"/>
              <w:left w:type="dxa" w:w="120"/>
              <w:bottom w:type="dxa" w:w="90"/>
              <w:right w:type="dxa" w:w="120"/>
            </w:tcMar>
            <w:vAlign w:val="center"/>
          </w:tcPr>
          <w:p>
            <w:pPr>
              <w:jc w:val="left"/>
            </w:pPr>
            <w:r>
              <w:rPr>
                <w:b w:val="false"/>
                <w:bCs w:val="false"/>
                <w:color w:val="1B2733"/>
                <w:sz w:val="19"/>
                <w:szCs w:val="19"/>
              </w:rPr>
              <w:t xml:space="preserve">Gitignored</w:t>
            </w:r>
          </w:p>
        </w:tc>
        <w:tc>
          <w:tcPr>
            <w:tcW w:type="dxa" w:w="3850"/>
            <w:tcMar>
              <w:top w:type="dxa" w:w="90"/>
              <w:left w:type="dxa" w:w="120"/>
              <w:bottom w:type="dxa" w:w="90"/>
              <w:right w:type="dxa" w:w="120"/>
            </w:tcMar>
            <w:vAlign w:val="center"/>
          </w:tcPr>
          <w:p>
            <w:pPr>
              <w:jc w:val="left"/>
            </w:pPr>
            <w:r>
              <w:rPr>
                <w:b w:val="false"/>
                <w:bCs w:val="false"/>
                <w:color w:val="1B2733"/>
                <w:sz w:val="19"/>
                <w:szCs w:val="19"/>
              </w:rPr>
              <w:t xml:space="preserve">Terraform state can contain resource attributes that shouldn't be in git history.</w:t>
            </w:r>
          </w:p>
        </w:tc>
      </w:tr>
      <w:tr>
        <w:tc>
          <w:tcPr>
            <w:tcW w:type="dxa" w:w="30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Frontend .env (real values, incl. Azure AD client info)</w:t>
            </w:r>
          </w:p>
        </w:tc>
        <w:tc>
          <w:tcPr>
            <w:tcW w:type="dxa" w:w="24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Gitignored at the repo root</w:t>
            </w:r>
          </w:p>
        </w:tc>
        <w:tc>
          <w:tcPr>
            <w:tcW w:type="dxa" w:w="38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Only .env.example (blank placeholders) is tracked.</w:t>
            </w:r>
          </w:p>
        </w:tc>
      </w:tr>
      <w:tr>
        <w:tc>
          <w:tcPr>
            <w:tcW w:type="dxa" w:w="3050"/>
            <w:tcMar>
              <w:top w:type="dxa" w:w="90"/>
              <w:left w:type="dxa" w:w="120"/>
              <w:bottom w:type="dxa" w:w="90"/>
              <w:right w:type="dxa" w:w="120"/>
            </w:tcMar>
            <w:vAlign w:val="center"/>
          </w:tcPr>
          <w:p>
            <w:pPr>
              <w:jc w:val="left"/>
            </w:pPr>
            <w:r>
              <w:rPr>
                <w:b w:val="false"/>
                <w:bCs w:val="false"/>
                <w:color w:val="1B2733"/>
                <w:sz w:val="19"/>
                <w:szCs w:val="19"/>
              </w:rPr>
              <w:t xml:space="preserve">__pycache__/ , *.pyc</w:t>
            </w:r>
          </w:p>
        </w:tc>
        <w:tc>
          <w:tcPr>
            <w:tcW w:type="dxa" w:w="2450"/>
            <w:tcMar>
              <w:top w:type="dxa" w:w="90"/>
              <w:left w:type="dxa" w:w="120"/>
              <w:bottom w:type="dxa" w:w="90"/>
              <w:right w:type="dxa" w:w="120"/>
            </w:tcMar>
            <w:vAlign w:val="center"/>
          </w:tcPr>
          <w:p>
            <w:pPr>
              <w:jc w:val="left"/>
            </w:pPr>
            <w:r>
              <w:rPr>
                <w:b w:val="false"/>
                <w:bCs w:val="false"/>
                <w:color w:val="1B2733"/>
                <w:sz w:val="19"/>
                <w:szCs w:val="19"/>
              </w:rPr>
              <w:t xml:space="preserve">Gitignored</w:t>
            </w:r>
          </w:p>
        </w:tc>
        <w:tc>
          <w:tcPr>
            <w:tcW w:type="dxa" w:w="3850"/>
            <w:tcMar>
              <w:top w:type="dxa" w:w="90"/>
              <w:left w:type="dxa" w:w="120"/>
              <w:bottom w:type="dxa" w:w="90"/>
              <w:right w:type="dxa" w:w="120"/>
            </w:tcMar>
            <w:vAlign w:val="center"/>
          </w:tcPr>
          <w:p>
            <w:pPr>
              <w:jc w:val="left"/>
            </w:pPr>
            <w:r>
              <w:rPr>
                <w:b w:val="false"/>
                <w:bCs w:val="false"/>
                <w:color w:val="1B2733"/>
                <w:sz w:val="19"/>
                <w:szCs w:val="19"/>
              </w:rPr>
              <w:t xml:space="preserve">Regenerated by any local Python run of the Lambda handlers.</w:t>
            </w:r>
          </w:p>
        </w:tc>
      </w:tr>
    </w:tbl>
    <w:p>
      <w:pPr>
        <w:pBdr>
          <w:top w:val="single" w:color="FBEFEF" w:sz="2"/>
          <w:bottom w:val="single" w:color="FBEFEF" w:sz="2"/>
          <w:left w:val="single" w:color="8A2D2D" w:sz="24"/>
          <w:right w:val="single" w:color="FBEFEF" w:sz="2"/>
        </w:pBdr>
        <w:shd w:fill="FBEFEF" w:val="clear"/>
        <w:spacing w:after="200" w:before="80"/>
      </w:pPr>
      <w:r>
        <w:rPr>
          <w:b/>
          <w:bCs/>
          <w:color w:val="8A2D2D"/>
          <w:sz w:val="20"/>
          <w:szCs w:val="20"/>
        </w:rPr>
        <w:t xml:space="preserve">Important:  </w:t>
      </w:r>
      <w:r>
        <w:rPr>
          <w:color w:val="2A2A2A"/>
          <w:sz w:val="20"/>
          <w:szCs w:val="20"/>
        </w:rPr>
        <w:t xml:space="preserve">Run git status --short after any local change. Only terraform.tfvars.example-style templates, source .tf/.py/.sh files, and documentation should show as new/changed. If terraform.tfvars, .env, or *.tfstate ever show up, stop and check .gitignore before committing.</w:t>
      </w:r>
    </w:p>
    <w:p>
      <w:r>
        <w:br w:type="page"/>
      </w:r>
    </w:p>
    <w:p>
      <w:pPr>
        <w:pStyle w:val="Heading1"/>
        <w:spacing w:after="200" w:before="420"/>
      </w:pPr>
      <w:r>
        <w:t xml:space="preserve">9. Reference Appendix</w:t>
      </w:r>
    </w:p>
    <w:p>
      <w:pPr>
        <w:pStyle w:val="Heading2"/>
        <w:spacing w:after="160" w:before="320"/>
      </w:pPr>
      <w:r>
        <w:t xml:space="preserve">9.1 Terraform resource inventory (terraform/main.tf)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2233F" w:val="clear"/>
            <w:tcMar>
              <w:top w:type="dxa" w:w="90"/>
              <w:left w:type="dxa" w:w="120"/>
              <w:bottom w:type="dxa" w:w="90"/>
              <w:right w:type="dxa" w:w="120"/>
            </w:tcMar>
            <w:vAlign w:val="center"/>
          </w:tcPr>
          <w:p>
            <w:pPr>
              <w:jc w:val="left"/>
            </w:pPr>
            <w:r>
              <w:rPr>
                <w:b/>
                <w:bCs/>
                <w:color w:val="FFFFFF"/>
                <w:sz w:val="19"/>
                <w:szCs w:val="19"/>
              </w:rPr>
              <w:t xml:space="preserve">Resource</w:t>
            </w:r>
          </w:p>
        </w:tc>
        <w:tc>
          <w:tcPr>
            <w:tcW w:type="dxa" w:w="5850"/>
            <w:shd w:fill="12233F" w:val="clear"/>
            <w:tcMar>
              <w:top w:type="dxa" w:w="90"/>
              <w:left w:type="dxa" w:w="120"/>
              <w:bottom w:type="dxa" w:w="90"/>
              <w:right w:type="dxa" w:w="120"/>
            </w:tcMar>
            <w:vAlign w:val="center"/>
          </w:tcPr>
          <w:p>
            <w:pPr>
              <w:jc w:val="left"/>
            </w:pPr>
            <w:r>
              <w:rPr>
                <w:b/>
                <w:bCs/>
                <w:color w:val="FFFFFF"/>
                <w:sz w:val="19"/>
                <w:szCs w:val="19"/>
              </w:rPr>
              <w:t xml:space="preserve">Purpose</w:t>
            </w:r>
          </w:p>
        </w:tc>
      </w:tr>
      <w:tr>
        <w:tc>
          <w:tcPr>
            <w:tcW w:type="dxa" w:w="3500"/>
            <w:tcMar>
              <w:top w:type="dxa" w:w="90"/>
              <w:left w:type="dxa" w:w="120"/>
              <w:bottom w:type="dxa" w:w="90"/>
              <w:right w:type="dxa" w:w="120"/>
            </w:tcMar>
            <w:vAlign w:val="center"/>
          </w:tcPr>
          <w:p>
            <w:pPr>
              <w:jc w:val="left"/>
            </w:pPr>
            <w:r>
              <w:rPr>
                <w:b w:val="false"/>
                <w:bCs w:val="false"/>
                <w:color w:val="1B2733"/>
                <w:sz w:val="19"/>
                <w:szCs w:val="19"/>
              </w:rPr>
              <w:t xml:space="preserve">aws_dynamodb_table.requests</w:t>
            </w:r>
          </w:p>
        </w:tc>
        <w:tc>
          <w:tcPr>
            <w:tcW w:type="dxa" w:w="5850"/>
            <w:tcMar>
              <w:top w:type="dxa" w:w="90"/>
              <w:left w:type="dxa" w:w="120"/>
              <w:bottom w:type="dxa" w:w="90"/>
              <w:right w:type="dxa" w:w="120"/>
            </w:tcMar>
            <w:vAlign w:val="center"/>
          </w:tcPr>
          <w:p>
            <w:pPr>
              <w:jc w:val="left"/>
            </w:pPr>
            <w:r>
              <w:rPr>
                <w:b w:val="false"/>
                <w:bCs w:val="false"/>
                <w:color w:val="1B2733"/>
                <w:sz w:val="19"/>
                <w:szCs w:val="19"/>
              </w:rPr>
              <w:t xml:space="preserve">The requests table — see §2.2 for the data model.</w:t>
            </w:r>
          </w:p>
        </w:tc>
      </w:tr>
      <w:tr>
        <w:tc>
          <w:tcPr>
            <w:tcW w:type="dxa" w:w="35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aws_iam_role.lambda / aws_iam_role_policy.lambda</w:t>
            </w:r>
          </w:p>
        </w:tc>
        <w:tc>
          <w:tcPr>
            <w:tcW w:type="dxa" w:w="58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Execution role + policy for the main Lambda.</w:t>
            </w:r>
          </w:p>
        </w:tc>
      </w:tr>
      <w:tr>
        <w:tc>
          <w:tcPr>
            <w:tcW w:type="dxa" w:w="3500"/>
            <w:tcMar>
              <w:top w:type="dxa" w:w="90"/>
              <w:left w:type="dxa" w:w="120"/>
              <w:bottom w:type="dxa" w:w="90"/>
              <w:right w:type="dxa" w:w="120"/>
            </w:tcMar>
            <w:vAlign w:val="center"/>
          </w:tcPr>
          <w:p>
            <w:pPr>
              <w:jc w:val="left"/>
            </w:pPr>
            <w:r>
              <w:rPr>
                <w:b w:val="false"/>
                <w:bCs w:val="false"/>
                <w:color w:val="1B2733"/>
                <w:sz w:val="19"/>
                <w:szCs w:val="19"/>
              </w:rPr>
              <w:t xml:space="preserve">aws_lambda_function.request_api</w:t>
            </w:r>
          </w:p>
        </w:tc>
        <w:tc>
          <w:tcPr>
            <w:tcW w:type="dxa" w:w="5850"/>
            <w:tcMar>
              <w:top w:type="dxa" w:w="90"/>
              <w:left w:type="dxa" w:w="120"/>
              <w:bottom w:type="dxa" w:w="90"/>
              <w:right w:type="dxa" w:w="120"/>
            </w:tcMar>
            <w:vAlign w:val="center"/>
          </w:tcPr>
          <w:p>
            <w:pPr>
              <w:jc w:val="left"/>
            </w:pPr>
            <w:r>
              <w:rPr>
                <w:b w:val="false"/>
                <w:bCs w:val="false"/>
                <w:color w:val="1B2733"/>
                <w:sz w:val="19"/>
                <w:szCs w:val="19"/>
              </w:rPr>
              <w:t xml:space="preserve">main Lambda — lambda/handler.py — see §2.1.</w:t>
            </w:r>
          </w:p>
        </w:tc>
      </w:tr>
      <w:tr>
        <w:tc>
          <w:tcPr>
            <w:tcW w:type="dxa" w:w="35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null_resource.gitops_dependencies / aws_lambda_layer_version.gitops_dependencies</w:t>
            </w:r>
          </w:p>
        </w:tc>
        <w:tc>
          <w:tcPr>
            <w:tcW w:type="dxa" w:w="58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Builds and publishes the gitops Lambda's Python dependency layer (see §7.4/§7.8 for the cross-platform provisioner).</w:t>
            </w:r>
          </w:p>
        </w:tc>
      </w:tr>
      <w:tr>
        <w:tc>
          <w:tcPr>
            <w:tcW w:type="dxa" w:w="3500"/>
            <w:tcMar>
              <w:top w:type="dxa" w:w="90"/>
              <w:left w:type="dxa" w:w="120"/>
              <w:bottom w:type="dxa" w:w="90"/>
              <w:right w:type="dxa" w:w="120"/>
            </w:tcMar>
            <w:vAlign w:val="center"/>
          </w:tcPr>
          <w:p>
            <w:pPr>
              <w:jc w:val="left"/>
            </w:pPr>
            <w:r>
              <w:rPr>
                <w:b w:val="false"/>
                <w:bCs w:val="false"/>
                <w:color w:val="1B2733"/>
                <w:sz w:val="19"/>
                <w:szCs w:val="19"/>
              </w:rPr>
              <w:t xml:space="preserve">aws_iam_role.gitops_lambda / aws_iam_role_policy.gitops_lambda</w:t>
            </w:r>
          </w:p>
        </w:tc>
        <w:tc>
          <w:tcPr>
            <w:tcW w:type="dxa" w:w="5850"/>
            <w:tcMar>
              <w:top w:type="dxa" w:w="90"/>
              <w:left w:type="dxa" w:w="120"/>
              <w:bottom w:type="dxa" w:w="90"/>
              <w:right w:type="dxa" w:w="120"/>
            </w:tcMar>
            <w:vAlign w:val="center"/>
          </w:tcPr>
          <w:p>
            <w:pPr>
              <w:jc w:val="left"/>
            </w:pPr>
            <w:r>
              <w:rPr>
                <w:b w:val="false"/>
                <w:bCs w:val="false"/>
                <w:color w:val="1B2733"/>
                <w:sz w:val="19"/>
                <w:szCs w:val="19"/>
              </w:rPr>
              <w:t xml:space="preserve">Execution role + policy for gitops.</w:t>
            </w:r>
          </w:p>
        </w:tc>
      </w:tr>
      <w:tr>
        <w:tc>
          <w:tcPr>
            <w:tcW w:type="dxa" w:w="35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aws_lambda_function.gitops</w:t>
            </w:r>
          </w:p>
        </w:tc>
        <w:tc>
          <w:tcPr>
            <w:tcW w:type="dxa" w:w="58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lambda-gitops/handler.py — see §2.1.</w:t>
            </w:r>
          </w:p>
        </w:tc>
      </w:tr>
      <w:tr>
        <w:tc>
          <w:tcPr>
            <w:tcW w:type="dxa" w:w="3500"/>
            <w:tcMar>
              <w:top w:type="dxa" w:w="90"/>
              <w:left w:type="dxa" w:w="120"/>
              <w:bottom w:type="dxa" w:w="90"/>
              <w:right w:type="dxa" w:w="120"/>
            </w:tcMar>
            <w:vAlign w:val="center"/>
          </w:tcPr>
          <w:p>
            <w:pPr>
              <w:jc w:val="left"/>
            </w:pPr>
            <w:r>
              <w:rPr>
                <w:b w:val="false"/>
                <w:bCs w:val="false"/>
                <w:color w:val="1B2733"/>
                <w:sz w:val="19"/>
                <w:szCs w:val="19"/>
              </w:rPr>
              <w:t xml:space="preserve">aws_sqs_queue.gitops_dlq (conditional)</w:t>
            </w:r>
          </w:p>
        </w:tc>
        <w:tc>
          <w:tcPr>
            <w:tcW w:type="dxa" w:w="5850"/>
            <w:tcMar>
              <w:top w:type="dxa" w:w="90"/>
              <w:left w:type="dxa" w:w="120"/>
              <w:bottom w:type="dxa" w:w="90"/>
              <w:right w:type="dxa" w:w="120"/>
            </w:tcMar>
            <w:vAlign w:val="center"/>
          </w:tcPr>
          <w:p>
            <w:pPr>
              <w:jc w:val="left"/>
            </w:pPr>
            <w:r>
              <w:rPr>
                <w:b w:val="false"/>
                <w:bCs w:val="false"/>
                <w:color w:val="1B2733"/>
                <w:sz w:val="19"/>
                <w:szCs w:val="19"/>
              </w:rPr>
              <w:t xml:space="preserve">See §6.3.</w:t>
            </w:r>
          </w:p>
        </w:tc>
      </w:tr>
      <w:tr>
        <w:tc>
          <w:tcPr>
            <w:tcW w:type="dxa" w:w="35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aws_lambda_function_event_invoke_config.gitops (conditional)</w:t>
            </w:r>
          </w:p>
        </w:tc>
        <w:tc>
          <w:tcPr>
            <w:tcW w:type="dxa" w:w="58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Wires the DLQ above as gitops's on-failure destination.</w:t>
            </w:r>
          </w:p>
        </w:tc>
      </w:tr>
      <w:tr>
        <w:tc>
          <w:tcPr>
            <w:tcW w:type="dxa" w:w="3500"/>
            <w:tcMar>
              <w:top w:type="dxa" w:w="90"/>
              <w:left w:type="dxa" w:w="120"/>
              <w:bottom w:type="dxa" w:w="90"/>
              <w:right w:type="dxa" w:w="120"/>
            </w:tcMar>
            <w:vAlign w:val="center"/>
          </w:tcPr>
          <w:p>
            <w:pPr>
              <w:jc w:val="left"/>
            </w:pPr>
            <w:r>
              <w:rPr>
                <w:b w:val="false"/>
                <w:bCs w:val="false"/>
                <w:color w:val="1B2733"/>
                <w:sz w:val="19"/>
                <w:szCs w:val="19"/>
              </w:rPr>
              <w:t xml:space="preserve">aws_cloudwatch_event_rule.gitops_sweep + aws_cloudwatch_event_target.gitops_sweep + aws_lambda_permission.eventbridge_sweep</w:t>
            </w:r>
          </w:p>
        </w:tc>
        <w:tc>
          <w:tcPr>
            <w:tcW w:type="dxa" w:w="5850"/>
            <w:tcMar>
              <w:top w:type="dxa" w:w="90"/>
              <w:left w:type="dxa" w:w="120"/>
              <w:bottom w:type="dxa" w:w="90"/>
              <w:right w:type="dxa" w:w="120"/>
            </w:tcMar>
            <w:vAlign w:val="center"/>
          </w:tcPr>
          <w:p>
            <w:pPr>
              <w:jc w:val="left"/>
            </w:pPr>
            <w:r>
              <w:rPr>
                <w:b w:val="false"/>
                <w:bCs w:val="false"/>
                <w:color w:val="1B2733"/>
                <w:sz w:val="19"/>
                <w:szCs w:val="19"/>
              </w:rPr>
              <w:t xml:space="preserve">See §6.2.</w:t>
            </w:r>
          </w:p>
        </w:tc>
      </w:tr>
      <w:tr>
        <w:tc>
          <w:tcPr>
            <w:tcW w:type="dxa" w:w="35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aws_apigatewayv2_api.requests + aws_apigatewayv2_stage.default + aws_apigatewayv2_integration.request_api</w:t>
            </w:r>
          </w:p>
        </w:tc>
        <w:tc>
          <w:tcPr>
            <w:tcW w:type="dxa" w:w="58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The HTTP API — see §2.1.</w:t>
            </w:r>
          </w:p>
        </w:tc>
      </w:tr>
      <w:tr>
        <w:tc>
          <w:tcPr>
            <w:tcW w:type="dxa" w:w="3500"/>
            <w:tcMar>
              <w:top w:type="dxa" w:w="90"/>
              <w:left w:type="dxa" w:w="120"/>
              <w:bottom w:type="dxa" w:w="90"/>
              <w:right w:type="dxa" w:w="120"/>
            </w:tcMar>
            <w:vAlign w:val="center"/>
          </w:tcPr>
          <w:p>
            <w:pPr>
              <w:jc w:val="left"/>
            </w:pPr>
            <w:r>
              <w:rPr>
                <w:b w:val="false"/>
                <w:bCs w:val="false"/>
                <w:color w:val="1B2733"/>
                <w:sz w:val="19"/>
                <w:szCs w:val="19"/>
              </w:rPr>
              <w:t xml:space="preserve">aws_apigatewayv2_route.create_request / list_requests / request_details / webhook</w:t>
            </w:r>
          </w:p>
        </w:tc>
        <w:tc>
          <w:tcPr>
            <w:tcW w:type="dxa" w:w="5850"/>
            <w:tcMar>
              <w:top w:type="dxa" w:w="90"/>
              <w:left w:type="dxa" w:w="120"/>
              <w:bottom w:type="dxa" w:w="90"/>
              <w:right w:type="dxa" w:w="120"/>
            </w:tcMar>
            <w:vAlign w:val="center"/>
          </w:tcPr>
          <w:p>
            <w:pPr>
              <w:jc w:val="left"/>
            </w:pPr>
            <w:r>
              <w:rPr>
                <w:b w:val="false"/>
                <w:bCs w:val="false"/>
                <w:color w:val="1B2733"/>
                <w:sz w:val="19"/>
                <w:szCs w:val="19"/>
              </w:rPr>
              <w:t xml:space="preserve">The four /dpc/* routes (§2.1, §9.1 header), all targeting the main Lambda.</w:t>
            </w:r>
          </w:p>
        </w:tc>
      </w:tr>
      <w:tr>
        <w:tc>
          <w:tcPr>
            <w:tcW w:type="dxa" w:w="35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aws_lambda_permission.api_gateway</w:t>
            </w:r>
          </w:p>
        </w:tc>
        <w:tc>
          <w:tcPr>
            <w:tcW w:type="dxa" w:w="58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Grants API Gateway invoke rights on the main Lambda, scoped to this API.</w:t>
            </w:r>
          </w:p>
        </w:tc>
      </w:tr>
    </w:tbl>
    <w:p>
      <w:pPr>
        <w:pStyle w:val="Heading2"/>
        <w:spacing w:after="160" w:before="320"/>
      </w:pPr>
      <w:r>
        <w:t xml:space="preserve">9.2 Lambda environment variables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3050"/>
        <w:gridCol w:w="4850"/>
      </w:tblGrid>
      <w:tr>
        <w:trPr>
          <w:tblHeader/>
        </w:trPr>
        <w:tc>
          <w:tcPr>
            <w:tcW w:type="dxa" w:w="1450"/>
            <w:shd w:fill="12233F" w:val="clear"/>
            <w:tcMar>
              <w:top w:type="dxa" w:w="90"/>
              <w:left w:type="dxa" w:w="120"/>
              <w:bottom w:type="dxa" w:w="90"/>
              <w:right w:type="dxa" w:w="120"/>
            </w:tcMar>
            <w:vAlign w:val="center"/>
          </w:tcPr>
          <w:p>
            <w:pPr>
              <w:jc w:val="left"/>
            </w:pPr>
            <w:r>
              <w:rPr>
                <w:b/>
                <w:bCs/>
                <w:color w:val="FFFFFF"/>
                <w:sz w:val="19"/>
                <w:szCs w:val="19"/>
              </w:rPr>
              <w:t xml:space="preserve">Lambda</w:t>
            </w:r>
          </w:p>
        </w:tc>
        <w:tc>
          <w:tcPr>
            <w:tcW w:type="dxa" w:w="3050"/>
            <w:shd w:fill="12233F" w:val="clear"/>
            <w:tcMar>
              <w:top w:type="dxa" w:w="90"/>
              <w:left w:type="dxa" w:w="120"/>
              <w:bottom w:type="dxa" w:w="90"/>
              <w:right w:type="dxa" w:w="120"/>
            </w:tcMar>
            <w:vAlign w:val="center"/>
          </w:tcPr>
          <w:p>
            <w:pPr>
              <w:jc w:val="left"/>
            </w:pPr>
            <w:r>
              <w:rPr>
                <w:b/>
                <w:bCs/>
                <w:color w:val="FFFFFF"/>
                <w:sz w:val="19"/>
                <w:szCs w:val="19"/>
              </w:rPr>
              <w:t xml:space="preserve">Variable</w:t>
            </w:r>
          </w:p>
        </w:tc>
        <w:tc>
          <w:tcPr>
            <w:tcW w:type="dxa" w:w="4850"/>
            <w:shd w:fill="12233F" w:val="clear"/>
            <w:tcMar>
              <w:top w:type="dxa" w:w="90"/>
              <w:left w:type="dxa" w:w="120"/>
              <w:bottom w:type="dxa" w:w="90"/>
              <w:right w:type="dxa" w:w="120"/>
            </w:tcMar>
            <w:vAlign w:val="center"/>
          </w:tcPr>
          <w:p>
            <w:pPr>
              <w:jc w:val="left"/>
            </w:pPr>
            <w:r>
              <w:rPr>
                <w:b/>
                <w:bCs/>
                <w:color w:val="FFFFFF"/>
                <w:sz w:val="19"/>
                <w:szCs w:val="19"/>
              </w:rPr>
              <w:t xml:space="preserve">Purpose</w:t>
            </w:r>
          </w:p>
        </w:tc>
      </w:tr>
      <w:tr>
        <w:tc>
          <w:tcPr>
            <w:tcW w:type="dxa" w:w="1450"/>
            <w:tcMar>
              <w:top w:type="dxa" w:w="90"/>
              <w:left w:type="dxa" w:w="120"/>
              <w:bottom w:type="dxa" w:w="90"/>
              <w:right w:type="dxa" w:w="120"/>
            </w:tcMar>
            <w:vAlign w:val="center"/>
          </w:tcPr>
          <w:p>
            <w:pPr>
              <w:jc w:val="left"/>
            </w:pPr>
            <w:r>
              <w:rPr>
                <w:b w:val="false"/>
                <w:bCs w:val="false"/>
                <w:color w:val="1B2733"/>
                <w:sz w:val="19"/>
                <w:szCs w:val="19"/>
              </w:rPr>
              <w:t xml:space="preserve">main</w:t>
            </w:r>
          </w:p>
        </w:tc>
        <w:tc>
          <w:tcPr>
            <w:tcW w:type="dxa" w:w="3050"/>
            <w:tcMar>
              <w:top w:type="dxa" w:w="90"/>
              <w:left w:type="dxa" w:w="120"/>
              <w:bottom w:type="dxa" w:w="90"/>
              <w:right w:type="dxa" w:w="120"/>
            </w:tcMar>
            <w:vAlign w:val="center"/>
          </w:tcPr>
          <w:p>
            <w:pPr>
              <w:jc w:val="left"/>
            </w:pPr>
            <w:r>
              <w:rPr>
                <w:b w:val="false"/>
                <w:bCs w:val="false"/>
                <w:color w:val="1B2733"/>
                <w:sz w:val="19"/>
                <w:szCs w:val="19"/>
              </w:rPr>
              <w:t xml:space="preserve">DYNAMODB_TABLE</w:t>
            </w:r>
          </w:p>
        </w:tc>
        <w:tc>
          <w:tcPr>
            <w:tcW w:type="dxa" w:w="4850"/>
            <w:tcMar>
              <w:top w:type="dxa" w:w="90"/>
              <w:left w:type="dxa" w:w="120"/>
              <w:bottom w:type="dxa" w:w="90"/>
              <w:right w:type="dxa" w:w="120"/>
            </w:tcMar>
            <w:vAlign w:val="center"/>
          </w:tcPr>
          <w:p>
            <w:pPr>
              <w:jc w:val="left"/>
            </w:pPr>
            <w:r>
              <w:rPr>
                <w:b w:val="false"/>
                <w:bCs w:val="false"/>
                <w:color w:val="1B2733"/>
                <w:sz w:val="19"/>
                <w:szCs w:val="19"/>
              </w:rPr>
              <w:t xml:space="preserve">Table to read/write requests to/from.</w:t>
            </w:r>
          </w:p>
        </w:tc>
      </w:tr>
      <w:tr>
        <w:tc>
          <w:tcPr>
            <w:tcW w:type="dxa" w:w="14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main</w:t>
            </w:r>
          </w:p>
        </w:tc>
        <w:tc>
          <w:tcPr>
            <w:tcW w:type="dxa" w:w="30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CORS_ALLOW_ORIGINS</w:t>
            </w:r>
          </w:p>
        </w:tc>
        <w:tc>
          <w:tcPr>
            <w:tcW w:type="dxa" w:w="48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JSON-encoded list of origins allowed to receive CORS headers on responses — see §7.6.</w:t>
            </w:r>
          </w:p>
        </w:tc>
      </w:tr>
      <w:tr>
        <w:tc>
          <w:tcPr>
            <w:tcW w:type="dxa" w:w="1450"/>
            <w:tcMar>
              <w:top w:type="dxa" w:w="90"/>
              <w:left w:type="dxa" w:w="120"/>
              <w:bottom w:type="dxa" w:w="90"/>
              <w:right w:type="dxa" w:w="120"/>
            </w:tcMar>
            <w:vAlign w:val="center"/>
          </w:tcPr>
          <w:p>
            <w:pPr>
              <w:jc w:val="left"/>
            </w:pPr>
            <w:r>
              <w:rPr>
                <w:b w:val="false"/>
                <w:bCs w:val="false"/>
                <w:color w:val="1B2733"/>
                <w:sz w:val="19"/>
                <w:szCs w:val="19"/>
              </w:rPr>
              <w:t xml:space="preserve">main</w:t>
            </w:r>
          </w:p>
        </w:tc>
        <w:tc>
          <w:tcPr>
            <w:tcW w:type="dxa" w:w="3050"/>
            <w:tcMar>
              <w:top w:type="dxa" w:w="90"/>
              <w:left w:type="dxa" w:w="120"/>
              <w:bottom w:type="dxa" w:w="90"/>
              <w:right w:type="dxa" w:w="120"/>
            </w:tcMar>
            <w:vAlign w:val="center"/>
          </w:tcPr>
          <w:p>
            <w:pPr>
              <w:jc w:val="left"/>
            </w:pPr>
            <w:r>
              <w:rPr>
                <w:b w:val="false"/>
                <w:bCs w:val="false"/>
                <w:color w:val="1B2733"/>
                <w:sz w:val="19"/>
                <w:szCs w:val="19"/>
              </w:rPr>
              <w:t xml:space="preserve">GITOPS_LAMBDA_NAME</w:t>
            </w:r>
          </w:p>
        </w:tc>
        <w:tc>
          <w:tcPr>
            <w:tcW w:type="dxa" w:w="4850"/>
            <w:tcMar>
              <w:top w:type="dxa" w:w="90"/>
              <w:left w:type="dxa" w:w="120"/>
              <w:bottom w:type="dxa" w:w="90"/>
              <w:right w:type="dxa" w:w="120"/>
            </w:tcMar>
            <w:vAlign w:val="center"/>
          </w:tcPr>
          <w:p>
            <w:pPr>
              <w:jc w:val="left"/>
            </w:pPr>
            <w:r>
              <w:rPr>
                <w:b w:val="false"/>
                <w:bCs w:val="false"/>
                <w:color w:val="1B2733"/>
                <w:sz w:val="19"/>
                <w:szCs w:val="19"/>
              </w:rPr>
              <w:t xml:space="preserve">Function name to async-invoke for CREATE_PR / PROMOTE.</w:t>
            </w:r>
          </w:p>
        </w:tc>
      </w:tr>
      <w:tr>
        <w:tc>
          <w:tcPr>
            <w:tcW w:type="dxa" w:w="14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gitops</w:t>
            </w:r>
          </w:p>
        </w:tc>
        <w:tc>
          <w:tcPr>
            <w:tcW w:type="dxa" w:w="30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DYNAMODB_TABLE</w:t>
            </w:r>
          </w:p>
        </w:tc>
        <w:tc>
          <w:tcPr>
            <w:tcW w:type="dxa" w:w="48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See §7.2 — required for promotion bookkeeping.</w:t>
            </w:r>
          </w:p>
        </w:tc>
      </w:tr>
      <w:tr>
        <w:tc>
          <w:tcPr>
            <w:tcW w:type="dxa" w:w="1450"/>
            <w:tcMar>
              <w:top w:type="dxa" w:w="90"/>
              <w:left w:type="dxa" w:w="120"/>
              <w:bottom w:type="dxa" w:w="90"/>
              <w:right w:type="dxa" w:w="120"/>
            </w:tcMar>
            <w:vAlign w:val="center"/>
          </w:tcPr>
          <w:p>
            <w:pPr>
              <w:jc w:val="left"/>
            </w:pPr>
            <w:r>
              <w:rPr>
                <w:b w:val="false"/>
                <w:bCs w:val="false"/>
                <w:color w:val="1B2733"/>
                <w:sz w:val="19"/>
                <w:szCs w:val="19"/>
              </w:rPr>
              <w:t xml:space="preserve">gitops</w:t>
            </w:r>
          </w:p>
        </w:tc>
        <w:tc>
          <w:tcPr>
            <w:tcW w:type="dxa" w:w="3050"/>
            <w:tcMar>
              <w:top w:type="dxa" w:w="90"/>
              <w:left w:type="dxa" w:w="120"/>
              <w:bottom w:type="dxa" w:w="90"/>
              <w:right w:type="dxa" w:w="120"/>
            </w:tcMar>
            <w:vAlign w:val="center"/>
          </w:tcPr>
          <w:p>
            <w:pPr>
              <w:jc w:val="left"/>
            </w:pPr>
            <w:r>
              <w:rPr>
                <w:b w:val="false"/>
                <w:bCs w:val="false"/>
                <w:color w:val="1B2733"/>
                <w:sz w:val="19"/>
                <w:szCs w:val="19"/>
              </w:rPr>
              <w:t xml:space="preserve">BITBUCKET_URL, PROJECT_KEY, REPO_NAME, REPO_BASE_PATH</w:t>
            </w:r>
          </w:p>
        </w:tc>
        <w:tc>
          <w:tcPr>
            <w:tcW w:type="dxa" w:w="4850"/>
            <w:tcMar>
              <w:top w:type="dxa" w:w="90"/>
              <w:left w:type="dxa" w:w="120"/>
              <w:bottom w:type="dxa" w:w="90"/>
              <w:right w:type="dxa" w:w="120"/>
            </w:tcMar>
            <w:vAlign w:val="center"/>
          </w:tcPr>
          <w:p>
            <w:pPr>
              <w:jc w:val="left"/>
            </w:pPr>
            <w:r>
              <w:rPr>
                <w:b w:val="false"/>
                <w:bCs w:val="false"/>
                <w:color w:val="1B2733"/>
                <w:sz w:val="19"/>
                <w:szCs w:val="19"/>
              </w:rPr>
              <w:t xml:space="preserve">See §7.1 — all required, no defaults.</w:t>
            </w:r>
          </w:p>
        </w:tc>
      </w:tr>
      <w:tr>
        <w:tc>
          <w:tcPr>
            <w:tcW w:type="dxa" w:w="14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gitops</w:t>
            </w:r>
          </w:p>
        </w:tc>
        <w:tc>
          <w:tcPr>
            <w:tcW w:type="dxa" w:w="30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SECRET_NAME</w:t>
            </w:r>
          </w:p>
        </w:tc>
        <w:tc>
          <w:tcPr>
            <w:tcW w:type="dxa" w:w="48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Name of the Secrets Manager secret holding the Bitbucket token.</w:t>
            </w:r>
          </w:p>
        </w:tc>
      </w:tr>
      <w:tr>
        <w:tc>
          <w:tcPr>
            <w:tcW w:type="dxa" w:w="1450"/>
            <w:tcMar>
              <w:top w:type="dxa" w:w="90"/>
              <w:left w:type="dxa" w:w="120"/>
              <w:bottom w:type="dxa" w:w="90"/>
              <w:right w:type="dxa" w:w="120"/>
            </w:tcMar>
            <w:vAlign w:val="center"/>
          </w:tcPr>
          <w:p>
            <w:pPr>
              <w:jc w:val="left"/>
            </w:pPr>
            <w:r>
              <w:rPr>
                <w:b w:val="false"/>
                <w:bCs w:val="false"/>
                <w:color w:val="1B2733"/>
                <w:sz w:val="19"/>
                <w:szCs w:val="19"/>
              </w:rPr>
              <w:t xml:space="preserve">gitops</w:t>
            </w:r>
          </w:p>
        </w:tc>
        <w:tc>
          <w:tcPr>
            <w:tcW w:type="dxa" w:w="3050"/>
            <w:tcMar>
              <w:top w:type="dxa" w:w="90"/>
              <w:left w:type="dxa" w:w="120"/>
              <w:bottom w:type="dxa" w:w="90"/>
              <w:right w:type="dxa" w:w="120"/>
            </w:tcMar>
            <w:vAlign w:val="center"/>
          </w:tcPr>
          <w:p>
            <w:pPr>
              <w:jc w:val="left"/>
            </w:pPr>
            <w:r>
              <w:rPr>
                <w:b w:val="false"/>
                <w:bCs w:val="false"/>
                <w:color w:val="1B2733"/>
                <w:sz w:val="19"/>
                <w:szCs w:val="19"/>
              </w:rPr>
              <w:t xml:space="preserve">PR_APPROVER_USERNAMES, PR_APPROVER_EMAILS</w:t>
            </w:r>
          </w:p>
        </w:tc>
        <w:tc>
          <w:tcPr>
            <w:tcW w:type="dxa" w:w="4850"/>
            <w:tcMar>
              <w:top w:type="dxa" w:w="90"/>
              <w:left w:type="dxa" w:w="120"/>
              <w:bottom w:type="dxa" w:w="90"/>
              <w:right w:type="dxa" w:w="120"/>
            </w:tcMar>
            <w:vAlign w:val="center"/>
          </w:tcPr>
          <w:p>
            <w:pPr>
              <w:jc w:val="left"/>
            </w:pPr>
            <w:r>
              <w:rPr>
                <w:b w:val="false"/>
                <w:bCs w:val="false"/>
                <w:color w:val="1B2733"/>
                <w:sz w:val="19"/>
                <w:szCs w:val="19"/>
              </w:rPr>
              <w:t xml:space="preserve">Reviewers to add / addresses to notify on new PRs and promotions.</w:t>
            </w:r>
          </w:p>
        </w:tc>
      </w:tr>
      <w:tr>
        <w:tc>
          <w:tcPr>
            <w:tcW w:type="dxa" w:w="14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gitops</w:t>
            </w:r>
          </w:p>
        </w:tc>
        <w:tc>
          <w:tcPr>
            <w:tcW w:type="dxa" w:w="30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DOMAIN</w:t>
            </w:r>
          </w:p>
        </w:tc>
        <w:tc>
          <w:tcPr>
            <w:tcW w:type="dxa" w:w="48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Builds the SES sender address; empty disables notification emails.</w:t>
            </w:r>
          </w:p>
        </w:tc>
      </w:tr>
    </w:tbl>
    <w:p>
      <w:pPr>
        <w:pStyle w:val="Heading2"/>
        <w:spacing w:after="160" w:before="320"/>
      </w:pPr>
      <w:r>
        <w:t xml:space="preserve">9.3 Key files 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2233F" w:val="clear"/>
            <w:tcMar>
              <w:top w:type="dxa" w:w="90"/>
              <w:left w:type="dxa" w:w="120"/>
              <w:bottom w:type="dxa" w:w="90"/>
              <w:right w:type="dxa" w:w="120"/>
            </w:tcMar>
            <w:vAlign w:val="center"/>
          </w:tcPr>
          <w:p>
            <w:pPr>
              <w:jc w:val="left"/>
            </w:pPr>
            <w:r>
              <w:rPr>
                <w:b/>
                <w:bCs/>
                <w:color w:val="FFFFFF"/>
                <w:sz w:val="19"/>
                <w:szCs w:val="19"/>
              </w:rPr>
              <w:t xml:space="preserve">Path</w:t>
            </w:r>
          </w:p>
        </w:tc>
        <w:tc>
          <w:tcPr>
            <w:tcW w:type="dxa" w:w="5850"/>
            <w:shd w:fill="12233F" w:val="clear"/>
            <w:tcMar>
              <w:top w:type="dxa" w:w="90"/>
              <w:left w:type="dxa" w:w="120"/>
              <w:bottom w:type="dxa" w:w="90"/>
              <w:right w:type="dxa" w:w="120"/>
            </w:tcMar>
            <w:vAlign w:val="center"/>
          </w:tcPr>
          <w:p>
            <w:pPr>
              <w:jc w:val="left"/>
            </w:pPr>
            <w:r>
              <w:rPr>
                <w:b/>
                <w:bCs/>
                <w:color w:val="FFFFFF"/>
                <w:sz w:val="19"/>
                <w:szCs w:val="19"/>
              </w:rPr>
              <w:t xml:space="preserve">What's there</w:t>
            </w:r>
          </w:p>
        </w:tc>
      </w:tr>
      <w:tr>
        <w:tc>
          <w:tcPr>
            <w:tcW w:type="dxa" w:w="3500"/>
            <w:tcMar>
              <w:top w:type="dxa" w:w="90"/>
              <w:left w:type="dxa" w:w="120"/>
              <w:bottom w:type="dxa" w:w="90"/>
              <w:right w:type="dxa" w:w="120"/>
            </w:tcMar>
            <w:vAlign w:val="center"/>
          </w:tcPr>
          <w:p>
            <w:pPr>
              <w:jc w:val="left"/>
            </w:pPr>
            <w:r>
              <w:rPr>
                <w:b w:val="false"/>
                <w:bCs w:val="false"/>
                <w:color w:val="1B2733"/>
                <w:sz w:val="19"/>
                <w:szCs w:val="19"/>
              </w:rPr>
              <w:t xml:space="preserve">terraform/main.tf, variables.tf, outputs.tf</w:t>
            </w:r>
          </w:p>
        </w:tc>
        <w:tc>
          <w:tcPr>
            <w:tcW w:type="dxa" w:w="5850"/>
            <w:tcMar>
              <w:top w:type="dxa" w:w="90"/>
              <w:left w:type="dxa" w:w="120"/>
              <w:bottom w:type="dxa" w:w="90"/>
              <w:right w:type="dxa" w:w="120"/>
            </w:tcMar>
            <w:vAlign w:val="center"/>
          </w:tcPr>
          <w:p>
            <w:pPr>
              <w:jc w:val="left"/>
            </w:pPr>
            <w:r>
              <w:rPr>
                <w:b w:val="false"/>
                <w:bCs w:val="false"/>
                <w:color w:val="1B2733"/>
                <w:sz w:val="19"/>
                <w:szCs w:val="19"/>
              </w:rPr>
              <w:t xml:space="preserve">The backend infrastructure covered in §2, §5.4, §9.1.</w:t>
            </w:r>
          </w:p>
        </w:tc>
      </w:tr>
      <w:tr>
        <w:tc>
          <w:tcPr>
            <w:tcW w:type="dxa" w:w="35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terraform/lambda/handler.py</w:t>
            </w:r>
          </w:p>
        </w:tc>
        <w:tc>
          <w:tcPr>
            <w:tcW w:type="dxa" w:w="58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main Lambda — request CRUD, webhook processing, status-history writes (§3, §7.5).</w:t>
            </w:r>
          </w:p>
        </w:tc>
      </w:tr>
      <w:tr>
        <w:tc>
          <w:tcPr>
            <w:tcW w:type="dxa" w:w="3500"/>
            <w:tcMar>
              <w:top w:type="dxa" w:w="90"/>
              <w:left w:type="dxa" w:w="120"/>
              <w:bottom w:type="dxa" w:w="90"/>
              <w:right w:type="dxa" w:w="120"/>
            </w:tcMar>
            <w:vAlign w:val="center"/>
          </w:tcPr>
          <w:p>
            <w:pPr>
              <w:jc w:val="left"/>
            </w:pPr>
            <w:r>
              <w:rPr>
                <w:b w:val="false"/>
                <w:bCs w:val="false"/>
                <w:color w:val="1B2733"/>
                <w:sz w:val="19"/>
                <w:szCs w:val="19"/>
              </w:rPr>
              <w:t xml:space="preserve">terraform/lambda-gitops/handler.py</w:t>
            </w:r>
          </w:p>
        </w:tc>
        <w:tc>
          <w:tcPr>
            <w:tcW w:type="dxa" w:w="5850"/>
            <w:tcMar>
              <w:top w:type="dxa" w:w="90"/>
              <w:left w:type="dxa" w:w="120"/>
              <w:bottom w:type="dxa" w:w="90"/>
              <w:right w:type="dxa" w:w="120"/>
            </w:tcMar>
            <w:vAlign w:val="center"/>
          </w:tcPr>
          <w:p>
            <w:pPr>
              <w:jc w:val="left"/>
            </w:pPr>
            <w:r>
              <w:rPr>
                <w:b w:val="false"/>
                <w:bCs w:val="false"/>
                <w:color w:val="1B2733"/>
                <w:sz w:val="19"/>
                <w:szCs w:val="19"/>
              </w:rPr>
              <w:t xml:space="preserve">gitops Lambda — branch/PR/promotion logic, the sweep (§6.2), notifications (§6.4/§9.2).</w:t>
            </w:r>
          </w:p>
        </w:tc>
      </w:tr>
      <w:tr>
        <w:tc>
          <w:tcPr>
            <w:tcW w:type="dxa" w:w="35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terraform/setup.sh</w:t>
            </w:r>
          </w:p>
        </w:tc>
        <w:tc>
          <w:tcPr>
            <w:tcW w:type="dxa" w:w="58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Automated setup — §5.2.</w:t>
            </w:r>
          </w:p>
        </w:tc>
      </w:tr>
      <w:tr>
        <w:tc>
          <w:tcPr>
            <w:tcW w:type="dxa" w:w="3500"/>
            <w:tcMar>
              <w:top w:type="dxa" w:w="90"/>
              <w:left w:type="dxa" w:w="120"/>
              <w:bottom w:type="dxa" w:w="90"/>
              <w:right w:type="dxa" w:w="120"/>
            </w:tcMar>
            <w:vAlign w:val="center"/>
          </w:tcPr>
          <w:p>
            <w:pPr>
              <w:jc w:val="left"/>
            </w:pPr>
            <w:r>
              <w:rPr>
                <w:b w:val="false"/>
                <w:bCs w:val="false"/>
                <w:color w:val="1B2733"/>
                <w:sz w:val="19"/>
                <w:szCs w:val="19"/>
              </w:rPr>
              <w:t xml:space="preserve">terraform/scaffold-config-repo.sh</w:t>
            </w:r>
          </w:p>
        </w:tc>
        <w:tc>
          <w:tcPr>
            <w:tcW w:type="dxa" w:w="5850"/>
            <w:tcMar>
              <w:top w:type="dxa" w:w="90"/>
              <w:left w:type="dxa" w:w="120"/>
              <w:bottom w:type="dxa" w:w="90"/>
              <w:right w:type="dxa" w:w="120"/>
            </w:tcMar>
            <w:vAlign w:val="center"/>
          </w:tcPr>
          <w:p>
            <w:pPr>
              <w:jc w:val="left"/>
            </w:pPr>
            <w:r>
              <w:rPr>
                <w:b w:val="false"/>
                <w:bCs w:val="false"/>
                <w:color w:val="1B2733"/>
                <w:sz w:val="19"/>
                <w:szCs w:val="19"/>
              </w:rPr>
              <w:t xml:space="preserve">One-time config-repo branch/file scaffolding — §5.3.</w:t>
            </w:r>
          </w:p>
        </w:tc>
      </w:tr>
      <w:tr>
        <w:tc>
          <w:tcPr>
            <w:tcW w:type="dxa" w:w="35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terraform/terraform.tfvars.example</w:t>
            </w:r>
          </w:p>
        </w:tc>
        <w:tc>
          <w:tcPr>
            <w:tcW w:type="dxa" w:w="58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Template for terraform.tfvars — §5.4.</w:t>
            </w:r>
          </w:p>
        </w:tc>
      </w:tr>
      <w:tr>
        <w:tc>
          <w:tcPr>
            <w:tcW w:type="dxa" w:w="3500"/>
            <w:tcMar>
              <w:top w:type="dxa" w:w="90"/>
              <w:left w:type="dxa" w:w="120"/>
              <w:bottom w:type="dxa" w:w="90"/>
              <w:right w:type="dxa" w:w="120"/>
            </w:tcMar>
            <w:vAlign w:val="center"/>
          </w:tcPr>
          <w:p>
            <w:pPr>
              <w:jc w:val="left"/>
            </w:pPr>
            <w:r>
              <w:rPr>
                <w:b w:val="false"/>
                <w:bCs w:val="false"/>
                <w:color w:val="1B2733"/>
                <w:sz w:val="19"/>
                <w:szCs w:val="19"/>
              </w:rPr>
              <w:t xml:space="preserve">src/</w:t>
            </w:r>
          </w:p>
        </w:tc>
        <w:tc>
          <w:tcPr>
            <w:tcW w:type="dxa" w:w="5850"/>
            <w:tcMar>
              <w:top w:type="dxa" w:w="90"/>
              <w:left w:type="dxa" w:w="120"/>
              <w:bottom w:type="dxa" w:w="90"/>
              <w:right w:type="dxa" w:w="120"/>
            </w:tcMar>
            <w:vAlign w:val="center"/>
          </w:tcPr>
          <w:p>
            <w:pPr>
              <w:jc w:val="left"/>
            </w:pPr>
            <w:r>
              <w:rPr>
                <w:b w:val="false"/>
                <w:bCs w:val="false"/>
                <w:color w:val="1B2733"/>
                <w:sz w:val="19"/>
                <w:szCs w:val="19"/>
              </w:rPr>
              <w:t xml:space="preserve">The React/Vite frontend — routes, pages, the request form and its types (src/types/request.types.ts).</w:t>
            </w:r>
          </w:p>
        </w:tc>
      </w:tr>
      <w:tr>
        <w:tc>
          <w:tcPr>
            <w:tcW w:type="dxa" w:w="35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.env.example</w:t>
            </w:r>
          </w:p>
        </w:tc>
        <w:tc>
          <w:tcPr>
            <w:tcW w:type="dxa" w:w="58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Frontend env template — §5.5, §8.</w:t>
            </w:r>
          </w:p>
        </w:tc>
      </w:tr>
    </w:tbl>
    <w:p>
      <w:pPr>
        <w:pStyle w:val="Heading2"/>
        <w:spacing w:after="160" w:before="320"/>
      </w:pPr>
      <w:r>
        <w:t xml:space="preserve">9.4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2233F" w:val="clear"/>
            <w:tcMar>
              <w:top w:type="dxa" w:w="90"/>
              <w:left w:type="dxa" w:w="120"/>
              <w:bottom w:type="dxa" w:w="90"/>
              <w:right w:type="dxa" w:w="120"/>
            </w:tcMar>
            <w:vAlign w:val="center"/>
          </w:tcPr>
          <w:p>
            <w:pPr>
              <w:jc w:val="left"/>
            </w:pPr>
            <w:r>
              <w:rPr>
                <w:b/>
                <w:bCs/>
                <w:color w:val="FFFFFF"/>
                <w:sz w:val="19"/>
                <w:szCs w:val="19"/>
              </w:rPr>
              <w:t xml:space="preserve">Term</w:t>
            </w:r>
          </w:p>
        </w:tc>
        <w:tc>
          <w:tcPr>
            <w:tcW w:type="dxa" w:w="6750"/>
            <w:shd w:fill="12233F" w:val="clear"/>
            <w:tcMar>
              <w:top w:type="dxa" w:w="90"/>
              <w:left w:type="dxa" w:w="120"/>
              <w:bottom w:type="dxa" w:w="90"/>
              <w:right w:type="dxa" w:w="120"/>
            </w:tcMar>
            <w:vAlign w:val="center"/>
          </w:tcPr>
          <w:p>
            <w:pPr>
              <w:jc w:val="left"/>
            </w:pPr>
            <w:r>
              <w:rPr>
                <w:b/>
                <w:bCs/>
                <w:color w:val="FFFFFF"/>
                <w:sz w:val="19"/>
                <w:szCs w:val="19"/>
              </w:rPr>
              <w:t xml:space="preserve">Meaning</w:t>
            </w:r>
          </w:p>
        </w:tc>
      </w:tr>
      <w:tr>
        <w:tc>
          <w:tcPr>
            <w:tcW w:type="dxa" w:w="2600"/>
            <w:tcMar>
              <w:top w:type="dxa" w:w="90"/>
              <w:left w:type="dxa" w:w="120"/>
              <w:bottom w:type="dxa" w:w="90"/>
              <w:right w:type="dxa" w:w="120"/>
            </w:tcMar>
            <w:vAlign w:val="center"/>
          </w:tcPr>
          <w:p>
            <w:pPr>
              <w:jc w:val="left"/>
            </w:pPr>
            <w:r>
              <w:rPr>
                <w:b w:val="false"/>
                <w:bCs w:val="false"/>
                <w:color w:val="1B2733"/>
                <w:sz w:val="19"/>
                <w:szCs w:val="19"/>
              </w:rPr>
              <w:t xml:space="preserve">Promotion</w:t>
            </w:r>
          </w:p>
        </w:tc>
        <w:tc>
          <w:tcPr>
            <w:tcW w:type="dxa" w:w="6750"/>
            <w:tcMar>
              <w:top w:type="dxa" w:w="90"/>
              <w:left w:type="dxa" w:w="120"/>
              <w:bottom w:type="dxa" w:w="90"/>
              <w:right w:type="dxa" w:w="120"/>
            </w:tcMar>
            <w:vAlign w:val="center"/>
          </w:tcPr>
          <w:p>
            <w:pPr>
              <w:jc w:val="left"/>
            </w:pPr>
            <w:r>
              <w:rPr>
                <w:b w:val="false"/>
                <w:bCs w:val="false"/>
                <w:color w:val="1B2733"/>
                <w:sz w:val="19"/>
                <w:szCs w:val="19"/>
              </w:rPr>
              <w:t xml:space="preserve">The automatic dev → qa or qa → master pull request opened once a request's PR into the previous branch merges.</w:t>
            </w:r>
          </w:p>
        </w:tc>
      </w:tr>
      <w:tr>
        <w:tc>
          <w:tcPr>
            <w:tcW w:type="dxa" w:w="26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Promotion lock (LOCK# item)</w:t>
            </w:r>
          </w:p>
        </w:tc>
        <w:tc>
          <w:tcPr>
            <w:tcW w:type="dxa" w:w="67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A DynamoDB item coordinating a batch of requests being promoted into the same branch together, so two requests merging moments apart don't open two redundant promotion PRs.</w:t>
            </w:r>
          </w:p>
        </w:tc>
      </w:tr>
      <w:tr>
        <w:tc>
          <w:tcPr>
            <w:tcW w:type="dxa" w:w="2600"/>
            <w:tcMar>
              <w:top w:type="dxa" w:w="90"/>
              <w:left w:type="dxa" w:w="120"/>
              <w:bottom w:type="dxa" w:w="90"/>
              <w:right w:type="dxa" w:w="120"/>
            </w:tcMar>
            <w:vAlign w:val="center"/>
          </w:tcPr>
          <w:p>
            <w:pPr>
              <w:jc w:val="left"/>
            </w:pPr>
            <w:r>
              <w:rPr>
                <w:b w:val="false"/>
                <w:bCs w:val="false"/>
                <w:color w:val="1B2733"/>
                <w:sz w:val="19"/>
                <w:szCs w:val="19"/>
              </w:rPr>
              <w:t xml:space="preserve">Sweep</w:t>
            </w:r>
          </w:p>
        </w:tc>
        <w:tc>
          <w:tcPr>
            <w:tcW w:type="dxa" w:w="6750"/>
            <w:tcMar>
              <w:top w:type="dxa" w:w="90"/>
              <w:left w:type="dxa" w:w="120"/>
              <w:bottom w:type="dxa" w:w="90"/>
              <w:right w:type="dxa" w:w="120"/>
            </w:tcMar>
            <w:vAlign w:val="center"/>
          </w:tcPr>
          <w:p>
            <w:pPr>
              <w:jc w:val="left"/>
            </w:pPr>
            <w:r>
              <w:rPr>
                <w:b w:val="false"/>
                <w:bCs w:val="false"/>
                <w:color w:val="1B2733"/>
                <w:sz w:val="19"/>
                <w:szCs w:val="19"/>
              </w:rPr>
              <w:t xml:space="preserve">The scheduled retry pass described in §6.2 — handle_sweep, invoked by EventBridge.</w:t>
            </w:r>
          </w:p>
        </w:tc>
      </w:tr>
      <w:tr>
        <w:tc>
          <w:tcPr>
            <w:tcW w:type="dxa" w:w="260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Config repo</w:t>
            </w:r>
          </w:p>
        </w:tc>
        <w:tc>
          <w:tcPr>
            <w:tcW w:type="dxa" w:w="6750"/>
            <w:shd w:fill="F7F9FC" w:val="clear"/>
            <w:tcMar>
              <w:top w:type="dxa" w:w="90"/>
              <w:left w:type="dxa" w:w="120"/>
              <w:bottom w:type="dxa" w:w="90"/>
              <w:right w:type="dxa" w:w="120"/>
            </w:tcMar>
            <w:vAlign w:val="center"/>
          </w:tcPr>
          <w:p>
            <w:pPr>
              <w:jc w:val="left"/>
            </w:pPr>
            <w:r>
              <w:rPr>
                <w:b w:val="false"/>
                <w:bCs w:val="false"/>
                <w:color w:val="1B2733"/>
                <w:sz w:val="19"/>
                <w:szCs w:val="19"/>
              </w:rPr>
              <w:t xml:space="preserve">The Bitbucket-hosted repository holding per-market values.&lt;env&gt;.yaml files that the portal edits via PRs.</w:t>
            </w:r>
          </w:p>
        </w:tc>
      </w:tr>
      <w:tr>
        <w:tc>
          <w:tcPr>
            <w:tcW w:type="dxa" w:w="2600"/>
            <w:tcMar>
              <w:top w:type="dxa" w:w="90"/>
              <w:left w:type="dxa" w:w="120"/>
              <w:bottom w:type="dxa" w:w="90"/>
              <w:right w:type="dxa" w:w="120"/>
            </w:tcMar>
            <w:vAlign w:val="center"/>
          </w:tcPr>
          <w:p>
            <w:pPr>
              <w:jc w:val="left"/>
            </w:pPr>
            <w:r>
              <w:rPr>
                <w:b w:val="false"/>
                <w:bCs w:val="false"/>
                <w:color w:val="1B2733"/>
                <w:sz w:val="19"/>
                <w:szCs w:val="19"/>
              </w:rPr>
              <w:t xml:space="preserve">GitOps Lambda</w:t>
            </w:r>
          </w:p>
        </w:tc>
        <w:tc>
          <w:tcPr>
            <w:tcW w:type="dxa" w:w="6750"/>
            <w:tcMar>
              <w:top w:type="dxa" w:w="90"/>
              <w:left w:type="dxa" w:w="120"/>
              <w:bottom w:type="dxa" w:w="90"/>
              <w:right w:type="dxa" w:w="120"/>
            </w:tcMar>
            <w:vAlign w:val="center"/>
          </w:tcPr>
          <w:p>
            <w:pPr>
              <w:jc w:val="left"/>
            </w:pPr>
            <w:r>
              <w:rPr>
                <w:b w:val="false"/>
                <w:bCs w:val="false"/>
                <w:color w:val="1B2733"/>
                <w:sz w:val="19"/>
                <w:szCs w:val="19"/>
              </w:rPr>
              <w:t xml:space="preserve">This document's shorthand (matching the codebase) for the Lambda that talks to Bitbucket — see §2.1.</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C"/>
        <w:sz w:val="16"/>
        <w:szCs w:val="16"/>
      </w:rPr>
      <w:t xml:space="preserve">Page </w:t>
    </w:r>
    <w:r>
      <w:rPr>
        <w:color w:val="6B7A8C"/>
        <w:sz w:val="16"/>
        <w:szCs w:val="16"/>
      </w:rPr>
      <w:fldChar w:fldCharType="begin"/>
      <w:instrText xml:space="preserve">PAGE</w:instrText>
      <w:fldChar w:fldCharType="separate"/>
      <w:fldChar w:fldCharType="end"/>
    </w:r>
    <w:r>
      <w:rPr>
        <w:color w:val="6B7A8C"/>
        <w:sz w:val="16"/>
        <w:szCs w:val="16"/>
      </w:rPr>
      <w:t xml:space="preserve"> of </w:t>
    </w:r>
    <w:r>
      <w:rPr>
        <w:color w:val="6B7A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E" w:sz="4" w:space="4"/>
      </w:pBdr>
      <w:tabs>
        <w:tab w:val="right" w:pos="9026"/>
      </w:tabs>
    </w:pPr>
    <w:r>
      <w:rPr>
        <w:color w:val="6B7A8C"/>
        <w:sz w:val="15"/>
        <w:szCs w:val="15"/>
      </w:rPr>
      <w:t xml:space="preserve">DPC Self-Service Whitelisting Portal — Documentation &amp; Runbook</w:t>
    </w:r>
    <w:r>
      <w:rPr>
        <w:color w:val="6B7A8C"/>
        <w:sz w:val="15"/>
        <w:szCs w:val="15"/>
      </w:rPr>
      <w:t xml:space="preserve">	Org / Bitbucket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2233F" w:sz="6" w:space="4"/>
      </w:pBdr>
      <w:spacing w:after="200" w:before="420"/>
    </w:pPr>
    <w:rPr>
      <w:rFonts w:ascii="Calibri" w:cs="Calibri" w:eastAsia="Calibri" w:hAnsi="Calibri"/>
      <w:b/>
      <w:bCs/>
      <w:color w:val="12233F"/>
      <w:sz w:val="30"/>
      <w:szCs w:val="30"/>
    </w:rPr>
  </w:style>
  <w:style w:type="paragraph" w:styleId="Heading2">
    <w:name w:val="Heading 2"/>
    <w:basedOn w:val="Normal"/>
    <w:next w:val="Normal"/>
    <w:qFormat/>
    <w:pPr>
      <w:spacing w:after="160" w:before="320"/>
    </w:pPr>
    <w:rPr>
      <w:rFonts w:ascii="Calibri" w:cs="Calibri" w:eastAsia="Calibri" w:hAnsi="Calibri"/>
      <w:b/>
      <w:bCs/>
      <w:color w:val="2E4B6B"/>
      <w:sz w:val="25"/>
      <w:szCs w:val="25"/>
    </w:rPr>
  </w:style>
  <w:style w:type="paragraph" w:styleId="Heading3">
    <w:name w:val="Heading 3"/>
    <w:basedOn w:val="Normal"/>
    <w:next w:val="Normal"/>
    <w:qFormat/>
    <w:pPr>
      <w:spacing w:after="120" w:before="240"/>
    </w:pPr>
    <w:rPr>
      <w:rFonts w:ascii="Calibri" w:cs="Calibri" w:eastAsia="Calibri" w:hAnsi="Calibri"/>
      <w:b/>
      <w:bCs/>
      <w:i w:val="false"/>
      <w:iCs w:val="false"/>
      <w:color w:val="3A51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e90585f27090fcb6fe219c01c86e2a97f3170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2026-09-03T08:50:30.107Z</dcterms:created>
  <dcterms:modified xsi:type="dcterms:W3CDTF">2026-09-03T08:50:30.107Z</dcterms:modified>
</cp:coreProperties>
</file>

<file path=docProps/custom.xml><?xml version="1.0" encoding="utf-8"?>
<Properties xmlns="http://schemas.openxmlformats.org/officeDocument/2006/custom-properties" xmlns:vt="http://schemas.openxmlformats.org/officeDocument/2006/docPropsVTypes"/>
</file>