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36DDD" w14:textId="77777777" w:rsidR="00691C58" w:rsidRDefault="00691C58" w:rsidP="00691C58">
          <w:pPr>
            <w:pStyle w:val="NoSpacing"/>
            <w:pBdr>
              <w:top w:val="single" w:sz="6" w:space="6" w:color="A53010" w:themeColor="accent1"/>
              <w:bottom w:val="single" w:sz="6" w:space="6" w:color="A53010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</w:pPr>
          <w:r w:rsidRPr="00691C58"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t>Service Mesh with Istio</w:t>
          </w:r>
        </w:p>
        <w:p w14:paraId="3C7CBAC5" w14:textId="5258D999" w:rsidR="00BF2B14" w:rsidRDefault="00000000" w:rsidP="00691C58">
          <w:pPr>
            <w:pStyle w:val="NoSpacing"/>
            <w:pBdr>
              <w:top w:val="single" w:sz="6" w:space="6" w:color="A53010" w:themeColor="accent1"/>
              <w:bottom w:val="single" w:sz="6" w:space="6" w:color="A53010" w:themeColor="accent1"/>
            </w:pBdr>
            <w:spacing w:after="240"/>
            <w:jc w:val="center"/>
            <w:rPr>
              <w:color w:val="A53010" w:themeColor="accent1"/>
              <w:sz w:val="28"/>
              <w:szCs w:val="28"/>
            </w:rPr>
          </w:pPr>
          <w:sdt>
            <w:sdtPr>
              <w:rPr>
                <w:color w:val="A53010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6FFD968E8954BF6AE5EFEF8794CA07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F2B14"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2A60A6">
                <w:rPr>
                  <w:color w:val="A53010" w:themeColor="accent1"/>
                  <w:sz w:val="28"/>
                  <w:szCs w:val="28"/>
                </w:rPr>
                <w:t>Essential</w:t>
              </w:r>
            </w:sdtContent>
          </w:sdt>
        </w:p>
        <w:p w14:paraId="1815FE12" w14:textId="6EEFE75B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49A8901C" w:rsidR="0079312B" w:rsidRDefault="001E6F3A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29, 2023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49A8901C" w:rsidR="0079312B" w:rsidRDefault="001E6F3A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29, 2023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791453F5" w14:textId="77777777" w:rsidR="002D6604" w:rsidRDefault="002D6604">
          <w:pPr>
            <w:rPr>
              <w:caps/>
              <w:color w:val="A53010" w:themeColor="accent1"/>
              <w:sz w:val="64"/>
              <w:szCs w:val="64"/>
            </w:rPr>
          </w:pPr>
        </w:p>
        <w:p w14:paraId="35F73BEB" w14:textId="7F65A26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2EA45CCA" w14:textId="77777777" w:rsidR="001E6F3A" w:rsidRDefault="001E6F3A">
      <w:pPr>
        <w:rPr>
          <w:caps/>
          <w:color w:val="A53010" w:themeColor="accent1"/>
          <w:sz w:val="32"/>
          <w:szCs w:val="32"/>
        </w:rPr>
      </w:pPr>
    </w:p>
    <w:p w14:paraId="68C286A7" w14:textId="69931E51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</w:t>
      </w:r>
      <w:r w:rsidR="00421783">
        <w:rPr>
          <w:caps/>
          <w:color w:val="A53010" w:themeColor="accent1"/>
          <w:sz w:val="32"/>
          <w:szCs w:val="32"/>
        </w:rPr>
        <w:t>ING</w:t>
      </w:r>
      <w:r w:rsidRPr="002570C9">
        <w:rPr>
          <w:caps/>
          <w:color w:val="A53010" w:themeColor="accent1"/>
          <w:sz w:val="32"/>
          <w:szCs w:val="32"/>
        </w:rPr>
        <w:t xml:space="preserve"> Agenda</w:t>
      </w:r>
    </w:p>
    <w:p w14:paraId="2F529177" w14:textId="77777777" w:rsidR="00E7408D" w:rsidRDefault="00E7408D" w:rsidP="00E7408D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</w:rPr>
      </w:pPr>
      <w:r>
        <w:rPr>
          <w:rFonts w:ascii="Segoe UI" w:hAnsi="Segoe UI" w:cs="Segoe UI"/>
        </w:rPr>
        <w:t>Day 1:</w:t>
      </w:r>
    </w:p>
    <w:p w14:paraId="0DA3534E" w14:textId="77777777" w:rsidR="00E7408D" w:rsidRDefault="00E7408D" w:rsidP="00E7408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Morning Session:</w:t>
      </w:r>
    </w:p>
    <w:p w14:paraId="4DBF9F57" w14:textId="77777777" w:rsidR="00E7408D" w:rsidRDefault="00E7408D" w:rsidP="00E7408D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Introduction to Service Mesh and Istio</w:t>
      </w:r>
    </w:p>
    <w:p w14:paraId="4B50BBCC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What is Service Mesh?</w:t>
      </w:r>
    </w:p>
    <w:p w14:paraId="7341703A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Why Istio?</w:t>
      </w:r>
    </w:p>
    <w:p w14:paraId="307B4939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Basic architecture of Istio</w:t>
      </w:r>
    </w:p>
    <w:p w14:paraId="04B4D5C5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Features of Istio</w:t>
      </w:r>
    </w:p>
    <w:p w14:paraId="287993AD" w14:textId="77777777" w:rsidR="00E7408D" w:rsidRDefault="00E7408D" w:rsidP="00E7408D">
      <w:pPr>
        <w:pStyle w:val="NormalWeb"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Installing Istio</w:t>
      </w:r>
    </w:p>
    <w:p w14:paraId="5B2314A9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Prerequisites</w:t>
      </w:r>
    </w:p>
    <w:p w14:paraId="6BDC75CD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Installation options</w:t>
      </w:r>
    </w:p>
    <w:p w14:paraId="03A03495" w14:textId="77777777" w:rsidR="00E7408D" w:rsidRDefault="00E7408D" w:rsidP="00E7408D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Deploying Istio with Kubernetes</w:t>
      </w:r>
    </w:p>
    <w:p w14:paraId="340DFC64" w14:textId="77777777" w:rsidR="00E7408D" w:rsidRDefault="00E7408D" w:rsidP="00E7408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Afternoon Session:</w:t>
      </w:r>
    </w:p>
    <w:p w14:paraId="17984E04" w14:textId="77777777" w:rsidR="00E7408D" w:rsidRDefault="00E7408D" w:rsidP="00E7408D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  <w:sz w:val="24"/>
          <w:szCs w:val="24"/>
        </w:rPr>
      </w:pPr>
      <w:r>
        <w:rPr>
          <w:rFonts w:ascii="Segoe UI" w:hAnsi="Segoe UI" w:cs="Segoe UI"/>
          <w:color w:val="EF4444"/>
        </w:rPr>
        <w:t>Configuring Istio</w:t>
      </w:r>
    </w:p>
    <w:p w14:paraId="48F5A015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control plane</w:t>
      </w:r>
    </w:p>
    <w:p w14:paraId="120B1B0D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data plane</w:t>
      </w:r>
    </w:p>
    <w:p w14:paraId="4F1977E5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Service discovery with Istio</w:t>
      </w:r>
    </w:p>
    <w:p w14:paraId="1F19728C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Traffic management with Istio</w:t>
      </w:r>
    </w:p>
    <w:p w14:paraId="2E4C1CFB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Request routing with Istio</w:t>
      </w:r>
    </w:p>
    <w:p w14:paraId="3900A4E6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 xml:space="preserve">Traffic shifting with </w:t>
      </w:r>
      <w:proofErr w:type="gramStart"/>
      <w:r>
        <w:rPr>
          <w:rFonts w:ascii="Segoe UI" w:hAnsi="Segoe UI" w:cs="Segoe UI"/>
          <w:color w:val="EF4444"/>
        </w:rPr>
        <w:t>Istio</w:t>
      </w:r>
      <w:proofErr w:type="gramEnd"/>
    </w:p>
    <w:p w14:paraId="68C2CB9E" w14:textId="77777777" w:rsidR="00E7408D" w:rsidRDefault="00E7408D" w:rsidP="00E7408D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Fault injection with Istio</w:t>
      </w:r>
    </w:p>
    <w:p w14:paraId="140A51DB" w14:textId="77777777" w:rsidR="00E7408D" w:rsidRDefault="00E7408D" w:rsidP="00E7408D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Day 2:</w:t>
      </w:r>
    </w:p>
    <w:p w14:paraId="6AF2EFC9" w14:textId="77777777" w:rsidR="00E7408D" w:rsidRDefault="00E7408D" w:rsidP="00E7408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Morning Session:</w:t>
      </w:r>
    </w:p>
    <w:p w14:paraId="04E5D8D3" w14:textId="77777777" w:rsidR="00E7408D" w:rsidRDefault="00E7408D" w:rsidP="00E7408D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Security with Istio</w:t>
      </w:r>
    </w:p>
    <w:p w14:paraId="00BBD239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Authentication with Istio</w:t>
      </w:r>
    </w:p>
    <w:p w14:paraId="407C97B1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Authorization with Istio</w:t>
      </w:r>
    </w:p>
    <w:p w14:paraId="06D449FB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Mutual TLS with Istio</w:t>
      </w:r>
    </w:p>
    <w:p w14:paraId="1926D79C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RBAC</w:t>
      </w:r>
    </w:p>
    <w:p w14:paraId="022A42B5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 xml:space="preserve">Istio </w:t>
      </w:r>
      <w:proofErr w:type="spellStart"/>
      <w:r>
        <w:rPr>
          <w:rFonts w:ascii="Segoe UI" w:hAnsi="Segoe UI" w:cs="Segoe UI"/>
          <w:color w:val="EF4444"/>
        </w:rPr>
        <w:t>mTLS</w:t>
      </w:r>
      <w:proofErr w:type="spellEnd"/>
    </w:p>
    <w:p w14:paraId="2A4DD4B9" w14:textId="77777777" w:rsidR="00E7408D" w:rsidRDefault="00E7408D" w:rsidP="00E7408D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Observability with Istio</w:t>
      </w:r>
    </w:p>
    <w:p w14:paraId="06E6952E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metrics</w:t>
      </w:r>
    </w:p>
    <w:p w14:paraId="56F5B344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Distributed tracing with Istio</w:t>
      </w:r>
    </w:p>
    <w:p w14:paraId="2AEB2254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Logging with Istio</w:t>
      </w:r>
    </w:p>
    <w:p w14:paraId="1990B634" w14:textId="77777777" w:rsidR="00E7408D" w:rsidRDefault="00E7408D" w:rsidP="00E7408D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Grafana dashboard</w:t>
      </w:r>
    </w:p>
    <w:p w14:paraId="5FAA9984" w14:textId="77777777" w:rsidR="00E7408D" w:rsidRDefault="00E7408D" w:rsidP="00E7408D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Afternoon Session:</w:t>
      </w:r>
    </w:p>
    <w:p w14:paraId="2ED058BC" w14:textId="77777777" w:rsidR="00E7408D" w:rsidRDefault="00E7408D" w:rsidP="00E7408D">
      <w:pPr>
        <w:pStyle w:val="NormalWeb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Best practices with Istio</w:t>
      </w:r>
    </w:p>
    <w:p w14:paraId="09E900D6" w14:textId="77777777" w:rsidR="00E7408D" w:rsidRDefault="00E7408D" w:rsidP="00E7408D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deployment strategies</w:t>
      </w:r>
    </w:p>
    <w:p w14:paraId="4AD1D1BB" w14:textId="77777777" w:rsidR="00E7408D" w:rsidRDefault="00E7408D" w:rsidP="00E7408D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configuration management</w:t>
      </w:r>
    </w:p>
    <w:p w14:paraId="6E67D16A" w14:textId="77777777" w:rsidR="00E7408D" w:rsidRDefault="00E7408D" w:rsidP="00E7408D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service mesh policies</w:t>
      </w:r>
    </w:p>
    <w:p w14:paraId="1FD9D196" w14:textId="77777777" w:rsidR="00E7408D" w:rsidRDefault="00E7408D" w:rsidP="00E7408D">
      <w:pPr>
        <w:numPr>
          <w:ilvl w:val="1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Istio upgrade strategies</w:t>
      </w:r>
    </w:p>
    <w:p w14:paraId="024A278F" w14:textId="77777777" w:rsidR="00E7408D" w:rsidRDefault="00E7408D" w:rsidP="00E7408D">
      <w:pPr>
        <w:pStyle w:val="Heading2"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720"/>
        </w:tabs>
        <w:ind w:left="432" w:hanging="432"/>
        <w:rPr>
          <w:rFonts w:ascii="Segoe UI" w:hAnsi="Segoe UI" w:cs="Segoe UI"/>
          <w:color w:val="EF4444"/>
        </w:rPr>
      </w:pPr>
      <w:r>
        <w:rPr>
          <w:rFonts w:ascii="Segoe UI" w:hAnsi="Segoe UI" w:cs="Segoe UI"/>
          <w:color w:val="EF4444"/>
        </w:rPr>
        <w:t>Hands-on exercises and labs</w:t>
      </w:r>
    </w:p>
    <w:p w14:paraId="4BFEFE9D" w14:textId="77777777" w:rsidR="00D7687E" w:rsidRDefault="00D7687E">
      <w:pPr>
        <w:rPr>
          <w:caps/>
          <w:color w:val="A53010" w:themeColor="accent1"/>
          <w:sz w:val="32"/>
          <w:szCs w:val="32"/>
        </w:rPr>
      </w:pPr>
    </w:p>
    <w:sectPr w:rsidR="00D7687E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B17"/>
    <w:multiLevelType w:val="multilevel"/>
    <w:tmpl w:val="F0A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4011"/>
    <w:multiLevelType w:val="multilevel"/>
    <w:tmpl w:val="055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90945"/>
    <w:multiLevelType w:val="multilevel"/>
    <w:tmpl w:val="9A86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257458"/>
    <w:multiLevelType w:val="multilevel"/>
    <w:tmpl w:val="65A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1DC7"/>
    <w:multiLevelType w:val="multilevel"/>
    <w:tmpl w:val="0A0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F71E5"/>
    <w:multiLevelType w:val="multilevel"/>
    <w:tmpl w:val="386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138AF"/>
    <w:multiLevelType w:val="multilevel"/>
    <w:tmpl w:val="921A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705557"/>
    <w:multiLevelType w:val="multilevel"/>
    <w:tmpl w:val="3ED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4568C8"/>
    <w:multiLevelType w:val="multilevel"/>
    <w:tmpl w:val="2E16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4"/>
  </w:num>
  <w:num w:numId="2" w16cid:durableId="1445922298">
    <w:abstractNumId w:val="4"/>
  </w:num>
  <w:num w:numId="3" w16cid:durableId="1147363240">
    <w:abstractNumId w:val="4"/>
  </w:num>
  <w:num w:numId="4" w16cid:durableId="1130249809">
    <w:abstractNumId w:val="4"/>
  </w:num>
  <w:num w:numId="5" w16cid:durableId="1800683663">
    <w:abstractNumId w:val="4"/>
  </w:num>
  <w:num w:numId="6" w16cid:durableId="1776318664">
    <w:abstractNumId w:val="4"/>
  </w:num>
  <w:num w:numId="7" w16cid:durableId="1202741317">
    <w:abstractNumId w:val="4"/>
  </w:num>
  <w:num w:numId="8" w16cid:durableId="325405262">
    <w:abstractNumId w:val="4"/>
  </w:num>
  <w:num w:numId="9" w16cid:durableId="2127307854">
    <w:abstractNumId w:val="4"/>
  </w:num>
  <w:num w:numId="10" w16cid:durableId="1417556271">
    <w:abstractNumId w:val="4"/>
  </w:num>
  <w:num w:numId="11" w16cid:durableId="1905021075">
    <w:abstractNumId w:val="4"/>
  </w:num>
  <w:num w:numId="12" w16cid:durableId="431560517">
    <w:abstractNumId w:val="4"/>
  </w:num>
  <w:num w:numId="13" w16cid:durableId="1278638592">
    <w:abstractNumId w:val="4"/>
  </w:num>
  <w:num w:numId="14" w16cid:durableId="1840121767">
    <w:abstractNumId w:val="4"/>
  </w:num>
  <w:num w:numId="15" w16cid:durableId="1039859926">
    <w:abstractNumId w:val="4"/>
  </w:num>
  <w:num w:numId="16" w16cid:durableId="1243491587">
    <w:abstractNumId w:val="4"/>
  </w:num>
  <w:num w:numId="17" w16cid:durableId="435176771">
    <w:abstractNumId w:val="4"/>
  </w:num>
  <w:num w:numId="18" w16cid:durableId="1702316978">
    <w:abstractNumId w:val="4"/>
  </w:num>
  <w:num w:numId="19" w16cid:durableId="750154319">
    <w:abstractNumId w:val="4"/>
  </w:num>
  <w:num w:numId="20" w16cid:durableId="741873008">
    <w:abstractNumId w:val="4"/>
  </w:num>
  <w:num w:numId="21" w16cid:durableId="430054723">
    <w:abstractNumId w:val="0"/>
  </w:num>
  <w:num w:numId="22" w16cid:durableId="1848400592">
    <w:abstractNumId w:val="10"/>
  </w:num>
  <w:num w:numId="23" w16cid:durableId="1889879781">
    <w:abstractNumId w:val="13"/>
  </w:num>
  <w:num w:numId="24" w16cid:durableId="64575784">
    <w:abstractNumId w:val="7"/>
  </w:num>
  <w:num w:numId="25" w16cid:durableId="961884808">
    <w:abstractNumId w:val="8"/>
  </w:num>
  <w:num w:numId="26" w16cid:durableId="1065376209">
    <w:abstractNumId w:val="2"/>
  </w:num>
  <w:num w:numId="27" w16cid:durableId="412288794">
    <w:abstractNumId w:val="5"/>
  </w:num>
  <w:num w:numId="28" w16cid:durableId="320474775">
    <w:abstractNumId w:val="1"/>
  </w:num>
  <w:num w:numId="29" w16cid:durableId="988289608">
    <w:abstractNumId w:val="6"/>
  </w:num>
  <w:num w:numId="30" w16cid:durableId="1255749534">
    <w:abstractNumId w:val="11"/>
  </w:num>
  <w:num w:numId="31" w16cid:durableId="1450321592">
    <w:abstractNumId w:val="9"/>
  </w:num>
  <w:num w:numId="32" w16cid:durableId="376243730">
    <w:abstractNumId w:val="3"/>
  </w:num>
  <w:num w:numId="33" w16cid:durableId="230969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1A5CC3"/>
    <w:rsid w:val="001D0EB8"/>
    <w:rsid w:val="001E6F3A"/>
    <w:rsid w:val="002570C9"/>
    <w:rsid w:val="002A60A6"/>
    <w:rsid w:val="002C1878"/>
    <w:rsid w:val="002D6604"/>
    <w:rsid w:val="00320F99"/>
    <w:rsid w:val="003F6BC2"/>
    <w:rsid w:val="003F77C3"/>
    <w:rsid w:val="00421783"/>
    <w:rsid w:val="004326A0"/>
    <w:rsid w:val="00463FC9"/>
    <w:rsid w:val="004910D0"/>
    <w:rsid w:val="00524B34"/>
    <w:rsid w:val="005E6AF3"/>
    <w:rsid w:val="005E7983"/>
    <w:rsid w:val="0067467D"/>
    <w:rsid w:val="00691C58"/>
    <w:rsid w:val="00747663"/>
    <w:rsid w:val="0077184B"/>
    <w:rsid w:val="0079312B"/>
    <w:rsid w:val="007E23C3"/>
    <w:rsid w:val="007F0023"/>
    <w:rsid w:val="00805104"/>
    <w:rsid w:val="008C3121"/>
    <w:rsid w:val="008D3D34"/>
    <w:rsid w:val="00967C0F"/>
    <w:rsid w:val="009D7F64"/>
    <w:rsid w:val="00A37B10"/>
    <w:rsid w:val="00BF2B14"/>
    <w:rsid w:val="00C9372B"/>
    <w:rsid w:val="00D66EDF"/>
    <w:rsid w:val="00D7687E"/>
    <w:rsid w:val="00D90636"/>
    <w:rsid w:val="00E7408D"/>
    <w:rsid w:val="00E91A7D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1E3389"/>
    <w:rsid w:val="00D153E0"/>
    <w:rsid w:val="00D55479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2023-03-29T00:00:00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 Training</dc:title>
  <dc:subject>Level - Essential</dc:subject>
  <dc:creator>Rajesh Kumar</dc:creator>
  <cp:keywords/>
  <dc:description/>
  <cp:lastModifiedBy>Rajesh Kumar</cp:lastModifiedBy>
  <cp:revision>37</cp:revision>
  <dcterms:created xsi:type="dcterms:W3CDTF">2020-03-27T07:09:00Z</dcterms:created>
  <dcterms:modified xsi:type="dcterms:W3CDTF">2023-03-29T07:13:00Z</dcterms:modified>
</cp:coreProperties>
</file>