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finexa-product-requirements-document-prd"/>
    <w:p>
      <w:pPr>
        <w:pStyle w:val="Heading1"/>
      </w:pPr>
      <w:r>
        <w:t xml:space="preserve">FINEXA – Product Requirements Document (PRD)</w:t>
      </w:r>
    </w:p>
    <w:bookmarkStart w:id="20" w:name="product-overview"/>
    <w:p>
      <w:pPr>
        <w:pStyle w:val="Heading2"/>
      </w:pPr>
      <w:r>
        <w:t xml:space="preserve">1. Product Overview</w:t>
      </w:r>
    </w:p>
    <w:p>
      <w:pPr>
        <w:pStyle w:val="FirstParagraph"/>
      </w:pPr>
      <w:r>
        <w:rPr>
          <w:b/>
          <w:bCs/>
        </w:rPr>
        <w:t xml:space="preserve">Product Name:</w:t>
      </w:r>
      <w:r>
        <w:t xml:space="preserve"> </w:t>
      </w:r>
      <w:r>
        <w:t xml:space="preserve">FINEXA</w:t>
      </w:r>
      <w:r>
        <w:br/>
      </w:r>
      <w:r>
        <w:rPr>
          <w:b/>
          <w:bCs/>
        </w:rPr>
        <w:t xml:space="preserve">Product Type:</w:t>
      </w:r>
      <w:r>
        <w:t xml:space="preserve"> </w:t>
      </w:r>
      <w:r>
        <w:t xml:space="preserve">Interactive Investment Web Application</w:t>
      </w:r>
      <w:r>
        <w:br/>
      </w:r>
      <w:r>
        <w:rPr>
          <w:b/>
          <w:bCs/>
        </w:rPr>
        <w:t xml:space="preserve">Target Market:</w:t>
      </w:r>
      <w:r>
        <w:t xml:space="preserve"> </w:t>
      </w:r>
      <w:r>
        <w:t xml:space="preserve">Nigerian retail investors (students, young professionals, SMEs, first‑time investors, experienced retail investors)</w:t>
      </w:r>
    </w:p>
    <w:p>
      <w:pPr>
        <w:pStyle w:val="BodyText"/>
      </w:pPr>
      <w:r>
        <w:t xml:space="preserve">FINEXA is a modern, clean, and trust‑focused investment web platform designed to help Nigerians invest, learn, simulate, and grow wealth confidently. The platform combines real investment tools, educational guidance, scenario‑based calculators, and localized Nigerian market data into one seamless experience.</w:t>
      </w:r>
    </w:p>
    <w:p>
      <w:pPr>
        <w:pStyle w:val="BodyText"/>
      </w:pPr>
      <w:r>
        <w:t xml:space="preserve">The product prioritizes</w:t>
      </w:r>
      <w:r>
        <w:t xml:space="preserve"> </w:t>
      </w:r>
      <w:r>
        <w:rPr>
          <w:b/>
          <w:bCs/>
        </w:rPr>
        <w:t xml:space="preserve">clarity over excessive design</w:t>
      </w:r>
      <w:r>
        <w:t xml:space="preserve">, strong</w:t>
      </w:r>
      <w:r>
        <w:t xml:space="preserve"> </w:t>
      </w:r>
      <w:r>
        <w:rPr>
          <w:b/>
          <w:bCs/>
        </w:rPr>
        <w:t xml:space="preserve">UX trust signals</w:t>
      </w:r>
      <w:r>
        <w:t xml:space="preserve">, and</w:t>
      </w:r>
      <w:r>
        <w:t xml:space="preserve"> </w:t>
      </w:r>
      <w:r>
        <w:rPr>
          <w:b/>
          <w:bCs/>
        </w:rPr>
        <w:t xml:space="preserve">education‑driven investing</w:t>
      </w:r>
      <w:r>
        <w:t xml:space="preserve">.</w:t>
      </w:r>
    </w:p>
    <w:p>
      <w:r>
        <w:pict>
          <v:rect style="width:0;height:1.5pt" o:hralign="center" o:hrstd="t" o:hr="t"/>
        </w:pict>
      </w:r>
    </w:p>
    <w:bookmarkEnd w:id="20"/>
    <w:bookmarkStart w:id="21" w:name="problem-statement"/>
    <w:p>
      <w:pPr>
        <w:pStyle w:val="Heading2"/>
      </w:pPr>
      <w:r>
        <w:t xml:space="preserve">2. Problem Statement</w:t>
      </w:r>
    </w:p>
    <w:p>
      <w:pPr>
        <w:pStyle w:val="FirstParagraph"/>
      </w:pPr>
      <w:r>
        <w:t xml:space="preserve">Many Nigerians:</w:t>
      </w:r>
      <w:r>
        <w:t xml:space="preserve"> </w:t>
      </w:r>
      <w:r>
        <w:t xml:space="preserve">- Want to invest but lack clarity and trust in existing platforms</w:t>
      </w:r>
      <w:r>
        <w:t xml:space="preserve"> </w:t>
      </w:r>
      <w:r>
        <w:t xml:space="preserve">- Do not understand risk, returns, or market scenarios</w:t>
      </w:r>
      <w:r>
        <w:t xml:space="preserve"> </w:t>
      </w:r>
      <w:r>
        <w:t xml:space="preserve">- Cannot easily simulate</w:t>
      </w:r>
      <w:r>
        <w:t xml:space="preserve"> </w:t>
      </w:r>
      <w:r>
        <w:t xml:space="preserve">“what‑if”</w:t>
      </w:r>
      <w:r>
        <w:t xml:space="preserve"> </w:t>
      </w:r>
      <w:r>
        <w:t xml:space="preserve">investment outcomes</w:t>
      </w:r>
      <w:r>
        <w:t xml:space="preserve"> </w:t>
      </w:r>
      <w:r>
        <w:t xml:space="preserve">- Are overwhelmed by complex dashboards and jargon</w:t>
      </w:r>
    </w:p>
    <w:p>
      <w:pPr>
        <w:pStyle w:val="BodyText"/>
      </w:pPr>
      <w:r>
        <w:t xml:space="preserve">FINEXA solves this by offering:</w:t>
      </w:r>
      <w:r>
        <w:t xml:space="preserve"> </w:t>
      </w:r>
      <w:r>
        <w:t xml:space="preserve">- Simple, guided investing</w:t>
      </w:r>
      <w:r>
        <w:t xml:space="preserve"> </w:t>
      </w:r>
      <w:r>
        <w:t xml:space="preserve">- Transparent calculations</w:t>
      </w:r>
      <w:r>
        <w:t xml:space="preserve"> </w:t>
      </w:r>
      <w:r>
        <w:t xml:space="preserve">- Localized Nigerian market insights</w:t>
      </w:r>
      <w:r>
        <w:t xml:space="preserve"> </w:t>
      </w:r>
      <w:r>
        <w:t xml:space="preserve">- Strong client‑side validation and confirmation flows</w:t>
      </w:r>
    </w:p>
    <w:p>
      <w:r>
        <w:pict>
          <v:rect style="width:0;height:1.5pt" o:hralign="center" o:hrstd="t" o:hr="t"/>
        </w:pict>
      </w:r>
    </w:p>
    <w:bookmarkEnd w:id="21"/>
    <w:bookmarkStart w:id="24" w:name="goals-objectives"/>
    <w:p>
      <w:pPr>
        <w:pStyle w:val="Heading2"/>
      </w:pPr>
      <w:r>
        <w:t xml:space="preserve">3. Goals &amp; Objectives</w:t>
      </w:r>
    </w:p>
    <w:bookmarkStart w:id="22" w:name="primary-goals"/>
    <w:p>
      <w:pPr>
        <w:pStyle w:val="Heading3"/>
      </w:pPr>
      <w:r>
        <w:t xml:space="preserve">Primary Goals</w:t>
      </w:r>
    </w:p>
    <w:p>
      <w:pPr>
        <w:pStyle w:val="Compact"/>
        <w:numPr>
          <w:ilvl w:val="0"/>
          <w:numId w:val="1001"/>
        </w:numPr>
      </w:pPr>
      <w:r>
        <w:t xml:space="preserve">Enable Nigerians to invest confidently and responsibly</w:t>
      </w:r>
    </w:p>
    <w:p>
      <w:pPr>
        <w:pStyle w:val="Compact"/>
        <w:numPr>
          <w:ilvl w:val="0"/>
          <w:numId w:val="1001"/>
        </w:numPr>
      </w:pPr>
      <w:r>
        <w:t xml:space="preserve">Educate users while they invest</w:t>
      </w:r>
    </w:p>
    <w:p>
      <w:pPr>
        <w:pStyle w:val="Compact"/>
        <w:numPr>
          <w:ilvl w:val="0"/>
          <w:numId w:val="1001"/>
        </w:numPr>
      </w:pPr>
      <w:r>
        <w:t xml:space="preserve">Provide realistic market simulations</w:t>
      </w:r>
    </w:p>
    <w:p>
      <w:pPr>
        <w:pStyle w:val="Compact"/>
        <w:numPr>
          <w:ilvl w:val="0"/>
          <w:numId w:val="1001"/>
        </w:numPr>
      </w:pPr>
      <w:r>
        <w:t xml:space="preserve">Build long‑term trust and user retention</w:t>
      </w:r>
    </w:p>
    <w:bookmarkEnd w:id="22"/>
    <w:bookmarkStart w:id="23" w:name="success-metrics-kpis"/>
    <w:p>
      <w:pPr>
        <w:pStyle w:val="Heading3"/>
      </w:pPr>
      <w:r>
        <w:t xml:space="preserve">Success Metrics (KPIs)</w:t>
      </w:r>
    </w:p>
    <w:p>
      <w:pPr>
        <w:pStyle w:val="Compact"/>
        <w:numPr>
          <w:ilvl w:val="0"/>
          <w:numId w:val="1002"/>
        </w:numPr>
      </w:pPr>
      <w:r>
        <w:t xml:space="preserve">User onboarding completion rate</w:t>
      </w:r>
    </w:p>
    <w:p>
      <w:pPr>
        <w:pStyle w:val="Compact"/>
        <w:numPr>
          <w:ilvl w:val="0"/>
          <w:numId w:val="1002"/>
        </w:numPr>
      </w:pPr>
      <w:r>
        <w:t xml:space="preserve">Scenario calculator usage</w:t>
      </w:r>
    </w:p>
    <w:p>
      <w:pPr>
        <w:pStyle w:val="Compact"/>
        <w:numPr>
          <w:ilvl w:val="0"/>
          <w:numId w:val="1002"/>
        </w:numPr>
      </w:pPr>
      <w:r>
        <w:t xml:space="preserve">Investment conversion rate</w:t>
      </w:r>
    </w:p>
    <w:p>
      <w:pPr>
        <w:pStyle w:val="Compact"/>
        <w:numPr>
          <w:ilvl w:val="0"/>
          <w:numId w:val="1002"/>
        </w:numPr>
      </w:pPr>
      <w:r>
        <w:t xml:space="preserve">Monthly active users (MAU)</w:t>
      </w:r>
    </w:p>
    <w:p>
      <w:pPr>
        <w:pStyle w:val="Compact"/>
        <w:numPr>
          <w:ilvl w:val="0"/>
          <w:numId w:val="1002"/>
        </w:numPr>
      </w:pPr>
      <w:r>
        <w:t xml:space="preserve">User trust score (feedback &amp; surveys)</w:t>
      </w:r>
    </w:p>
    <w:p>
      <w:r>
        <w:pict>
          <v:rect style="width:0;height:1.5pt" o:hralign="center" o:hrstd="t" o:hr="t"/>
        </w:pict>
      </w:r>
    </w:p>
    <w:bookmarkEnd w:id="23"/>
    <w:bookmarkEnd w:id="24"/>
    <w:bookmarkStart w:id="28" w:name="target-users-personas"/>
    <w:p>
      <w:pPr>
        <w:pStyle w:val="Heading2"/>
      </w:pPr>
      <w:r>
        <w:t xml:space="preserve">4. Target Users &amp; Personas</w:t>
      </w:r>
    </w:p>
    <w:bookmarkStart w:id="25" w:name="persona-1-firsttime-investor-ages-1830"/>
    <w:p>
      <w:pPr>
        <w:pStyle w:val="Heading3"/>
      </w:pPr>
      <w:r>
        <w:t xml:space="preserve">Persona 1: First‑Time Investor (Ages 18–30)</w:t>
      </w:r>
    </w:p>
    <w:p>
      <w:pPr>
        <w:pStyle w:val="Compact"/>
        <w:numPr>
          <w:ilvl w:val="0"/>
          <w:numId w:val="1003"/>
        </w:numPr>
      </w:pPr>
      <w:r>
        <w:t xml:space="preserve">Low financial literacy</w:t>
      </w:r>
    </w:p>
    <w:p>
      <w:pPr>
        <w:pStyle w:val="Compact"/>
        <w:numPr>
          <w:ilvl w:val="0"/>
          <w:numId w:val="1003"/>
        </w:numPr>
      </w:pPr>
      <w:r>
        <w:t xml:space="preserve">Wants guided investing</w:t>
      </w:r>
    </w:p>
    <w:p>
      <w:pPr>
        <w:pStyle w:val="Compact"/>
        <w:numPr>
          <w:ilvl w:val="0"/>
          <w:numId w:val="1003"/>
        </w:numPr>
      </w:pPr>
      <w:r>
        <w:t xml:space="preserve">Needs education and simulations</w:t>
      </w:r>
    </w:p>
    <w:bookmarkEnd w:id="25"/>
    <w:bookmarkStart w:id="26" w:name="persona-2-young-professional-ages-2540"/>
    <w:p>
      <w:pPr>
        <w:pStyle w:val="Heading3"/>
      </w:pPr>
      <w:r>
        <w:t xml:space="preserve">Persona 2: Young Professional (Ages 25–40)</w:t>
      </w:r>
    </w:p>
    <w:p>
      <w:pPr>
        <w:pStyle w:val="Compact"/>
        <w:numPr>
          <w:ilvl w:val="0"/>
          <w:numId w:val="1004"/>
        </w:numPr>
      </w:pPr>
      <w:r>
        <w:t xml:space="preserve">Regular income</w:t>
      </w:r>
    </w:p>
    <w:p>
      <w:pPr>
        <w:pStyle w:val="Compact"/>
        <w:numPr>
          <w:ilvl w:val="0"/>
          <w:numId w:val="1004"/>
        </w:numPr>
      </w:pPr>
      <w:r>
        <w:t xml:space="preserve">Interested in stocks, mutual funds, treasury bills</w:t>
      </w:r>
    </w:p>
    <w:p>
      <w:pPr>
        <w:pStyle w:val="Compact"/>
        <w:numPr>
          <w:ilvl w:val="0"/>
          <w:numId w:val="1004"/>
        </w:numPr>
      </w:pPr>
      <w:r>
        <w:t xml:space="preserve">Wants portfolio tracking</w:t>
      </w:r>
    </w:p>
    <w:bookmarkEnd w:id="26"/>
    <w:bookmarkStart w:id="27" w:name="persona-3-experienced-retail-investor"/>
    <w:p>
      <w:pPr>
        <w:pStyle w:val="Heading3"/>
      </w:pPr>
      <w:r>
        <w:t xml:space="preserve">Persona 3: Experienced Retail Investor</w:t>
      </w:r>
    </w:p>
    <w:p>
      <w:pPr>
        <w:pStyle w:val="Compact"/>
        <w:numPr>
          <w:ilvl w:val="0"/>
          <w:numId w:val="1005"/>
        </w:numPr>
      </w:pPr>
      <w:r>
        <w:t xml:space="preserve">Already invests</w:t>
      </w:r>
    </w:p>
    <w:p>
      <w:pPr>
        <w:pStyle w:val="Compact"/>
        <w:numPr>
          <w:ilvl w:val="0"/>
          <w:numId w:val="1005"/>
        </w:numPr>
      </w:pPr>
      <w:r>
        <w:t xml:space="preserve">Wants analytics, diversification, and scenario modeling</w:t>
      </w:r>
    </w:p>
    <w:p>
      <w:r>
        <w:pict>
          <v:rect style="width:0;height:1.5pt" o:hralign="center" o:hrstd="t" o:hr="t"/>
        </w:pict>
      </w:r>
    </w:p>
    <w:bookmarkEnd w:id="27"/>
    <w:bookmarkEnd w:id="28"/>
    <w:bookmarkStart w:id="39" w:name="core-features-expanded"/>
    <w:p>
      <w:pPr>
        <w:pStyle w:val="Heading2"/>
      </w:pPr>
      <w:r>
        <w:t xml:space="preserve">5. Core Features (Expanded)</w:t>
      </w:r>
    </w:p>
    <w:bookmarkStart w:id="29" w:name="user-onboarding-profiles"/>
    <w:p>
      <w:pPr>
        <w:pStyle w:val="Heading3"/>
      </w:pPr>
      <w:r>
        <w:t xml:space="preserve">5.1 User Onboarding &amp; Profiles</w:t>
      </w:r>
    </w:p>
    <w:p>
      <w:pPr>
        <w:pStyle w:val="Compact"/>
        <w:numPr>
          <w:ilvl w:val="0"/>
          <w:numId w:val="1006"/>
        </w:numPr>
      </w:pPr>
      <w:r>
        <w:t xml:space="preserve">Secure signup (email/phone + OTP)</w:t>
      </w:r>
    </w:p>
    <w:p>
      <w:pPr>
        <w:pStyle w:val="Compact"/>
        <w:numPr>
          <w:ilvl w:val="0"/>
          <w:numId w:val="1006"/>
        </w:numPr>
      </w:pPr>
      <w:r>
        <w:t xml:space="preserve">Basic KYC placeholders (BVN/NIN – future phase)</w:t>
      </w:r>
    </w:p>
    <w:p>
      <w:pPr>
        <w:pStyle w:val="Compact"/>
        <w:numPr>
          <w:ilvl w:val="0"/>
          <w:numId w:val="1006"/>
        </w:numPr>
      </w:pPr>
      <w:r>
        <w:t xml:space="preserve">Risk profiling questionnaire</w:t>
      </w:r>
    </w:p>
    <w:bookmarkEnd w:id="29"/>
    <w:bookmarkStart w:id="30" w:name="user-dashboard"/>
    <w:p>
      <w:pPr>
        <w:pStyle w:val="Heading3"/>
      </w:pPr>
      <w:r>
        <w:t xml:space="preserve">5.2 User Dashboard</w:t>
      </w:r>
    </w:p>
    <w:p>
      <w:pPr>
        <w:pStyle w:val="Compact"/>
        <w:numPr>
          <w:ilvl w:val="0"/>
          <w:numId w:val="1007"/>
        </w:numPr>
      </w:pPr>
      <w:r>
        <w:t xml:space="preserve">Personalized dashboard on login</w:t>
      </w:r>
    </w:p>
    <w:p>
      <w:pPr>
        <w:pStyle w:val="Compact"/>
        <w:numPr>
          <w:ilvl w:val="0"/>
          <w:numId w:val="1007"/>
        </w:numPr>
      </w:pPr>
      <w:r>
        <w:t xml:space="preserve">Snapshot cards:</w:t>
      </w:r>
    </w:p>
    <w:p>
      <w:pPr>
        <w:pStyle w:val="Compact"/>
        <w:numPr>
          <w:ilvl w:val="1"/>
          <w:numId w:val="1008"/>
        </w:numPr>
      </w:pPr>
      <w:r>
        <w:t xml:space="preserve">Total portfolio value (simulated or real)</w:t>
      </w:r>
    </w:p>
    <w:p>
      <w:pPr>
        <w:pStyle w:val="Compact"/>
        <w:numPr>
          <w:ilvl w:val="1"/>
          <w:numId w:val="1008"/>
        </w:numPr>
      </w:pPr>
      <w:r>
        <w:t xml:space="preserve">Projected growth</w:t>
      </w:r>
    </w:p>
    <w:p>
      <w:pPr>
        <w:pStyle w:val="Compact"/>
        <w:numPr>
          <w:ilvl w:val="1"/>
          <w:numId w:val="1008"/>
        </w:numPr>
      </w:pPr>
      <w:r>
        <w:t xml:space="preserve">Risk profile summary</w:t>
      </w:r>
    </w:p>
    <w:p>
      <w:pPr>
        <w:pStyle w:val="Compact"/>
        <w:numPr>
          <w:ilvl w:val="0"/>
          <w:numId w:val="1007"/>
        </w:numPr>
      </w:pPr>
      <w:r>
        <w:t xml:space="preserve">Interactive charts (line/area/bar)</w:t>
      </w:r>
    </w:p>
    <w:p>
      <w:pPr>
        <w:pStyle w:val="Compact"/>
        <w:numPr>
          <w:ilvl w:val="0"/>
          <w:numId w:val="1007"/>
        </w:numPr>
      </w:pPr>
      <w:r>
        <w:t xml:space="preserve">Quick actions: Simulate, Review History, Learn</w:t>
      </w:r>
    </w:p>
    <w:bookmarkEnd w:id="30"/>
    <w:bookmarkStart w:id="31" w:name="investment-simulator"/>
    <w:p>
      <w:pPr>
        <w:pStyle w:val="Heading3"/>
      </w:pPr>
      <w:r>
        <w:t xml:space="preserve">5.3 Investment Simulator</w:t>
      </w:r>
    </w:p>
    <w:p>
      <w:pPr>
        <w:pStyle w:val="Compact"/>
        <w:numPr>
          <w:ilvl w:val="0"/>
          <w:numId w:val="1009"/>
        </w:numPr>
      </w:pPr>
      <w:r>
        <w:t xml:space="preserve">Draggable sliders (amount, duration, risk level)</w:t>
      </w:r>
    </w:p>
    <w:p>
      <w:pPr>
        <w:pStyle w:val="Compact"/>
        <w:numPr>
          <w:ilvl w:val="0"/>
          <w:numId w:val="1009"/>
        </w:numPr>
      </w:pPr>
      <w:r>
        <w:t xml:space="preserve">Real-time visual projections</w:t>
      </w:r>
    </w:p>
    <w:p>
      <w:pPr>
        <w:pStyle w:val="Compact"/>
        <w:numPr>
          <w:ilvl w:val="0"/>
          <w:numId w:val="1009"/>
        </w:numPr>
      </w:pPr>
      <w:r>
        <w:t xml:space="preserve">Asset class selection (Nigeria-focused)</w:t>
      </w:r>
    </w:p>
    <w:p>
      <w:pPr>
        <w:pStyle w:val="Compact"/>
        <w:numPr>
          <w:ilvl w:val="0"/>
          <w:numId w:val="1009"/>
        </w:numPr>
      </w:pPr>
      <w:r>
        <w:t xml:space="preserve">Client-side validation on all inputs</w:t>
      </w:r>
    </w:p>
    <w:bookmarkEnd w:id="31"/>
    <w:bookmarkStart w:id="32" w:name="scenario-calculator-nigeria-markets"/>
    <w:p>
      <w:pPr>
        <w:pStyle w:val="Heading3"/>
      </w:pPr>
      <w:r>
        <w:t xml:space="preserve">5.4 Scenario Calculator (Nigeria Markets)</w:t>
      </w:r>
    </w:p>
    <w:p>
      <w:pPr>
        <w:pStyle w:val="Compact"/>
        <w:numPr>
          <w:ilvl w:val="0"/>
          <w:numId w:val="1010"/>
        </w:numPr>
      </w:pPr>
      <w:r>
        <w:t xml:space="preserve">NGX equity scenarios</w:t>
      </w:r>
    </w:p>
    <w:p>
      <w:pPr>
        <w:pStyle w:val="Compact"/>
        <w:numPr>
          <w:ilvl w:val="0"/>
          <w:numId w:val="1010"/>
        </w:numPr>
      </w:pPr>
      <w:r>
        <w:t xml:space="preserve">Treasury bills &amp; bonds</w:t>
      </w:r>
    </w:p>
    <w:p>
      <w:pPr>
        <w:pStyle w:val="Compact"/>
        <w:numPr>
          <w:ilvl w:val="0"/>
          <w:numId w:val="1010"/>
        </w:numPr>
      </w:pPr>
      <w:r>
        <w:t xml:space="preserve">Inflation-adjusted projections</w:t>
      </w:r>
    </w:p>
    <w:p>
      <w:pPr>
        <w:pStyle w:val="Compact"/>
        <w:numPr>
          <w:ilvl w:val="0"/>
          <w:numId w:val="1010"/>
        </w:numPr>
      </w:pPr>
      <w:r>
        <w:t xml:space="preserve">FX risk scenarios (naira depreciation)</w:t>
      </w:r>
    </w:p>
    <w:p>
      <w:pPr>
        <w:pStyle w:val="Compact"/>
        <w:numPr>
          <w:ilvl w:val="0"/>
          <w:numId w:val="1010"/>
        </w:numPr>
      </w:pPr>
      <w:r>
        <w:t xml:space="preserve">Best / average / worst-case views</w:t>
      </w:r>
    </w:p>
    <w:bookmarkEnd w:id="32"/>
    <w:bookmarkStart w:id="33" w:name="investment-history"/>
    <w:p>
      <w:pPr>
        <w:pStyle w:val="Heading3"/>
      </w:pPr>
      <w:r>
        <w:t xml:space="preserve">5.5 Investment History</w:t>
      </w:r>
    </w:p>
    <w:p>
      <w:pPr>
        <w:pStyle w:val="Compact"/>
        <w:numPr>
          <w:ilvl w:val="0"/>
          <w:numId w:val="1011"/>
        </w:numPr>
      </w:pPr>
      <w:r>
        <w:t xml:space="preserve">Timeline of saved simulations</w:t>
      </w:r>
    </w:p>
    <w:p>
      <w:pPr>
        <w:pStyle w:val="Compact"/>
        <w:numPr>
          <w:ilvl w:val="0"/>
          <w:numId w:val="1011"/>
        </w:numPr>
      </w:pPr>
      <w:r>
        <w:t xml:space="preserve">Filters by date, asset type, and risk</w:t>
      </w:r>
    </w:p>
    <w:p>
      <w:pPr>
        <w:pStyle w:val="Compact"/>
        <w:numPr>
          <w:ilvl w:val="0"/>
          <w:numId w:val="1011"/>
        </w:numPr>
      </w:pPr>
      <w:r>
        <w:t xml:space="preserve">Ability to reopen, duplicate, or edit scenarios</w:t>
      </w:r>
    </w:p>
    <w:p>
      <w:pPr>
        <w:pStyle w:val="Compact"/>
        <w:numPr>
          <w:ilvl w:val="0"/>
          <w:numId w:val="1011"/>
        </w:numPr>
      </w:pPr>
      <w:r>
        <w:t xml:space="preserve">Comparison of past simulations</w:t>
      </w:r>
    </w:p>
    <w:bookmarkEnd w:id="33"/>
    <w:bookmarkStart w:id="34" w:name="portfolio-records"/>
    <w:p>
      <w:pPr>
        <w:pStyle w:val="Heading3"/>
      </w:pPr>
      <w:r>
        <w:t xml:space="preserve">5.6 Portfolio &amp; Records</w:t>
      </w:r>
    </w:p>
    <w:p>
      <w:pPr>
        <w:pStyle w:val="Compact"/>
        <w:numPr>
          <w:ilvl w:val="0"/>
          <w:numId w:val="1012"/>
        </w:numPr>
      </w:pPr>
      <w:r>
        <w:t xml:space="preserve">Breakdown by asset class</w:t>
      </w:r>
    </w:p>
    <w:p>
      <w:pPr>
        <w:pStyle w:val="Compact"/>
        <w:numPr>
          <w:ilvl w:val="0"/>
          <w:numId w:val="1012"/>
        </w:numPr>
      </w:pPr>
      <w:r>
        <w:t xml:space="preserve">Transaction-style log (for future real investing)</w:t>
      </w:r>
    </w:p>
    <w:p>
      <w:pPr>
        <w:pStyle w:val="Compact"/>
        <w:numPr>
          <w:ilvl w:val="0"/>
          <w:numId w:val="1012"/>
        </w:numPr>
      </w:pPr>
      <w:r>
        <w:t xml:space="preserve">Downloadable reports (future phase)</w:t>
      </w:r>
    </w:p>
    <w:bookmarkEnd w:id="34"/>
    <w:bookmarkStart w:id="35" w:name="alerts-notifications"/>
    <w:p>
      <w:pPr>
        <w:pStyle w:val="Heading3"/>
      </w:pPr>
      <w:r>
        <w:t xml:space="preserve">5.7 Alerts &amp; Notifications</w:t>
      </w:r>
    </w:p>
    <w:p>
      <w:pPr>
        <w:pStyle w:val="Compact"/>
        <w:numPr>
          <w:ilvl w:val="0"/>
          <w:numId w:val="1013"/>
        </w:numPr>
      </w:pPr>
      <w:r>
        <w:t xml:space="preserve">Scenario reminders</w:t>
      </w:r>
    </w:p>
    <w:p>
      <w:pPr>
        <w:pStyle w:val="Compact"/>
        <w:numPr>
          <w:ilvl w:val="0"/>
          <w:numId w:val="1013"/>
        </w:numPr>
      </w:pPr>
      <w:r>
        <w:t xml:space="preserve">Market movement alerts</w:t>
      </w:r>
    </w:p>
    <w:p>
      <w:pPr>
        <w:pStyle w:val="Compact"/>
        <w:numPr>
          <w:ilvl w:val="0"/>
          <w:numId w:val="1013"/>
        </w:numPr>
      </w:pPr>
      <w:r>
        <w:t xml:space="preserve">Educational nudges</w:t>
      </w:r>
    </w:p>
    <w:bookmarkEnd w:id="35"/>
    <w:bookmarkStart w:id="36" w:name="education-integration"/>
    <w:p>
      <w:pPr>
        <w:pStyle w:val="Heading3"/>
      </w:pPr>
      <w:r>
        <w:t xml:space="preserve">5.8 Education Integration</w:t>
      </w:r>
    </w:p>
    <w:p>
      <w:pPr>
        <w:pStyle w:val="Compact"/>
        <w:numPr>
          <w:ilvl w:val="0"/>
          <w:numId w:val="1014"/>
        </w:numPr>
      </w:pPr>
      <w:r>
        <w:t xml:space="preserve">Inline explanations while simulating</w:t>
      </w:r>
    </w:p>
    <w:p>
      <w:pPr>
        <w:pStyle w:val="Compact"/>
        <w:numPr>
          <w:ilvl w:val="0"/>
          <w:numId w:val="1014"/>
        </w:numPr>
      </w:pPr>
      <w:r>
        <w:t xml:space="preserve">Links to learning content</w:t>
      </w:r>
    </w:p>
    <w:bookmarkEnd w:id="36"/>
    <w:bookmarkStart w:id="37" w:name="review-submit-flow"/>
    <w:p>
      <w:pPr>
        <w:pStyle w:val="Heading3"/>
      </w:pPr>
      <w:r>
        <w:t xml:space="preserve">5.9 Review &amp; Submit Flow</w:t>
      </w:r>
    </w:p>
    <w:p>
      <w:pPr>
        <w:pStyle w:val="Compact"/>
        <w:numPr>
          <w:ilvl w:val="0"/>
          <w:numId w:val="1015"/>
        </w:numPr>
      </w:pPr>
      <w:r>
        <w:t xml:space="preserve">Review modal summarizing all inputs</w:t>
      </w:r>
    </w:p>
    <w:p>
      <w:pPr>
        <w:pStyle w:val="Compact"/>
        <w:numPr>
          <w:ilvl w:val="0"/>
          <w:numId w:val="1015"/>
        </w:numPr>
      </w:pPr>
      <w:r>
        <w:t xml:space="preserve">Confirm or cancel before final submission</w:t>
      </w:r>
    </w:p>
    <w:p>
      <w:pPr>
        <w:pStyle w:val="Compact"/>
        <w:numPr>
          <w:ilvl w:val="0"/>
          <w:numId w:val="1015"/>
        </w:numPr>
      </w:pPr>
      <w:r>
        <w:t xml:space="preserve">Cancel returns user to editable state</w:t>
      </w:r>
    </w:p>
    <w:bookmarkEnd w:id="37"/>
    <w:bookmarkStart w:id="38" w:name="settings-preferences"/>
    <w:p>
      <w:pPr>
        <w:pStyle w:val="Heading3"/>
      </w:pPr>
      <w:r>
        <w:t xml:space="preserve">5.10 Settings &amp; Preferences</w:t>
      </w:r>
    </w:p>
    <w:p>
      <w:pPr>
        <w:pStyle w:val="Compact"/>
        <w:numPr>
          <w:ilvl w:val="0"/>
          <w:numId w:val="1016"/>
        </w:numPr>
      </w:pPr>
      <w:r>
        <w:t xml:space="preserve">Profile management</w:t>
      </w:r>
    </w:p>
    <w:p>
      <w:pPr>
        <w:pStyle w:val="Compact"/>
        <w:numPr>
          <w:ilvl w:val="0"/>
          <w:numId w:val="1016"/>
        </w:numPr>
      </w:pPr>
      <w:r>
        <w:t xml:space="preserve">Risk tolerance adjustment</w:t>
      </w:r>
    </w:p>
    <w:p>
      <w:pPr>
        <w:pStyle w:val="Compact"/>
        <w:numPr>
          <w:ilvl w:val="0"/>
          <w:numId w:val="1016"/>
        </w:numPr>
      </w:pPr>
      <w:r>
        <w:t xml:space="preserve">Notification controls</w:t>
      </w:r>
    </w:p>
    <w:p>
      <w:pPr>
        <w:pStyle w:val="Compact"/>
        <w:numPr>
          <w:ilvl w:val="0"/>
          <w:numId w:val="1016"/>
        </w:numPr>
      </w:pPr>
      <w:r>
        <w:t xml:space="preserve">Dark/light mode</w:t>
      </w:r>
    </w:p>
    <w:p>
      <w:pPr>
        <w:pStyle w:val="Compact"/>
        <w:numPr>
          <w:ilvl w:val="0"/>
          <w:numId w:val="1016"/>
        </w:numPr>
      </w:pPr>
      <w:r>
        <w:t xml:space="preserve">Privacy &amp; security settings</w:t>
      </w:r>
    </w:p>
    <w:p>
      <w:r>
        <w:pict>
          <v:rect style="width:0;height:1.5pt" o:hralign="center" o:hrstd="t" o:hr="t"/>
        </w:pict>
      </w:r>
    </w:p>
    <w:bookmarkEnd w:id="38"/>
    <w:bookmarkEnd w:id="39"/>
    <w:bookmarkStart w:id="42" w:name="educational-features-12"/>
    <w:p>
      <w:pPr>
        <w:pStyle w:val="Heading2"/>
      </w:pPr>
      <w:r>
        <w:t xml:space="preserve">6. Educational Features (1–2)</w:t>
      </w:r>
    </w:p>
    <w:bookmarkStart w:id="40" w:name="learnasyouinvest-modules"/>
    <w:p>
      <w:pPr>
        <w:pStyle w:val="Heading3"/>
      </w:pPr>
      <w:r>
        <w:t xml:space="preserve">1. Learn‑As‑You‑Invest Modules</w:t>
      </w:r>
    </w:p>
    <w:p>
      <w:pPr>
        <w:pStyle w:val="Compact"/>
        <w:numPr>
          <w:ilvl w:val="0"/>
          <w:numId w:val="1017"/>
        </w:numPr>
      </w:pPr>
      <w:r>
        <w:t xml:space="preserve">Short explanations beside every investment action</w:t>
      </w:r>
    </w:p>
    <w:p>
      <w:pPr>
        <w:pStyle w:val="Compact"/>
        <w:numPr>
          <w:ilvl w:val="0"/>
          <w:numId w:val="1017"/>
        </w:numPr>
      </w:pPr>
      <w:r>
        <w:t xml:space="preserve">Tooltips for financial terms</w:t>
      </w:r>
    </w:p>
    <w:p>
      <w:pPr>
        <w:pStyle w:val="Compact"/>
        <w:numPr>
          <w:ilvl w:val="0"/>
          <w:numId w:val="1017"/>
        </w:numPr>
      </w:pPr>
      <w:r>
        <w:t xml:space="preserve">Beginner → Intermediate → Advanced paths</w:t>
      </w:r>
    </w:p>
    <w:bookmarkEnd w:id="40"/>
    <w:bookmarkStart w:id="41" w:name="investment-academy"/>
    <w:p>
      <w:pPr>
        <w:pStyle w:val="Heading3"/>
      </w:pPr>
      <w:r>
        <w:t xml:space="preserve">2. Investment Academy</w:t>
      </w:r>
    </w:p>
    <w:p>
      <w:pPr>
        <w:pStyle w:val="Compact"/>
        <w:numPr>
          <w:ilvl w:val="0"/>
          <w:numId w:val="1018"/>
        </w:numPr>
      </w:pPr>
      <w:r>
        <w:t xml:space="preserve">Articles (Nigeria‑focused)</w:t>
      </w:r>
    </w:p>
    <w:p>
      <w:pPr>
        <w:pStyle w:val="Compact"/>
        <w:numPr>
          <w:ilvl w:val="0"/>
          <w:numId w:val="1018"/>
        </w:numPr>
      </w:pPr>
      <w:r>
        <w:t xml:space="preserve">Short videos</w:t>
      </w:r>
    </w:p>
    <w:p>
      <w:pPr>
        <w:pStyle w:val="Compact"/>
        <w:numPr>
          <w:ilvl w:val="0"/>
          <w:numId w:val="1018"/>
        </w:numPr>
      </w:pPr>
      <w:r>
        <w:t xml:space="preserve">Quizzes to unlock advanced features</w:t>
      </w:r>
    </w:p>
    <w:p>
      <w:r>
        <w:pict>
          <v:rect style="width:0;height:1.5pt" o:hralign="center" o:hrstd="t" o:hr="t"/>
        </w:pict>
      </w:r>
    </w:p>
    <w:bookmarkEnd w:id="41"/>
    <w:bookmarkEnd w:id="42"/>
    <w:bookmarkStart w:id="46" w:name="Xac16fa4185cc46a5b11d675b8e320ed6e22a44b"/>
    <w:p>
      <w:pPr>
        <w:pStyle w:val="Heading2"/>
      </w:pPr>
      <w:r>
        <w:t xml:space="preserve">7. Nigeria Market &amp; Scenario Calculator (Key Feature)</w:t>
      </w:r>
    </w:p>
    <w:bookmarkStart w:id="43" w:name="scenario-calculator-capabilities"/>
    <w:p>
      <w:pPr>
        <w:pStyle w:val="Heading3"/>
      </w:pPr>
      <w:r>
        <w:t xml:space="preserve">Scenario Calculator Capabilities</w:t>
      </w:r>
    </w:p>
    <w:p>
      <w:pPr>
        <w:pStyle w:val="Compact"/>
        <w:numPr>
          <w:ilvl w:val="0"/>
          <w:numId w:val="1019"/>
        </w:numPr>
      </w:pPr>
      <w:r>
        <w:t xml:space="preserve">“What if I invest ₦X for Y months?”</w:t>
      </w:r>
    </w:p>
    <w:p>
      <w:pPr>
        <w:pStyle w:val="Compact"/>
        <w:numPr>
          <w:ilvl w:val="0"/>
          <w:numId w:val="1019"/>
        </w:numPr>
      </w:pPr>
      <w:r>
        <w:t xml:space="preserve">Inflation‑adjusted returns (Nigeria inflation data)</w:t>
      </w:r>
    </w:p>
    <w:p>
      <w:pPr>
        <w:pStyle w:val="Compact"/>
        <w:numPr>
          <w:ilvl w:val="0"/>
          <w:numId w:val="1019"/>
        </w:numPr>
      </w:pPr>
      <w:r>
        <w:t xml:space="preserve">Best‑case / average / worst‑case scenarios</w:t>
      </w:r>
    </w:p>
    <w:p>
      <w:pPr>
        <w:pStyle w:val="Compact"/>
        <w:numPr>
          <w:ilvl w:val="0"/>
          <w:numId w:val="1019"/>
        </w:numPr>
      </w:pPr>
      <w:r>
        <w:t xml:space="preserve">Comparison across asset classes</w:t>
      </w:r>
    </w:p>
    <w:bookmarkEnd w:id="43"/>
    <w:bookmarkStart w:id="44" w:name="inputs"/>
    <w:p>
      <w:pPr>
        <w:pStyle w:val="Heading3"/>
      </w:pPr>
      <w:r>
        <w:t xml:space="preserve">Inputs</w:t>
      </w:r>
    </w:p>
    <w:p>
      <w:pPr>
        <w:pStyle w:val="Compact"/>
        <w:numPr>
          <w:ilvl w:val="0"/>
          <w:numId w:val="1020"/>
        </w:numPr>
      </w:pPr>
      <w:r>
        <w:t xml:space="preserve">Investment amount</w:t>
      </w:r>
    </w:p>
    <w:p>
      <w:pPr>
        <w:pStyle w:val="Compact"/>
        <w:numPr>
          <w:ilvl w:val="0"/>
          <w:numId w:val="1020"/>
        </w:numPr>
      </w:pPr>
      <w:r>
        <w:t xml:space="preserve">Time horizon</w:t>
      </w:r>
    </w:p>
    <w:p>
      <w:pPr>
        <w:pStyle w:val="Compact"/>
        <w:numPr>
          <w:ilvl w:val="0"/>
          <w:numId w:val="1020"/>
        </w:numPr>
      </w:pPr>
      <w:r>
        <w:t xml:space="preserve">Asset type</w:t>
      </w:r>
    </w:p>
    <w:p>
      <w:pPr>
        <w:pStyle w:val="Compact"/>
        <w:numPr>
          <w:ilvl w:val="0"/>
          <w:numId w:val="1020"/>
        </w:numPr>
      </w:pPr>
      <w:r>
        <w:t xml:space="preserve">Risk appetite</w:t>
      </w:r>
    </w:p>
    <w:bookmarkEnd w:id="44"/>
    <w:bookmarkStart w:id="45" w:name="outputs"/>
    <w:p>
      <w:pPr>
        <w:pStyle w:val="Heading3"/>
      </w:pPr>
      <w:r>
        <w:t xml:space="preserve">Outputs</w:t>
      </w:r>
    </w:p>
    <w:p>
      <w:pPr>
        <w:pStyle w:val="Compact"/>
        <w:numPr>
          <w:ilvl w:val="0"/>
          <w:numId w:val="1021"/>
        </w:numPr>
      </w:pPr>
      <w:r>
        <w:t xml:space="preserve">Expected returns</w:t>
      </w:r>
    </w:p>
    <w:p>
      <w:pPr>
        <w:pStyle w:val="Compact"/>
        <w:numPr>
          <w:ilvl w:val="0"/>
          <w:numId w:val="1021"/>
        </w:numPr>
      </w:pPr>
      <w:r>
        <w:t xml:space="preserve">Risk exposure</w:t>
      </w:r>
    </w:p>
    <w:p>
      <w:pPr>
        <w:pStyle w:val="Compact"/>
        <w:numPr>
          <w:ilvl w:val="0"/>
          <w:numId w:val="1021"/>
        </w:numPr>
      </w:pPr>
      <w:r>
        <w:t xml:space="preserve">Visual growth charts</w:t>
      </w:r>
    </w:p>
    <w:p>
      <w:pPr>
        <w:pStyle w:val="Compact"/>
        <w:numPr>
          <w:ilvl w:val="0"/>
          <w:numId w:val="1021"/>
        </w:numPr>
      </w:pPr>
      <w:r>
        <w:t xml:space="preserve">Disclaimer on market uncertainty</w:t>
      </w:r>
    </w:p>
    <w:p>
      <w:r>
        <w:pict>
          <v:rect style="width:0;height:1.5pt" o:hralign="center" o:hrstd="t" o:hr="t"/>
        </w:pict>
      </w:r>
    </w:p>
    <w:bookmarkEnd w:id="45"/>
    <w:bookmarkEnd w:id="46"/>
    <w:bookmarkStart w:id="50" w:name="trust-ux-essentials"/>
    <w:p>
      <w:pPr>
        <w:pStyle w:val="Heading2"/>
      </w:pPr>
      <w:r>
        <w:t xml:space="preserve">8. Trust &amp; UX Essentials</w:t>
      </w:r>
    </w:p>
    <w:bookmarkStart w:id="47" w:name="trust-signals"/>
    <w:p>
      <w:pPr>
        <w:pStyle w:val="Heading3"/>
      </w:pPr>
      <w:r>
        <w:t xml:space="preserve">Trust Signals</w:t>
      </w:r>
    </w:p>
    <w:p>
      <w:pPr>
        <w:pStyle w:val="Compact"/>
        <w:numPr>
          <w:ilvl w:val="0"/>
          <w:numId w:val="1022"/>
        </w:numPr>
      </w:pPr>
      <w:r>
        <w:t xml:space="preserve">Clear fee transparency</w:t>
      </w:r>
    </w:p>
    <w:p>
      <w:pPr>
        <w:pStyle w:val="Compact"/>
        <w:numPr>
          <w:ilvl w:val="0"/>
          <w:numId w:val="1022"/>
        </w:numPr>
      </w:pPr>
      <w:r>
        <w:t xml:space="preserve">Regulator disclaimers (SEC Nigeria)</w:t>
      </w:r>
    </w:p>
    <w:p>
      <w:pPr>
        <w:pStyle w:val="Compact"/>
        <w:numPr>
          <w:ilvl w:val="0"/>
          <w:numId w:val="1022"/>
        </w:numPr>
      </w:pPr>
      <w:r>
        <w:t xml:space="preserve">Secure HTTPS &amp; encryption badges</w:t>
      </w:r>
    </w:p>
    <w:p>
      <w:pPr>
        <w:pStyle w:val="Compact"/>
        <w:numPr>
          <w:ilvl w:val="0"/>
          <w:numId w:val="1022"/>
        </w:numPr>
      </w:pPr>
      <w:r>
        <w:t xml:space="preserve">Clear terms &amp; privacy policy</w:t>
      </w:r>
    </w:p>
    <w:bookmarkEnd w:id="47"/>
    <w:bookmarkStart w:id="48" w:name="ux-principles"/>
    <w:p>
      <w:pPr>
        <w:pStyle w:val="Heading3"/>
      </w:pPr>
      <w:r>
        <w:t xml:space="preserve">UX Principles</w:t>
      </w:r>
    </w:p>
    <w:p>
      <w:pPr>
        <w:pStyle w:val="Compact"/>
        <w:numPr>
          <w:ilvl w:val="0"/>
          <w:numId w:val="1023"/>
        </w:numPr>
      </w:pPr>
      <w:r>
        <w:t xml:space="preserve">Clean, flat design (no heavy 3D)</w:t>
      </w:r>
    </w:p>
    <w:p>
      <w:pPr>
        <w:pStyle w:val="Compact"/>
        <w:numPr>
          <w:ilvl w:val="0"/>
          <w:numId w:val="1023"/>
        </w:numPr>
      </w:pPr>
      <w:r>
        <w:t xml:space="preserve">High contrast for readability</w:t>
      </w:r>
    </w:p>
    <w:p>
      <w:pPr>
        <w:pStyle w:val="Compact"/>
        <w:numPr>
          <w:ilvl w:val="0"/>
          <w:numId w:val="1023"/>
        </w:numPr>
      </w:pPr>
      <w:r>
        <w:t xml:space="preserve">Mobile‑first responsive layout</w:t>
      </w:r>
    </w:p>
    <w:p>
      <w:pPr>
        <w:pStyle w:val="Compact"/>
        <w:numPr>
          <w:ilvl w:val="0"/>
          <w:numId w:val="1023"/>
        </w:numPr>
      </w:pPr>
      <w:r>
        <w:t xml:space="preserve">Consistent spacing and typography</w:t>
      </w:r>
    </w:p>
    <w:bookmarkEnd w:id="48"/>
    <w:bookmarkStart w:id="49" w:name="validation-error-handling"/>
    <w:p>
      <w:pPr>
        <w:pStyle w:val="Heading3"/>
      </w:pPr>
      <w:r>
        <w:t xml:space="preserve">Validation &amp; Error Handling</w:t>
      </w:r>
    </w:p>
    <w:p>
      <w:pPr>
        <w:pStyle w:val="Compact"/>
        <w:numPr>
          <w:ilvl w:val="0"/>
          <w:numId w:val="1024"/>
        </w:numPr>
      </w:pPr>
      <w:r>
        <w:t xml:space="preserve">Strict client‑side validation</w:t>
      </w:r>
    </w:p>
    <w:p>
      <w:pPr>
        <w:pStyle w:val="Compact"/>
        <w:numPr>
          <w:ilvl w:val="0"/>
          <w:numId w:val="1024"/>
        </w:numPr>
      </w:pPr>
      <w:r>
        <w:t xml:space="preserve">Friendly error messages</w:t>
      </w:r>
    </w:p>
    <w:p>
      <w:pPr>
        <w:pStyle w:val="Compact"/>
        <w:numPr>
          <w:ilvl w:val="0"/>
          <w:numId w:val="1024"/>
        </w:numPr>
      </w:pPr>
      <w:r>
        <w:t xml:space="preserve">Disabled submission until valid</w:t>
      </w:r>
    </w:p>
    <w:p>
      <w:r>
        <w:pict>
          <v:rect style="width:0;height:1.5pt" o:hralign="center" o:hrstd="t" o:hr="t"/>
        </w:pict>
      </w:r>
    </w:p>
    <w:bookmarkEnd w:id="49"/>
    <w:bookmarkEnd w:id="50"/>
    <w:bookmarkStart w:id="52" w:name="homepage-ui-structure-web-app"/>
    <w:p>
      <w:pPr>
        <w:pStyle w:val="Heading2"/>
      </w:pPr>
      <w:r>
        <w:t xml:space="preserve">9. Homepage UI Structure (Web App)</w:t>
      </w:r>
    </w:p>
    <w:bookmarkStart w:id="51" w:name="sections"/>
    <w:p>
      <w:pPr>
        <w:pStyle w:val="Heading3"/>
      </w:pPr>
      <w:r>
        <w:t xml:space="preserve">Sections</w:t>
      </w:r>
    </w:p>
    <w:p>
      <w:pPr>
        <w:numPr>
          <w:ilvl w:val="0"/>
          <w:numId w:val="1025"/>
        </w:numPr>
      </w:pPr>
      <w:r>
        <w:t xml:space="preserve">Hero Section</w:t>
      </w:r>
    </w:p>
    <w:p>
      <w:pPr>
        <w:pStyle w:val="Compact"/>
        <w:numPr>
          <w:ilvl w:val="1"/>
          <w:numId w:val="1026"/>
        </w:numPr>
      </w:pPr>
      <w:r>
        <w:t xml:space="preserve">Value proposition</w:t>
      </w:r>
    </w:p>
    <w:p>
      <w:pPr>
        <w:pStyle w:val="Compact"/>
        <w:numPr>
          <w:ilvl w:val="1"/>
          <w:numId w:val="1026"/>
        </w:numPr>
      </w:pPr>
      <w:r>
        <w:t xml:space="preserve">Call‑to‑Action (Get Started)</w:t>
      </w:r>
    </w:p>
    <w:p>
      <w:pPr>
        <w:numPr>
          <w:ilvl w:val="0"/>
          <w:numId w:val="1025"/>
        </w:numPr>
      </w:pPr>
      <w:r>
        <w:t xml:space="preserve">How FINEXA Works</w:t>
      </w:r>
    </w:p>
    <w:p>
      <w:pPr>
        <w:pStyle w:val="Compact"/>
        <w:numPr>
          <w:ilvl w:val="1"/>
          <w:numId w:val="1027"/>
        </w:numPr>
      </w:pPr>
      <w:r>
        <w:t xml:space="preserve">Learn → Simulate → Invest → Track</w:t>
      </w:r>
    </w:p>
    <w:p>
      <w:pPr>
        <w:numPr>
          <w:ilvl w:val="0"/>
          <w:numId w:val="1025"/>
        </w:numPr>
      </w:pPr>
      <w:r>
        <w:t xml:space="preserve">Investment Options Preview</w:t>
      </w:r>
    </w:p>
    <w:p>
      <w:pPr>
        <w:numPr>
          <w:ilvl w:val="0"/>
          <w:numId w:val="1025"/>
        </w:numPr>
      </w:pPr>
      <w:r>
        <w:t xml:space="preserve">Scenario Calculator Preview</w:t>
      </w:r>
    </w:p>
    <w:p>
      <w:pPr>
        <w:numPr>
          <w:ilvl w:val="0"/>
          <w:numId w:val="1025"/>
        </w:numPr>
      </w:pPr>
      <w:r>
        <w:t xml:space="preserve">Education &amp; Trust Section</w:t>
      </w:r>
    </w:p>
    <w:p>
      <w:pPr>
        <w:numPr>
          <w:ilvl w:val="0"/>
          <w:numId w:val="1025"/>
        </w:numPr>
      </w:pPr>
      <w:r>
        <w:t xml:space="preserve">Testimonials (future phase)</w:t>
      </w:r>
    </w:p>
    <w:p>
      <w:pPr>
        <w:numPr>
          <w:ilvl w:val="0"/>
          <w:numId w:val="1025"/>
        </w:numPr>
      </w:pPr>
      <w:r>
        <w:t xml:space="preserve">Footer</w:t>
      </w:r>
    </w:p>
    <w:p>
      <w:pPr>
        <w:pStyle w:val="Compact"/>
        <w:numPr>
          <w:ilvl w:val="1"/>
          <w:numId w:val="1028"/>
        </w:numPr>
      </w:pPr>
      <w:r>
        <w:t xml:space="preserve">Legal</w:t>
      </w:r>
    </w:p>
    <w:p>
      <w:pPr>
        <w:pStyle w:val="Compact"/>
        <w:numPr>
          <w:ilvl w:val="1"/>
          <w:numId w:val="1028"/>
        </w:numPr>
      </w:pPr>
      <w:r>
        <w:t xml:space="preserve">Contact</w:t>
      </w:r>
    </w:p>
    <w:p>
      <w:pPr>
        <w:pStyle w:val="Compact"/>
        <w:numPr>
          <w:ilvl w:val="1"/>
          <w:numId w:val="1028"/>
        </w:numPr>
      </w:pPr>
      <w:r>
        <w:t xml:space="preserve">Security</w:t>
      </w:r>
    </w:p>
    <w:p>
      <w:r>
        <w:pict>
          <v:rect style="width:0;height:1.5pt" o:hralign="center" o:hrstd="t" o:hr="t"/>
        </w:pict>
      </w:r>
    </w:p>
    <w:bookmarkEnd w:id="51"/>
    <w:bookmarkEnd w:id="52"/>
    <w:bookmarkStart w:id="53" w:name="nonfunctional-requirements"/>
    <w:p>
      <w:pPr>
        <w:pStyle w:val="Heading2"/>
      </w:pPr>
      <w:r>
        <w:t xml:space="preserve">10. Non‑Functional Requirements</w:t>
      </w:r>
    </w:p>
    <w:p>
      <w:pPr>
        <w:pStyle w:val="Compact"/>
        <w:numPr>
          <w:ilvl w:val="0"/>
          <w:numId w:val="1029"/>
        </w:numPr>
      </w:pPr>
      <w:r>
        <w:t xml:space="preserve">High performance (fast load)</w:t>
      </w:r>
    </w:p>
    <w:p>
      <w:pPr>
        <w:pStyle w:val="Compact"/>
        <w:numPr>
          <w:ilvl w:val="0"/>
          <w:numId w:val="1029"/>
        </w:numPr>
      </w:pPr>
      <w:r>
        <w:t xml:space="preserve">Accessibility (WCAG basics)</w:t>
      </w:r>
    </w:p>
    <w:p>
      <w:pPr>
        <w:pStyle w:val="Compact"/>
        <w:numPr>
          <w:ilvl w:val="0"/>
          <w:numId w:val="1029"/>
        </w:numPr>
      </w:pPr>
      <w:r>
        <w:t xml:space="preserve">Scalable architecture</w:t>
      </w:r>
    </w:p>
    <w:p>
      <w:pPr>
        <w:pStyle w:val="Compact"/>
        <w:numPr>
          <w:ilvl w:val="0"/>
          <w:numId w:val="1029"/>
        </w:numPr>
      </w:pPr>
      <w:r>
        <w:t xml:space="preserve">Secure data storage</w:t>
      </w:r>
    </w:p>
    <w:p>
      <w:r>
        <w:pict>
          <v:rect style="width:0;height:1.5pt" o:hralign="center" o:hrstd="t" o:hr="t"/>
        </w:pict>
      </w:r>
    </w:p>
    <w:bookmarkEnd w:id="53"/>
    <w:bookmarkStart w:id="54" w:name="tech-stack-suggested"/>
    <w:p>
      <w:pPr>
        <w:pStyle w:val="Heading2"/>
      </w:pPr>
      <w:r>
        <w:t xml:space="preserve">11. Tech Stack (Suggested)</w:t>
      </w:r>
    </w:p>
    <w:p>
      <w:pPr>
        <w:pStyle w:val="Compact"/>
        <w:numPr>
          <w:ilvl w:val="0"/>
          <w:numId w:val="1030"/>
        </w:numPr>
      </w:pPr>
      <w:r>
        <w:rPr>
          <w:b/>
          <w:bCs/>
        </w:rPr>
        <w:t xml:space="preserve">Frontend:</w:t>
      </w:r>
      <w:r>
        <w:t xml:space="preserve"> </w:t>
      </w:r>
      <w:r>
        <w:t xml:space="preserve">React / Next.js</w:t>
      </w:r>
    </w:p>
    <w:p>
      <w:pPr>
        <w:pStyle w:val="Compact"/>
        <w:numPr>
          <w:ilvl w:val="0"/>
          <w:numId w:val="1030"/>
        </w:numPr>
      </w:pPr>
      <w:r>
        <w:rPr>
          <w:b/>
          <w:bCs/>
        </w:rPr>
        <w:t xml:space="preserve">Backend:</w:t>
      </w:r>
      <w:r>
        <w:t xml:space="preserve"> </w:t>
      </w:r>
      <w:r>
        <w:t xml:space="preserve">Node.js (Express/Nest)</w:t>
      </w:r>
    </w:p>
    <w:p>
      <w:pPr>
        <w:pStyle w:val="Compact"/>
        <w:numPr>
          <w:ilvl w:val="0"/>
          <w:numId w:val="1030"/>
        </w:numPr>
      </w:pPr>
      <w:r>
        <w:rPr>
          <w:b/>
          <w:bCs/>
        </w:rPr>
        <w:t xml:space="preserve">Database:</w:t>
      </w:r>
      <w:r>
        <w:t xml:space="preserve"> </w:t>
      </w:r>
      <w:r>
        <w:t xml:space="preserve">MongoDB / PostgreSQL</w:t>
      </w:r>
    </w:p>
    <w:p>
      <w:pPr>
        <w:pStyle w:val="Compact"/>
        <w:numPr>
          <w:ilvl w:val="0"/>
          <w:numId w:val="1030"/>
        </w:numPr>
      </w:pPr>
      <w:r>
        <w:rPr>
          <w:b/>
          <w:bCs/>
        </w:rPr>
        <w:t xml:space="preserve">Charts:</w:t>
      </w:r>
      <w:r>
        <w:t xml:space="preserve"> </w:t>
      </w:r>
      <w:r>
        <w:t xml:space="preserve">Recharts / Chart.js</w:t>
      </w:r>
    </w:p>
    <w:p>
      <w:pPr>
        <w:pStyle w:val="Compact"/>
        <w:numPr>
          <w:ilvl w:val="0"/>
          <w:numId w:val="1030"/>
        </w:numPr>
      </w:pPr>
      <w:r>
        <w:rPr>
          <w:b/>
          <w:bCs/>
        </w:rPr>
        <w:t xml:space="preserve">Auth:</w:t>
      </w:r>
      <w:r>
        <w:t xml:space="preserve"> </w:t>
      </w:r>
      <w:r>
        <w:t xml:space="preserve">JWT + OTP</w:t>
      </w:r>
    </w:p>
    <w:p>
      <w:r>
        <w:pict>
          <v:rect style="width:0;height:1.5pt" o:hralign="center" o:hrstd="t" o:hr="t"/>
        </w:pict>
      </w:r>
    </w:p>
    <w:bookmarkEnd w:id="54"/>
    <w:bookmarkStart w:id="55" w:name="future-enhancements"/>
    <w:p>
      <w:pPr>
        <w:pStyle w:val="Heading2"/>
      </w:pPr>
      <w:r>
        <w:t xml:space="preserve">12. Future Enhancements</w:t>
      </w:r>
    </w:p>
    <w:p>
      <w:pPr>
        <w:pStyle w:val="Compact"/>
        <w:numPr>
          <w:ilvl w:val="0"/>
          <w:numId w:val="1031"/>
        </w:numPr>
      </w:pPr>
      <w:r>
        <w:t xml:space="preserve">AI‑driven investment advice</w:t>
      </w:r>
    </w:p>
    <w:p>
      <w:pPr>
        <w:pStyle w:val="Compact"/>
        <w:numPr>
          <w:ilvl w:val="0"/>
          <w:numId w:val="1031"/>
        </w:numPr>
      </w:pPr>
      <w:r>
        <w:t xml:space="preserve">Robo‑advisor</w:t>
      </w:r>
    </w:p>
    <w:p>
      <w:pPr>
        <w:pStyle w:val="Compact"/>
        <w:numPr>
          <w:ilvl w:val="0"/>
          <w:numId w:val="1031"/>
        </w:numPr>
      </w:pPr>
      <w:r>
        <w:t xml:space="preserve">Community investing</w:t>
      </w:r>
    </w:p>
    <w:p>
      <w:pPr>
        <w:pStyle w:val="Compact"/>
        <w:numPr>
          <w:ilvl w:val="0"/>
          <w:numId w:val="1031"/>
        </w:numPr>
      </w:pPr>
      <w:r>
        <w:t xml:space="preserve">Mobile app (React Native)</w:t>
      </w:r>
    </w:p>
    <w:p>
      <w:r>
        <w:pict>
          <v:rect style="width:0;height:1.5pt" o:hralign="center" o:hrstd="t" o:hr="t"/>
        </w:pict>
      </w:r>
    </w:p>
    <w:bookmarkEnd w:id="55"/>
    <w:bookmarkStart w:id="56" w:name="out-of-scope-for-mvp"/>
    <w:p>
      <w:pPr>
        <w:pStyle w:val="Heading2"/>
      </w:pPr>
      <w:r>
        <w:t xml:space="preserve">13. Out of Scope (For MVP)</w:t>
      </w:r>
    </w:p>
    <w:p>
      <w:pPr>
        <w:pStyle w:val="Compact"/>
        <w:numPr>
          <w:ilvl w:val="0"/>
          <w:numId w:val="1032"/>
        </w:numPr>
      </w:pPr>
      <w:r>
        <w:t xml:space="preserve">Full trading automation</w:t>
      </w:r>
    </w:p>
    <w:p>
      <w:pPr>
        <w:pStyle w:val="Compact"/>
        <w:numPr>
          <w:ilvl w:val="0"/>
          <w:numId w:val="1032"/>
        </w:numPr>
      </w:pPr>
      <w:r>
        <w:t xml:space="preserve">Crypto trading</w:t>
      </w:r>
    </w:p>
    <w:p>
      <w:pPr>
        <w:pStyle w:val="Compact"/>
        <w:numPr>
          <w:ilvl w:val="0"/>
          <w:numId w:val="1032"/>
        </w:numPr>
      </w:pPr>
      <w:r>
        <w:t xml:space="preserve">Complex derivatives</w:t>
      </w:r>
    </w:p>
    <w:p>
      <w:r>
        <w:pict>
          <v:rect style="width:0;height:1.5pt" o:hralign="center" o:hrstd="t" o:hr="t"/>
        </w:pict>
      </w:r>
    </w:p>
    <w:bookmarkEnd w:id="56"/>
    <w:bookmarkStart w:id="57" w:name="summary"/>
    <w:p>
      <w:pPr>
        <w:pStyle w:val="Heading2"/>
      </w:pPr>
      <w:r>
        <w:t xml:space="preserve">14. Summary</w:t>
      </w:r>
    </w:p>
    <w:p>
      <w:pPr>
        <w:pStyle w:val="FirstParagraph"/>
      </w:pPr>
      <w:r>
        <w:t xml:space="preserve">FINEXA is designed to be:</w:t>
      </w:r>
      <w:r>
        <w:t xml:space="preserve"> </w:t>
      </w:r>
      <w:r>
        <w:t xml:space="preserve">-</w:t>
      </w:r>
      <w:r>
        <w:t xml:space="preserve"> </w:t>
      </w:r>
      <w:r>
        <w:rPr>
          <w:b/>
          <w:bCs/>
        </w:rPr>
        <w:t xml:space="preserve">Educational</w:t>
      </w:r>
      <w:r>
        <w:t xml:space="preserve"> </w:t>
      </w:r>
      <w:r>
        <w:t xml:space="preserve">-</w:t>
      </w:r>
      <w:r>
        <w:t xml:space="preserve"> </w:t>
      </w:r>
      <w:r>
        <w:rPr>
          <w:b/>
          <w:bCs/>
        </w:rPr>
        <w:t xml:space="preserve">Trustworthy</w:t>
      </w:r>
      <w:r>
        <w:t xml:space="preserve"> </w:t>
      </w:r>
      <w:r>
        <w:t xml:space="preserve">-</w:t>
      </w:r>
      <w:r>
        <w:t xml:space="preserve"> </w:t>
      </w:r>
      <w:r>
        <w:rPr>
          <w:b/>
          <w:bCs/>
        </w:rPr>
        <w:t xml:space="preserve">Nigeria‑focused</w:t>
      </w:r>
      <w:r>
        <w:t xml:space="preserve"> </w:t>
      </w:r>
      <w:r>
        <w:t xml:space="preserve">-</w:t>
      </w:r>
      <w:r>
        <w:t xml:space="preserve"> </w:t>
      </w:r>
      <w:r>
        <w:rPr>
          <w:b/>
          <w:bCs/>
        </w:rPr>
        <w:t xml:space="preserve">Simple but powerful</w:t>
      </w:r>
    </w:p>
    <w:p>
      <w:pPr>
        <w:pStyle w:val="BodyText"/>
      </w:pPr>
      <w:r>
        <w:t xml:space="preserve">This PRD serves as the foundational guide for design, development, and stakeholder alignment.</w:t>
      </w:r>
    </w:p>
    <w:p>
      <w:r>
        <w:pict>
          <v:rect style="width:0;height:1.5pt" o:hralign="center" o:hrstd="t" o:hr="t"/>
        </w:pict>
      </w:r>
    </w:p>
    <w:p>
      <w:pPr>
        <w:pStyle w:val="FirstParagraph"/>
      </w:pPr>
      <w:r>
        <w:rPr>
          <w:b/>
          <w:bCs/>
        </w:rPr>
        <w:t xml:space="preserve">End of PRD</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2026-02-05T09:38:20Z</dcterms:created>
  <dcterms:modified xsi:type="dcterms:W3CDTF">2026-02-05T09:38:20Z</dcterms:modified>
</cp:coreProperties>
</file>

<file path=docProps/custom.xml><?xml version="1.0" encoding="utf-8"?>
<Properties xmlns="http://schemas.openxmlformats.org/officeDocument/2006/custom-properties" xmlns:vt="http://schemas.openxmlformats.org/officeDocument/2006/docPropsVTypes"/>
</file>