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PLANO DE AÇÃO</w:t>
      </w:r>
    </w:p>
    <w:p>
      <w:pPr>
        <w:spacing w:before="120"/>
        <w:jc w:val="center"/>
      </w:pPr>
      <w:r>
        <w:rPr>
          <w:b/>
          <w:bCs/>
          <w:color w:val="2E74B5"/>
          <w:sz w:val="30"/>
          <w:szCs w:val="30"/>
        </w:rPr>
        <w:t xml:space="preserve">Demonstração ao Cliente: Como Construir um Agente de IA</w:t>
      </w:r>
    </w:p>
    <w:p>
      <w:pPr>
        <w:spacing w:before="200"/>
        <w:jc w:val="center"/>
      </w:pPr>
      <w:r>
        <w:rPr>
          <w:color w:val="595959"/>
          <w:sz w:val="24"/>
          <w:szCs w:val="24"/>
        </w:rPr>
        <w:t xml:space="preserve">Aplicação das 8 etapas do guia ao caso Saturno-Calc / MYDAS</w:t>
      </w:r>
    </w:p>
    <w:p>
      <w:pPr>
        <w:spacing w:before="1100"/>
      </w:pPr>
    </w:p>
    <w:p>
      <w:pPr>
        <w:jc w:val="center"/>
      </w:pPr>
      <w:r>
        <w:rPr>
          <w:b/>
          <w:bCs/>
          <w:color w:val="2E74B5"/>
          <w:sz w:val="36"/>
          <w:szCs w:val="36"/>
        </w:rPr>
        <w:t xml:space="preserve">Dimastec</w:t>
      </w:r>
    </w:p>
    <w:p>
      <w:pPr>
        <w:spacing w:before="80"/>
        <w:jc w:val="center"/>
      </w:pPr>
      <w:r>
        <w:rPr>
          <w:color w:val="595959"/>
          <w:sz w:val="24"/>
          <w:szCs w:val="24"/>
        </w:rPr>
        <w:t xml:space="preserve">Apresentação para o CTO — Natanael Morais</w:t>
      </w:r>
    </w:p>
    <w:p>
      <w:pPr>
        <w:spacing w:before="1200"/>
      </w:pPr>
    </w:p>
    <w:p>
      <w:pPr>
        <w:jc w:val="center"/>
      </w:pPr>
      <w:r>
        <w:rPr>
          <w:color w:val="595959"/>
          <w:sz w:val="24"/>
          <w:szCs w:val="24"/>
        </w:rPr>
        <w:t xml:space="preserve">Sousa Lima Consultoria</w:t>
      </w:r>
    </w:p>
    <w:p>
      <w:pPr>
        <w:spacing w:before="80"/>
        <w:jc w:val="center"/>
      </w:pPr>
      <w:r>
        <w:rPr>
          <w:color w:val="595959"/>
          <w:sz w:val="22"/>
          <w:szCs w:val="22"/>
        </w:rPr>
        <w:t xml:space="preserve">29 de agosto de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b/>
          <w:bCs/>
          <w:color w:val="1F4E79"/>
          <w:sz w:val="32"/>
          <w:szCs w:val="32"/>
        </w:rPr>
        <w:t xml:space="preserve">1. Objetivo da demonstração</w:t>
      </w:r>
    </w:p>
    <w:p>
      <w:pPr>
        <w:spacing w:before="120"/>
      </w:pPr>
    </w:p>
    <w:p>
      <w:r>
        <w:t xml:space="preserve">Demonstrar ao CTO da Dimastec, de forma prática, </w:t>
      </w:r>
      <w:r>
        <w:rPr>
          <w:b/>
          <w:bCs/>
        </w:rPr>
        <w:t xml:space="preserve">como construir um agente de IA</w:t>
      </w:r>
      <w:r>
        <w:t xml:space="preserve"> a partir do guia </w:t>
      </w:r>
      <w:r>
        <w:t xml:space="preserve">“Como Construir um Agente de IA”</w:t>
      </w:r>
      <w:r>
        <w:t xml:space="preserve"> — aplicando as 8 etapas do método a um </w:t>
      </w:r>
      <w:r>
        <w:rPr>
          <w:b/>
          <w:bCs/>
        </w:rPr>
        <w:t xml:space="preserve">caso real do projeto</w:t>
      </w:r>
      <w:r>
        <w:t xml:space="preserve">: o </w:t>
      </w:r>
      <w:r>
        <w:rPr>
          <w:b/>
          <w:bCs/>
        </w:rPr>
        <w:t xml:space="preserve">assistente técnico do Saturno-Calc / MYDAS</w:t>
      </w:r>
      <w:r>
        <w:t xml:space="preserve"> (leitura de documentação, ADRs e código para apoiar a migração procedure → Java).</w:t>
      </w:r>
    </w:p>
    <w:p>
      <w:pPr>
        <w:spacing w:before="140"/>
      </w:pPr>
    </w:p>
    <w:p>
      <w:r>
        <w:rPr>
          <w:b/>
          <w:bCs/>
          <w:color w:val="1F4E79"/>
        </w:rPr>
        <w:t xml:space="preserve">Resultado esperado da sessão:</w:t>
      </w:r>
    </w:p>
    <w:p>
      <w:pPr>
        <w:pStyle w:val="ListParagraph"/>
        <w:numPr>
          <w:ilvl w:val="0"/>
          <w:numId w:val="1"/>
        </w:numPr>
      </w:pPr>
      <w:r>
        <w:t xml:space="preserve">CTO vê um agente em funcionamento aplicado ao contexto deles, não um guia teórico.</w:t>
      </w:r>
    </w:p>
    <w:p>
      <w:pPr>
        <w:pStyle w:val="ListParagraph"/>
        <w:numPr>
          <w:ilvl w:val="0"/>
          <w:numId w:val="1"/>
        </w:numPr>
      </w:pPr>
      <w:r>
        <w:t xml:space="preserve">Valida o método das 8 etapas como padrão para os demais casos de uso da Dimastec.</w:t>
      </w:r>
    </w:p>
    <w:p>
      <w:pPr>
        <w:pStyle w:val="ListParagraph"/>
        <w:numPr>
          <w:ilvl w:val="0"/>
          <w:numId w:val="1"/>
        </w:numPr>
      </w:pPr>
      <w:r>
        <w:t xml:space="preserve">Fecha um próximo passo concreto (piloto do assistente técnico read-only).</w:t>
      </w:r>
    </w:p>
    <w:p>
      <w:r>
        <w:br w:type="page"/>
      </w:r>
    </w:p>
    <w:p>
      <w:r>
        <w:rPr>
          <w:b/>
          <w:bCs/>
          <w:color w:val="1F4E79"/>
          <w:sz w:val="32"/>
          <w:szCs w:val="32"/>
        </w:rPr>
        <w:t xml:space="preserve">2. Roteiro da demonstração — as 8 etapas</w:t>
      </w:r>
    </w:p>
    <w:p>
      <w:pPr>
        <w:spacing w:before="14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900"/>
        <w:gridCol w:w="3100"/>
      </w:tblGrid>
      <w:tr>
        <w:trPr>
          <w:tblHeader/>
        </w:trPr>
        <w:tc>
          <w:tcPr>
            <w:tcW w:type="dxa" w:w="11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0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 guia</w:t>
            </w:r>
          </w:p>
        </w:tc>
        <w:tc>
          <w:tcPr>
            <w:tcW w:type="dxa" w:w="29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Aplicação ao caso Dimastec</w:t>
            </w:r>
          </w:p>
        </w:tc>
        <w:tc>
          <w:tcPr>
            <w:tcW w:type="dxa" w:w="31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demonstrar na hora</w:t>
            </w:r>
          </w:p>
        </w:tc>
      </w:tr>
      <w:tr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Propósito &amp; Escopo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Caso de uso, sucesso, restrições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Assistente técnico read-only: tirar dúvidas do time sobre o Saturno/MYDAS sem tocar produção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Definir 1 pergunta de negócio e o critério de sucesso</w:t>
            </w:r>
          </w:p>
        </w:tc>
      </w:tr>
      <w:tr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System Prompt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Papel, instruções, guardrails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 “arquiteto sênior”; proibido consultar banco de produção; sempre citar fonte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o prompt com guardrails visíveis</w:t>
            </w:r>
          </w:p>
        </w:tc>
      </w:tr>
      <w:tr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Escolher o LLM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Custo, contexto, raciocínio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Modelo com janela ampla (documentação densa); métricas de custo/latência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Comparar 2 modelos no custo por 1M de tokens</w:t>
            </w:r>
          </w:p>
        </w:tc>
      </w:tr>
      <w:tr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 Ferramentas &amp; Integrações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MCP, APIs, funções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Ler ADRs e bases do projeto; MCP para acessar conhecimento (RAG) sem escrever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Demonstrar uma chamada MCP ao vivo</w:t>
            </w:r>
          </w:p>
        </w:tc>
      </w:tr>
      <w:tr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 Memória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Vetorial, SQL, arquivos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RAG sobre ADRs/políticas; histórico da conversa; sem dados biométricos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o retorno de um RAG citando fonte</w:t>
            </w:r>
          </w:p>
        </w:tc>
      </w:tr>
      <w:tr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 Orquestração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Workflows, filas, erros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Rota de pergunta → recupera contexto → responde; retry com backoff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fluxo e tratamento de erro</w:t>
            </w:r>
          </w:p>
        </w:tc>
      </w:tr>
      <w:tr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 Interface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Chat, web, API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Interface de chat para o time técnico; futura integração ao fluxo de suporte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Demonstrar o chat interativo</w:t>
            </w:r>
          </w:p>
        </w:tc>
      </w:tr>
      <w:tr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8. Testes &amp; Evals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Qualidade, latência, iteração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Golden tests das respostas; métrica de fidelidade ao contexto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resultado de um eval de exemplo</w:t>
            </w:r>
          </w:p>
        </w:tc>
      </w:tr>
    </w:tbl>
    <w:p>
      <w:r>
        <w:br w:type="page"/>
      </w:r>
    </w:p>
    <w:p>
      <w:r>
        <w:rPr>
          <w:b/>
          <w:bCs/>
          <w:color w:val="1F4E79"/>
          <w:sz w:val="32"/>
          <w:szCs w:val="32"/>
        </w:rPr>
        <w:t xml:space="preserve">3. Preparação antes da sessão</w:t>
      </w:r>
    </w:p>
    <w:p>
      <w:pPr>
        <w:spacing w:before="14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100"/>
      </w:tblGrid>
      <w:tr>
        <w:trPr>
          <w:tblHeader/>
        </w:trPr>
        <w:tc>
          <w:tcPr>
            <w:tcW w:type="dxa" w:w="22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8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1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Ambiente preparado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Instância/demo do assistente com RAG carregada (ADRs, políticas, código do Saturno) — sobe via instalador guiado (npm run setup)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Everton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Cenário definido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perguntas demonstrativas relevantes para o CTO (ex: “qual o padrão de ORM do piloto?”)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Everton + Natanael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Guardrails configurados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Kit de limites: proibido escrever, proibido dados de produção, sempre citar fonte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Everton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 de exemplo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golden test pronto mostrando respostas esperadas x obtidas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Everton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Plano B (fallback)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Slides do guia + vídeo curto caso a demo ao vivo falhe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Everton</w:t>
            </w:r>
          </w:p>
        </w:tc>
      </w:tr>
    </w:tbl>
    <w:p>
      <w:r>
        <w:br w:type="page"/>
      </w:r>
    </w:p>
    <w:p>
      <w:r>
        <w:rPr>
          <w:b/>
          <w:bCs/>
          <w:color w:val="1F4E79"/>
          <w:sz w:val="32"/>
          <w:szCs w:val="32"/>
        </w:rPr>
        <w:t xml:space="preserve">4. Agenda da sessão de demonstração</w:t>
      </w:r>
    </w:p>
    <w:p>
      <w:pPr>
        <w:spacing w:before="14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2900"/>
      </w:tblGrid>
      <w:tr>
        <w:trPr>
          <w:tblHeader/>
        </w:trPr>
        <w:tc>
          <w:tcPr>
            <w:tcW w:type="dxa" w:w="15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47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29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Contexto: o método das 8 etapas em 1 slide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Nivelar o CTO na estrutura do guia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 min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 ao vivo do assistente técnico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Percorrer as 8 etapas com o caso Saturno/MYDAS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Governança e guardrails na prática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limites reais e a não-exposição de dados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Evals e como medir qualidade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um golden test e métrica de fidelidade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Próximos passos e piloto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Acordar o piloto read-only do assistente técnico</w:t>
            </w:r>
          </w:p>
        </w:tc>
      </w:tr>
    </w:tbl>
    <w:p>
      <w:pPr>
        <w:spacing w:before="120"/>
      </w:pPr>
    </w:p>
    <w:p>
      <w:r>
        <w:rPr>
          <w:b/>
          <w:bCs/>
          <w:color w:val="2E74B5"/>
        </w:rPr>
        <w:t xml:space="preserve">Duração total sugerida: 60 minutos.</w:t>
      </w:r>
    </w:p>
    <w:p>
      <w:r>
        <w:br w:type="page"/>
      </w:r>
    </w:p>
    <w:p>
      <w:r>
        <w:rPr>
          <w:b/>
          <w:bCs/>
          <w:color w:val="1F4E79"/>
          <w:sz w:val="32"/>
          <w:szCs w:val="32"/>
        </w:rPr>
        <w:t xml:space="preserve">5. Mensagens-chave para o CTO</w:t>
      </w:r>
    </w:p>
    <w:p>
      <w:pPr>
        <w:spacing w:before="140"/>
      </w:pP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 guia não é teoria: é o </w:t>
      </w:r>
      <w:r>
        <w:rPr>
          <w:b/>
          <w:bCs/>
        </w:rPr>
        <w:t xml:space="preserve">mesmo fluxo que já aplicamos no Saturno-Calc</w:t>
      </w:r>
      <w:r>
        <w:t xml:space="preserve"> (propósito → LLM → ferramentas → memória → orquestração → evals).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 etapa 4 (MCP) e o Projeto Zero já estão em andamento: </w:t>
      </w:r>
      <w:r>
        <w:t xml:space="preserve">a Dimastec já usa Claude Code, Rovo e um servidor MCP interno</w:t>
      </w:r>
      <w:r>
        <w:t xml:space="preserve"> — a demo mostra como formalizar isso.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Governança embutida: cada etapa respeita as políticas de </w:t>
      </w:r>
      <w:r>
        <w:rPr>
          <w:b/>
          <w:bCs/>
        </w:rPr>
        <w:t xml:space="preserve">ISO 27001 / LGPD / POL-IA-001</w:t>
      </w:r>
      <w:r>
        <w:t xml:space="preserve"> e a classificação de casos de uso (IA aplicada, sem dados biométricos em runtime).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Fechamento natural com o modelo de mentoria: </w:t>
      </w:r>
      <w:r>
        <w:t xml:space="preserve">esta demo é a porta de entrada para o piloto do assistente técnico do Mês 3.</w:t>
      </w:r>
    </w:p>
    <w:p>
      <w:r>
        <w:br w:type="page"/>
      </w:r>
    </w:p>
    <w:p>
      <w:r>
        <w:rPr>
          <w:b/>
          <w:bCs/>
          <w:color w:val="1F4E79"/>
          <w:sz w:val="32"/>
          <w:szCs w:val="32"/>
        </w:rPr>
        <w:t xml:space="preserve">6. Próximos passos após a demonstração</w:t>
      </w:r>
    </w:p>
    <w:p>
      <w:pPr>
        <w:spacing w:before="14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700"/>
        <w:gridCol w:w="2300"/>
      </w:tblGrid>
      <w:tr>
        <w:trPr>
          <w:tblHeader/>
        </w:trPr>
        <w:tc>
          <w:tcPr>
            <w:tcW w:type="dxa" w:w="21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7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  <w:tc>
          <w:tcPr>
            <w:tcW w:type="dxa" w:w="23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Aprovar o piloto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Assistente técnico read-only no escopo do Mês 3 da mentoria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Definir fontes aprovadas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Allowlist de documentação, ADRs, tickets sanitizados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Definir baseline de qualidade e fidelidade do assistente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Treinar multiplicadores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 de engenharia no método das 8 etapas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Contínuo</w:t>
            </w:r>
          </w:p>
        </w:tc>
      </w:tr>
    </w:tbl>
    <w:p>
      <w:r>
        <w:br w:type="page"/>
      </w:r>
    </w:p>
    <w:p>
      <w:r>
        <w:rPr>
          <w:b/>
          <w:bCs/>
          <w:color w:val="1F4E79"/>
          <w:sz w:val="32"/>
          <w:szCs w:val="32"/>
        </w:rPr>
        <w:t xml:space="preserve">7. Passo a passo prático — construindo o assistente com Claude Code</w:t>
      </w:r>
    </w:p>
    <w:p>
      <w:pPr>
        <w:spacing w:before="140"/>
      </w:pPr>
    </w:p>
    <w:p>
      <w:r>
        <w:t xml:space="preserve">Este é o roteiro de execução, na ordem, para levar o assistente técnico do Saturno-Calc / MYDAS do zero à produção — </w:t>
      </w:r>
      <w:r>
        <w:rPr>
          <w:b/>
          <w:bCs/>
        </w:rPr>
        <w:t xml:space="preserve">usando o ferramental que a Dimastec já tem (Claude Code + servidor MCP interno)</w:t>
      </w:r>
      <w:r>
        <w:t xml:space="preserve">. Cada etapa mostra o que fazer, como fazer com o Claude Code e como isso é feito aqui no assistente-os (a referência de implementação que a Sousa Lima mantém).</w:t>
      </w:r>
    </w:p>
    <w:p>
      <w:pPr>
        <w:spacing w:before="120"/>
      </w:pPr>
    </w:p>
    <w:p>
      <w:r>
        <w:rPr>
          <w:b/>
          <w:bCs/>
          <w:color w:val="2E74B5"/>
        </w:rPr>
        <w:t xml:space="preserve">Passo 0 — Setup, escopo e barreiras de segurança</w:t>
      </w:r>
    </w:p>
    <w:p>
      <w:pPr>
        <w:spacing w:before="60"/>
      </w:pPr>
    </w:p>
    <w:p>
      <w:r>
        <w:t xml:space="preserve">Antes de qualquer código: definir limites logo de cara, porque assistente técnico é </w:t>
      </w:r>
      <w:r>
        <w:rPr>
          <w:b/>
          <w:bCs/>
        </w:rPr>
        <w:t xml:space="preserve">read-only</w:t>
      </w:r>
      <w:r>
        <w:t xml:space="preserve"> e não pode tocar produção.</w:t>
      </w:r>
    </w:p>
    <w:p>
      <w:pPr>
        <w:pStyle w:val="ListParagraph"/>
        <w:numPr>
          <w:ilvl w:val="0"/>
          <w:numId w:val="1"/>
        </w:numPr>
      </w:pPr>
      <w:r>
        <w:t xml:space="preserve">Propósito (1 linha): </w:t>
      </w:r>
      <w:r>
        <w:t xml:space="preserve">“Tirar dúvidas do time sobre o Saturno/MYDAS lendo documentação, ADRs e código — sem escrever e sem consultar banco de produção”</w:t>
      </w:r>
    </w:p>
    <w:p>
      <w:pPr>
        <w:pStyle w:val="ListParagraph"/>
        <w:numPr>
          <w:ilvl w:val="0"/>
          <w:numId w:val="1"/>
        </w:numPr>
      </w:pPr>
      <w:r>
        <w:t xml:space="preserve">Critério de sucesso (</w:t>
      </w:r>
      <w:r>
        <w:t xml:space="preserve">o que define “funcionou”</w:t>
      </w:r>
      <w:r>
        <w:t xml:space="preserve">): resposta certa + cita a fonte (ADR/doc/código) de onde tirou.</w:t>
      </w:r>
    </w:p>
    <w:p>
      <w:pPr>
        <w:pStyle w:val="ListParagraph"/>
        <w:numPr>
          <w:ilvl w:val="0"/>
          <w:numId w:val="1"/>
        </w:numPr>
      </w:pPr>
      <w:r>
        <w:t xml:space="preserve">Guardrails mínimos (</w:t>
      </w:r>
      <w:r>
        <w:rPr>
          <w:b/>
          <w:bCs/>
        </w:rPr>
        <w:t xml:space="preserve">kit de limites</w:t>
      </w:r>
      <w:r>
        <w:t xml:space="preserve">): proibido escrever em repositório/bancos, proibido dados de produção, sempre citar fonte; classificar o caso como </w:t>
      </w:r>
      <w:r>
        <w:t xml:space="preserve">IA aplicada (não-dados sensíveis)</w:t>
      </w:r>
      <w:r>
        <w:t xml:space="preserve"> — alinhado à POL-IA-001 e à classificação de casos de uso da Dimastec.</w:t>
      </w:r>
    </w:p>
    <w:p>
      <w:pPr>
        <w:pStyle w:val="ListParagraph"/>
        <w:numPr>
          <w:ilvl w:val="0"/>
          <w:numId w:val="1"/>
        </w:numPr>
      </w:pPr>
      <w:r>
        <w:t xml:space="preserve">Referência (assistente-os): </w:t>
      </w:r>
      <w:r>
        <w:t xml:space="preserve">cada “alma” (soul) declara propósitos e permissões em config; o runtime aplica allowlist de tools e nega o resto por padrão (fail-closed).</w:t>
      </w:r>
    </w:p>
    <w:p>
      <w:pPr>
        <w:spacing w:before="160"/>
      </w:pPr>
    </w:p>
    <w:p>
      <w:r>
        <w:rPr>
          <w:b/>
          <w:bCs/>
          <w:color w:val="2E74B5"/>
        </w:rPr>
        <w:t xml:space="preserve">Passo 1 — System Prompt (o comando que define o agente)</w:t>
      </w:r>
    </w:p>
    <w:p>
      <w:pPr>
        <w:spacing w:before="60"/>
      </w:pPr>
    </w:p>
    <w:p>
      <w:r>
        <w:t xml:space="preserve">No Claude Code, isto é o arquivo de instruções do projeto/agente (ex: </w:t>
      </w:r>
      <w:r>
        <w:t xml:space="preserve">AGENTS.md</w:t>
      </w:r>
      <w:r>
        <w:t xml:space="preserve"> ou o prompt do subagente). É ali que mora a </w:t>
      </w:r>
      <w:r>
        <w:rPr>
          <w:b/>
          <w:bCs/>
        </w:rPr>
        <w:t xml:space="preserve">persona + regras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Persona: </w:t>
      </w:r>
      <w:r>
        <w:t xml:space="preserve">“arquiteto sênior de Java que conhece o Saturno/MYDAS e responde em português com fonte”</w:t>
      </w:r>
    </w:p>
    <w:p>
      <w:pPr>
        <w:pStyle w:val="ListParagraph"/>
        <w:numPr>
          <w:ilvl w:val="0"/>
          <w:numId w:val="1"/>
        </w:numPr>
      </w:pPr>
      <w:r>
        <w:t xml:space="preserve">Instruções: explicar a migração procedure → Java, citar camadas/patterns do hub (ex: DAO, @Secured, route handler), responder só com base no material indexado.</w:t>
      </w:r>
    </w:p>
    <w:p>
      <w:pPr>
        <w:pStyle w:val="ListParagraph"/>
        <w:numPr>
          <w:ilvl w:val="0"/>
          <w:numId w:val="1"/>
        </w:numPr>
      </w:pPr>
      <w:r>
        <w:t xml:space="preserve">Guardrails em texto visível: </w:t>
      </w:r>
      <w:r>
        <w:rPr>
          <w:b/>
          <w:bCs/>
        </w:rPr>
        <w:t xml:space="preserve">nunca escrever, nunca acessar produção, dizer “não sei” se o RAG não achar, citar sempre a fonte.</w:t>
      </w:r>
    </w:p>
    <w:p>
      <w:pPr>
        <w:pStyle w:val="ListParagraph"/>
        <w:numPr>
          <w:ilvl w:val="0"/>
          <w:numId w:val="1"/>
        </w:numPr>
      </w:pPr>
      <w:r>
        <w:t xml:space="preserve">Referência (assistente-os): </w:t>
      </w:r>
      <w:r>
        <w:t xml:space="preserve">o pool de prompts está versionado (CAMPO de prompts / prompt-garden) e a montagem é determinística — persona no início, sessão/RAG/histórico no fim.</w:t>
      </w:r>
    </w:p>
    <w:p>
      <w:pPr>
        <w:spacing w:before="160"/>
      </w:pPr>
    </w:p>
    <w:p>
      <w:r>
        <w:rPr>
          <w:b/>
          <w:bCs/>
          <w:color w:val="2E74B5"/>
        </w:rPr>
        <w:t xml:space="preserve">Passo 2 — Escolher o modelo (LLM) com visão de custo</w:t>
      </w:r>
    </w:p>
    <w:p>
      <w:pPr>
        <w:spacing w:before="60"/>
      </w:pPr>
    </w:p>
    <w:p>
      <w:r>
        <w:t xml:space="preserve">Documentação densa (ADR + código) pede </w:t>
      </w:r>
      <w:r>
        <w:rPr>
          <w:b/>
          <w:bCs/>
        </w:rPr>
        <w:t xml:space="preserve">janela de contexto ampla</w:t>
      </w:r>
      <w:r>
        <w:t xml:space="preserve"> e bom raciocínio. Comparar 2–3 modelos antes de fixar.</w:t>
      </w:r>
    </w:p>
    <w:p>
      <w:pPr>
        <w:pStyle w:val="ListParagraph"/>
        <w:numPr>
          <w:ilvl w:val="0"/>
          <w:numId w:val="1"/>
        </w:numPr>
      </w:pPr>
      <w:r>
        <w:t xml:space="preserve">Critérios: custo por 1M de tokens (entrada/saída), janela de contexto, latência, qualidade em português técnico.</w:t>
      </w:r>
    </w:p>
    <w:p>
      <w:pPr>
        <w:pStyle w:val="ListParagraph"/>
        <w:numPr>
          <w:ilvl w:val="0"/>
          <w:numId w:val="1"/>
        </w:numPr>
      </w:pPr>
      <w:r>
        <w:t xml:space="preserve">No assistente-os, o roteador escolhe o modelo por tier e mede custo por chamada; no Claude Code, decide-se o modelo do agente e acompanha-se o custo do uso.</w:t>
      </w:r>
    </w:p>
    <w:p>
      <w:pPr>
        <w:pStyle w:val="ListParagraph"/>
        <w:numPr>
          <w:ilvl w:val="0"/>
          <w:numId w:val="1"/>
        </w:numPr>
      </w:pPr>
      <w:r>
        <w:t xml:space="preserve">Entregável: </w:t>
      </w:r>
      <w:r>
        <w:rPr>
          <w:b/>
          <w:bCs/>
        </w:rPr>
        <w:t xml:space="preserve">tabela com 2 modelos (custo × contexto × nota), decisão registrada em 1 ADR.</w:t>
      </w:r>
    </w:p>
    <w:p>
      <w:pPr>
        <w:spacing w:before="160"/>
      </w:pPr>
    </w:p>
    <w:p>
      <w:r>
        <w:rPr>
          <w:b/>
          <w:bCs/>
          <w:color w:val="2E74B5"/>
        </w:rPr>
        <w:t xml:space="preserve">Passo 3 — Ferramentas &amp; Integrações (MCP)</w:t>
      </w:r>
    </w:p>
    <w:p>
      <w:pPr>
        <w:spacing w:before="60"/>
      </w:pPr>
    </w:p>
    <w:p>
      <w:r>
        <w:t xml:space="preserve">A Dimastec já tem </w:t>
      </w:r>
      <w:r>
        <w:rPr>
          <w:b/>
          <w:bCs/>
        </w:rPr>
        <w:t xml:space="preserve">servidor MCP interno</w:t>
      </w:r>
      <w:r>
        <w:t xml:space="preserve"> — este é o passo para conectá-lo. O agente ganha tools para </w:t>
      </w:r>
      <w:r>
        <w:t xml:space="preserve">ler ADRs, repositórios e base de conhecimento</w:t>
      </w:r>
      <w:r>
        <w:t xml:space="preserve"> sem poder escrever.</w:t>
      </w:r>
    </w:p>
    <w:p>
      <w:pPr>
        <w:pStyle w:val="ListParagraph"/>
        <w:numPr>
          <w:ilvl w:val="0"/>
          <w:numId w:val="1"/>
        </w:numPr>
      </w:pPr>
      <w:r>
        <w:t xml:space="preserve">Expor via MCP: busca na base de conhecimento (RAG), leitura de ADR, leitura de código — todas </w:t>
      </w:r>
      <w:r>
        <w:rPr>
          <w:b/>
          <w:bCs/>
        </w:rPr>
        <w:t xml:space="preserve">somente-leitura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Referência (assistente-os): </w:t>
      </w:r>
      <w:r>
        <w:t xml:space="preserve">o kernel expõe ferramentas MCP sobre stdio com classificação de risco L1/L2/L3; a “alma/soul” só enxerga as tools na sua allowlist. No Claude Code, as ferramentas MCP entram no mesmo arquivo de configuração do projeto.</w:t>
      </w:r>
    </w:p>
    <w:p>
      <w:pPr>
        <w:pStyle w:val="ListParagraph"/>
        <w:numPr>
          <w:ilvl w:val="0"/>
          <w:numId w:val="1"/>
        </w:numPr>
      </w:pPr>
      <w:r>
        <w:t xml:space="preserve">Teste na hora: </w:t>
      </w:r>
      <w:r>
        <w:rPr>
          <w:b/>
          <w:bCs/>
        </w:rPr>
        <w:t xml:space="preserve">uma chamada MCP ao vivo que busca um trecho de ADR e responde citando o arquivo.</w:t>
      </w:r>
    </w:p>
    <w:p>
      <w:pPr>
        <w:spacing w:before="160"/>
      </w:pPr>
    </w:p>
    <w:p>
      <w:r>
        <w:rPr>
          <w:b/>
          <w:bCs/>
          <w:color w:val="2E74B5"/>
        </w:rPr>
        <w:t xml:space="preserve">Passo 4 — Memória (RAG + histórico)</w:t>
      </w:r>
    </w:p>
    <w:p>
      <w:pPr>
        <w:spacing w:before="60"/>
      </w:pPr>
    </w:p>
    <w:p>
      <w:r>
        <w:t xml:space="preserve">O assistente precisa </w:t>
      </w:r>
      <w:r>
        <w:rPr>
          <w:b/>
          <w:bCs/>
        </w:rPr>
        <w:t xml:space="preserve">lembrar do contexto do projeto</w:t>
      </w:r>
      <w:r>
        <w:t xml:space="preserve"> sem ter tudo no prompt a cada vez. Para isso, indexar ADRs, políticas e código em uma base vetorial e guardar o histórico da conversa.</w:t>
      </w:r>
    </w:p>
    <w:p>
      <w:pPr>
        <w:pStyle w:val="ListParagraph"/>
        <w:numPr>
          <w:ilvl w:val="0"/>
          <w:numId w:val="1"/>
        </w:numPr>
      </w:pPr>
      <w:r>
        <w:t xml:space="preserve">Indexar documentos aprovados (allowlist): ADRs do Saturno, políticas (ISO 27001/LGPD/POL-IA-001) e trechos de código sanitizados — sem dados de produção.</w:t>
      </w:r>
    </w:p>
    <w:p>
      <w:pPr>
        <w:pStyle w:val="ListParagraph"/>
        <w:numPr>
          <w:ilvl w:val="0"/>
          <w:numId w:val="1"/>
        </w:numPr>
      </w:pPr>
      <w:r>
        <w:t xml:space="preserve">Hispersistir o histórico por thread/sessão para conversas contínuas.</w:t>
      </w:r>
    </w:p>
    <w:p>
      <w:pPr>
        <w:pStyle w:val="ListParagraph"/>
        <w:numPr>
          <w:ilvl w:val="0"/>
          <w:numId w:val="1"/>
        </w:numPr>
      </w:pPr>
      <w:r>
        <w:t xml:space="preserve">Referência (assistente-os): </w:t>
      </w:r>
      <w:r>
        <w:t xml:space="preserve">RAG com embeddings + re-rank multilíngue opcional; cada resposta cita a fonte no formato [doc · similaridade · data] com um score de confiança multi-sinal calculado a partir do RAG; abaixo do limiar, o agente responde “evidência insuficiente” em vez de inventar.</w:t>
      </w:r>
    </w:p>
    <w:p>
      <w:pPr>
        <w:spacing w:before="160"/>
      </w:pPr>
    </w:p>
    <w:p>
      <w:r>
        <w:rPr>
          <w:b/>
          <w:bCs/>
          <w:color w:val="2E74B5"/>
        </w:rPr>
        <w:t xml:space="preserve">Passo 5 — Orquestração (o fluxo do agente)</w:t>
      </w:r>
    </w:p>
    <w:p>
      <w:pPr>
        <w:spacing w:before="60"/>
      </w:pPr>
    </w:p>
    <w:p>
      <w:r>
        <w:t xml:space="preserve">Definir o caminho que o agente segue: </w:t>
      </w:r>
      <w:r>
        <w:rPr>
          <w:b/>
          <w:bCs/>
        </w:rPr>
        <w:t xml:space="preserve">entende a pergunta → recupera contexto (RAG) → decide se precisa de ferramenta → responde</w:t>
      </w:r>
      <w:r>
        <w:t xml:space="preserve"> — com retry/tratamento de erro.</w:t>
      </w:r>
    </w:p>
    <w:p>
      <w:pPr>
        <w:pStyle w:val="ListParagraph"/>
        <w:numPr>
          <w:ilvl w:val="0"/>
          <w:numId w:val="1"/>
        </w:numPr>
      </w:pPr>
      <w:r>
        <w:t xml:space="preserve">Modos por complexidade: </w:t>
      </w:r>
      <w:r>
        <w:t xml:space="preserve">pergunta curta → resposta rápida; pergunta com “passo a passo”/“análise” → fluxo mais profundo (fast/auto/pro como no assistente-os).</w:t>
      </w:r>
    </w:p>
    <w:p>
      <w:pPr>
        <w:pStyle w:val="ListParagraph"/>
        <w:numPr>
          <w:ilvl w:val="0"/>
          <w:numId w:val="1"/>
        </w:numPr>
      </w:pPr>
      <w:r>
        <w:t xml:space="preserve">No Claude Code, o próprio agente já orquestra com tools; a decisão é </w:t>
      </w:r>
      <w:r>
        <w:rPr>
          <w:b/>
          <w:bCs/>
        </w:rPr>
        <w:t xml:space="preserve">quando ele pode chamar ferramenta</w:t>
      </w:r>
      <w:r>
        <w:t xml:space="preserve"> e o que fazer em erro (limite de tentativas, timeout, dizer “não consegui”).</w:t>
      </w:r>
    </w:p>
    <w:p>
      <w:pPr>
        <w:pStyle w:val="ListParagraph"/>
        <w:numPr>
          <w:ilvl w:val="0"/>
          <w:numId w:val="1"/>
        </w:numPr>
      </w:pPr>
      <w:r>
        <w:t xml:space="preserve">Referência (assistente-os): </w:t>
      </w:r>
      <w:r>
        <w:t xml:space="preserve">grafo LangGraph retrieve→generate↷tools com limite de iterações, streaming por etapa e escalonamento quando o contexto é fraco.</w:t>
      </w:r>
    </w:p>
    <w:p>
      <w:pPr>
        <w:spacing w:before="160"/>
      </w:pPr>
    </w:p>
    <w:p>
      <w:r>
        <w:rPr>
          <w:b/>
          <w:bCs/>
          <w:color w:val="2E74B5"/>
        </w:rPr>
        <w:t xml:space="preserve">Passo 6 — Interface (como o time vai usar)</w:t>
      </w:r>
    </w:p>
    <w:p>
      <w:pPr>
        <w:spacing w:before="60"/>
      </w:pPr>
    </w:p>
    <w:p>
      <w:r>
        <w:t xml:space="preserve">Definir onde o assistente </w:t>
      </w:r>
      <w:r>
        <w:rPr>
          <w:b/>
          <w:bCs/>
        </w:rPr>
        <w:t xml:space="preserve">aparece</w:t>
      </w:r>
      <w:r>
        <w:t xml:space="preserve"> para o time técnico. Começar simples.</w:t>
      </w:r>
    </w:p>
    <w:p>
      <w:pPr>
        <w:pStyle w:val="ListParagraph"/>
        <w:numPr>
          <w:ilvl w:val="0"/>
          <w:numId w:val="1"/>
        </w:numPr>
      </w:pPr>
      <w:r>
        <w:t xml:space="preserve">Fase 1: chat no terminal/IDE (Claude Code) sendo o próprio assistente com o prompt + MCP configurado.</w:t>
      </w:r>
    </w:p>
    <w:p>
      <w:pPr>
        <w:pStyle w:val="ListParagraph"/>
        <w:numPr>
          <w:ilvl w:val="0"/>
          <w:numId w:val="1"/>
        </w:numPr>
      </w:pPr>
      <w:r>
        <w:t xml:space="preserve">Fase 2: interface web de chat para o time, com histórico por usuário.</w:t>
      </w:r>
    </w:p>
    <w:p>
      <w:pPr>
        <w:pStyle w:val="ListParagraph"/>
        <w:numPr>
          <w:ilvl w:val="0"/>
          <w:numId w:val="1"/>
        </w:numPr>
      </w:pPr>
      <w:r>
        <w:t xml:space="preserve">Fase 3 (opcional): API para o fluxo de suporte existente.</w:t>
      </w:r>
    </w:p>
    <w:p>
      <w:pPr>
        <w:pStyle w:val="ListParagraph"/>
        <w:numPr>
          <w:ilvl w:val="0"/>
          <w:numId w:val="1"/>
        </w:numPr>
      </w:pPr>
      <w:r>
        <w:t xml:space="preserve">Referência (assistente-os): </w:t>
      </w:r>
      <w:r>
        <w:t xml:space="preserve">chat via REST/WebSocket com streaming etapa-a-etapa e painel web — o CTO pode ver o grafo rodando ao vivo.</w:t>
      </w:r>
    </w:p>
    <w:p>
      <w:pPr>
        <w:spacing w:before="160"/>
      </w:pPr>
    </w:p>
    <w:p>
      <w:r>
        <w:rPr>
          <w:b/>
          <w:bCs/>
          <w:color w:val="2E74B5"/>
        </w:rPr>
        <w:t xml:space="preserve">Passo 7 — Testes &amp; Evals (qualidade mensurável)</w:t>
      </w:r>
    </w:p>
    <w:p>
      <w:pPr>
        <w:spacing w:before="60"/>
      </w:pPr>
    </w:p>
    <w:p>
      <w:r>
        <w:t xml:space="preserve">Sem eval não há como provar que o assistente </w:t>
      </w:r>
      <w:r>
        <w:rPr>
          <w:b/>
          <w:bCs/>
        </w:rPr>
        <w:t xml:space="preserve">melhora</w:t>
      </w:r>
      <w:r>
        <w:t xml:space="preserve"> ao longo do tempo. Criar um </w:t>
      </w:r>
      <w:r>
        <w:rPr>
          <w:b/>
          <w:bCs/>
        </w:rPr>
        <w:t xml:space="preserve">golden set</w:t>
      </w:r>
      <w:r>
        <w:t xml:space="preserve"> de perguntas com respostas esperadas.</w:t>
      </w:r>
    </w:p>
    <w:p>
      <w:pPr>
        <w:pStyle w:val="ListParagraph"/>
        <w:numPr>
          <w:ilvl w:val="0"/>
          <w:numId w:val="1"/>
        </w:numPr>
      </w:pPr>
      <w:r>
        <w:t xml:space="preserve">Montar golden set real do Saturno: ex. “qual o padrão de DAO multi-tenant?” → espera-se citar o ADR/pattern do hub; “todo endpoint precisa de @Secured?” → sim, pelos rules.</w:t>
      </w:r>
    </w:p>
    <w:p>
      <w:pPr>
        <w:pStyle w:val="ListParagraph"/>
        <w:numPr>
          <w:ilvl w:val="0"/>
          <w:numId w:val="1"/>
        </w:numPr>
      </w:pPr>
      <w:r>
        <w:t xml:space="preserve">Medir recuperação: </w:t>
      </w:r>
      <w:r>
        <w:t xml:space="preserve">hit@1 (o doc certo aparece em 1º?), MRR, recall@5</w:t>
      </w:r>
      <w:r>
        <w:t xml:space="preserve"> — fidelidade da resposta ao contexto (não alucinar) e taxa de recusa em perguntas adversariais/fora de escopo.</w:t>
      </w:r>
    </w:p>
    <w:p>
      <w:pPr>
        <w:pStyle w:val="ListParagraph"/>
        <w:numPr>
          <w:ilvl w:val="0"/>
          <w:numId w:val="1"/>
        </w:numPr>
      </w:pPr>
      <w:r>
        <w:t xml:space="preserve">Gate no CI: </w:t>
      </w:r>
      <w:r>
        <w:rPr>
          <w:b/>
          <w:bCs/>
        </w:rPr>
        <w:t xml:space="preserve">uma pergunta que não atingir o piso (ex: hit@1 ≥ 0.7) bloqueia o release antes de piorar em produção.</w:t>
      </w:r>
    </w:p>
    <w:p>
      <w:pPr>
        <w:pStyle w:val="ListParagraph"/>
        <w:numPr>
          <w:ilvl w:val="0"/>
          <w:numId w:val="1"/>
        </w:numPr>
      </w:pPr>
      <w:r>
        <w:t xml:space="preserve">Referência (assistente-os): </w:t>
      </w:r>
      <w:r>
        <w:t xml:space="preserve">comando de avaliação de RAG com golden set, medindo hit@1/MRR/recall + taxa de recusa adversarial, com histórico de execuções registrado; sai com código de erro se o piso não for atingido. Já preparamos um golden set inicial com 23 casos a partir da documentação do hub — ponto de partida a expandir com o time.</w:t>
      </w:r>
    </w:p>
    <w:p>
      <w:pPr>
        <w:spacing w:before="200"/>
      </w:pPr>
    </w:p>
    <w:p>
      <w:r>
        <w:rPr>
          <w:b/>
          <w:bCs/>
          <w:color w:val="1F4E79"/>
        </w:rPr>
        <w:t xml:space="preserve">Sequência-resumo (8 etapas em 7 movimentos)</w:t>
      </w:r>
    </w:p>
    <w:p>
      <w:pPr>
        <w:spacing w:before="80"/>
      </w:pPr>
    </w:p>
    <w:p>
      <w:r>
        <w:rPr>
          <w:b/>
          <w:bCs/>
        </w:rPr>
        <w:t xml:space="preserve">Escopo+guardrails → Prompt → Modelo → MCP → Memória → Orquestração → Interface → Evals. </w:t>
      </w:r>
      <w:r>
        <w:t xml:space="preserve">A ordem é pensada para o CTO ver valor rápido (MCP + RAG já respondem no dia 1) e segurança antes de escala (guardrails e evals desde o início). Cada etapa fecha com um </w:t>
      </w:r>
      <w:r>
        <w:t xml:space="preserve">artefato mínimo</w:t>
      </w:r>
      <w:r>
        <w:t xml:space="preserve">: ADR, prompt versionado, tabela de modelo, allowlist, golden set.</w:t>
      </w:r>
    </w:p>
    <w:p>
      <w:pPr>
        <w:spacing w:before="120"/>
      </w:pP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— Fim do plano —</w:t>
      </w:r>
    </w:p>
    <w:p>
      <w:pPr>
        <w:spacing w:before="80"/>
        <w:jc w:val="center"/>
      </w:pPr>
      <w:r>
        <w:rPr>
          <w:color w:val="595959"/>
          <w:sz w:val="20"/>
          <w:szCs w:val="20"/>
        </w:rPr>
        <w:t xml:space="preserve">Sousa Lima Consultoria · Everton Lima · everton@sousalimaconsultoria.com.br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2026-08-31T03:21:30.710Z</dcterms:created>
  <dcterms:modified xsi:type="dcterms:W3CDTF">2026-08-31T03:21:30.710Z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