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PROPOSTA DE MENTORIA IA-FIRST</w:t>
      </w:r>
    </w:p>
    <w:p>
      <w:pPr>
        <w:spacing w:before="200"/>
        <w:jc w:val="center"/>
      </w:pPr>
      <w:r>
        <w:rPr>
          <w:color w:val="595959"/>
          <w:sz w:val="28"/>
          <w:szCs w:val="28"/>
        </w:rPr>
        <w:t xml:space="preserve">Transformação tecnológica e governada de Inteligência Artificial</w:t>
      </w:r>
    </w:p>
    <w:p>
      <w:pPr>
        <w:spacing w:before="1200"/>
      </w:pPr>
    </w:p>
    <w:p>
      <w:pPr>
        <w:jc w:val="center"/>
      </w:pPr>
      <w:r>
        <w:rPr>
          <w:b/>
          <w:bCs/>
          <w:color w:val="2E74B5"/>
          <w:sz w:val="40"/>
          <w:szCs w:val="40"/>
        </w:rPr>
        <w:t xml:space="preserve">Dimastec</w:t>
      </w:r>
    </w:p>
    <w:p>
      <w:pPr>
        <w:spacing w:before="100"/>
        <w:jc w:val="center"/>
      </w:pPr>
      <w:r>
        <w:rPr>
          <w:color w:val="595959"/>
          <w:sz w:val="24"/>
          <w:szCs w:val="24"/>
        </w:rPr>
        <w:t xml:space="preserve">Apresentação para o CTO — Natanael Morais</w:t>
      </w:r>
    </w:p>
    <w:p>
      <w:pPr>
        <w:spacing w:before="1400"/>
      </w:pPr>
    </w:p>
    <w:p>
      <w:pPr>
        <w:jc w:val="center"/>
      </w:pPr>
      <w:r>
        <w:rPr>
          <w:color w:val="595959"/>
          <w:sz w:val="24"/>
          <w:szCs w:val="24"/>
        </w:rPr>
        <w:t xml:space="preserve">Sousa Lima Consultoria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29 de agosto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b/>
          <w:bCs/>
          <w:color w:val="1F4E79"/>
          <w:sz w:val="32"/>
          <w:szCs w:val="32"/>
        </w:rPr>
        <w:t xml:space="preserve">1. Contexto e entendimento</w:t>
      </w:r>
    </w:p>
    <w:p>
      <w:pPr>
        <w:spacing w:before="120"/>
      </w:pPr>
    </w:p>
    <w:p>
      <w:r>
        <w:t xml:space="preserve">A Dimastec está em um momento estratégico: modernização do legado, adoção de IA e conformidade com ISO 27001/LGPD caminham juntas. O projeto </w:t>
      </w:r>
      <w:r>
        <w:rPr>
          <w:b/>
          <w:bCs/>
        </w:rPr>
        <w:t xml:space="preserve">Saturno-Calc</w:t>
      </w:r>
      <w:r>
        <w:t xml:space="preserve"> (novo microsserviço de cálculo de horas) e a evolução do </w:t>
      </w:r>
      <w:r>
        <w:rPr>
          <w:b/>
          <w:bCs/>
        </w:rPr>
        <w:t xml:space="preserve">Projeto Zero</w:t>
      </w:r>
      <w:r>
        <w:t xml:space="preserve"> consolidam a decisão de migração orientada por IA, documentada por ADRs e alinhada às políticas internas de segurança da informação e privacidade.</w:t>
      </w:r>
    </w:p>
    <w:p>
      <w:pPr>
        <w:spacing w:before="160"/>
      </w:pPr>
    </w:p>
    <w:p>
      <w:r>
        <w:t xml:space="preserve">Já existe maturidade no processo: </w:t>
      </w:r>
      <w:r>
        <w:t xml:space="preserve">política formal de IA, ~10 Risk Assessments por mês em atividade, e uma primeira rodada de execução do Claude que gerou Data Model Spec (18 migrações, 72 gaps), ADR-01 e documento de conformidade</w:t>
      </w:r>
      <w:r>
        <w:t xml:space="preserve">. O que falta não é começar do zero — é </w:t>
      </w:r>
      <w:r>
        <w:rPr>
          <w:b/>
          <w:bCs/>
        </w:rPr>
        <w:t xml:space="preserve">endurecer, formalizar e deixar o time capaz de repetir o processo</w:t>
      </w:r>
      <w:r>
        <w:t xml:space="preserve"> sem depender de um parceiro externo.</w:t>
      </w:r>
    </w:p>
    <w:p>
      <w:pPr>
        <w:spacing w:before="160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Contrato PDTI: 6 meses, iniciado em 03/08/2026.</w:t>
      </w:r>
    </w:p>
    <w:p>
      <w:pPr>
        <w:pStyle w:val="ListParagraph"/>
        <w:numPr>
          <w:ilvl w:val="0"/>
          <w:numId w:val="1"/>
        </w:numPr>
      </w:pPr>
      <w:r>
        <w:t xml:space="preserve">Jornada IA-first: Saturno-Calc como microsserviço, não fusão do código legado.</w:t>
      </w:r>
    </w:p>
    <w:p>
      <w:pPr>
        <w:pStyle w:val="ListParagraph"/>
        <w:numPr>
          <w:ilvl w:val="0"/>
          <w:numId w:val="1"/>
        </w:numPr>
      </w:pPr>
      <w:r>
        <w:t xml:space="preserve">Projeto Zero unificado: framework de IA + políticas ISO 27001/LGPD.</w:t>
      </w:r>
    </w:p>
    <w:p>
      <w:pPr>
        <w:pStyle w:val="ListParagraph"/>
        <w:numPr>
          <w:ilvl w:val="0"/>
          <w:numId w:val="1"/>
        </w:numPr>
      </w:pPr>
      <w:r>
        <w:t xml:space="preserve">Instrumentos já validados: ADRs, questionário de 180 perguntas, multitenancy PostgreSQL por esquema.</w:t>
      </w:r>
    </w:p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2. Por que uma mentoria e não uma fábrica de código</w:t>
      </w:r>
    </w:p>
    <w:p>
      <w:pPr>
        <w:spacing w:before="120"/>
      </w:pPr>
    </w:p>
    <w:p>
      <w:r>
        <w:t xml:space="preserve">O objetivo é deixar a Dimastec dona do processo. A consultoria não é uma </w:t>
      </w:r>
      <w:r>
        <w:rPr>
          <w:b/>
          <w:bCs/>
        </w:rPr>
        <w:t xml:space="preserve">fábrica externa de código</w:t>
      </w:r>
      <w:r>
        <w:t xml:space="preserve"> nem um </w:t>
      </w:r>
      <w:r>
        <w:rPr>
          <w:b/>
          <w:bCs/>
        </w:rPr>
        <w:t xml:space="preserve">projeto de agentes</w:t>
      </w:r>
      <w:r>
        <w:t xml:space="preserve">. É uma </w:t>
      </w:r>
      <w:r>
        <w:rPr>
          <w:b/>
          <w:bCs/>
        </w:rPr>
        <w:t xml:space="preserve">disciplina de transformação</w:t>
      </w:r>
      <w:r>
        <w:t xml:space="preserve">: diagnosticar, escolher, formar padrões, testar hipóteses e treinar multiplicadores internos.</w:t>
      </w:r>
    </w:p>
    <w:p>
      <w:pPr>
        <w:spacing w:before="140"/>
      </w:pPr>
      <w:r>
        <w:rPr>
          <w:b/>
          <w:bCs/>
          <w:color w:val="1F4E79"/>
        </w:rPr>
        <w:t xml:space="preserve">Os três ativos que a Dimastec leva ao final:</w:t>
      </w:r>
    </w:p>
    <w:p>
      <w:pPr>
        <w:pStyle w:val="ListParagraph"/>
        <w:numPr>
          <w:ilvl w:val="0"/>
          <w:numId w:val="1"/>
        </w:numPr>
      </w:pPr>
      <w:r>
        <w:t xml:space="preserve">Um </w:t>
      </w:r>
      <w:r>
        <w:rPr>
          <w:b/>
          <w:bCs/>
        </w:rPr>
        <w:t xml:space="preserve">padrão técnico repetível</w:t>
      </w:r>
      <w:r>
        <w:t xml:space="preserve"> (playbook procedure → Java/Spring, templates, ADRs).</w:t>
      </w:r>
    </w:p>
    <w:p>
      <w:pPr>
        <w:pStyle w:val="ListParagraph"/>
        <w:numPr>
          <w:ilvl w:val="0"/>
          <w:numId w:val="1"/>
        </w:numPr>
      </w:pPr>
      <w:r>
        <w:t xml:space="preserve">Uma </w:t>
      </w:r>
      <w:r>
        <w:rPr>
          <w:b/>
          <w:bCs/>
        </w:rPr>
        <w:t xml:space="preserve">disciplina de decisão baseada em evidência</w:t>
      </w:r>
      <w:r>
        <w:t xml:space="preserve"> (checkpoints, métricas, avaliação de riscos).</w:t>
      </w:r>
    </w:p>
    <w:p>
      <w:pPr>
        <w:pStyle w:val="ListParagraph"/>
        <w:numPr>
          <w:ilvl w:val="0"/>
          <w:numId w:val="1"/>
        </w:numPr>
      </w:pPr>
      <w:r>
        <w:t xml:space="preserve">Um </w:t>
      </w:r>
      <w:r>
        <w:rPr>
          <w:b/>
          <w:bCs/>
        </w:rPr>
        <w:t xml:space="preserve">time capaz de expandir IA com limites claros</w:t>
      </w:r>
      <w:r>
        <w:t xml:space="preserve"> (classificação de casos de uso, governança).</w:t>
      </w:r>
    </w:p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3. Modelo de mentoria: três trilhas, uma mudança por vez</w:t>
      </w:r>
    </w:p>
    <w:p>
      <w:pPr>
        <w:spacing w:before="120"/>
      </w:pPr>
    </w:p>
    <w:p>
      <w:r>
        <w:t xml:space="preserve">O programa mantém três trilhas visíveis, mas executa </w:t>
      </w:r>
      <w:r>
        <w:rPr>
          <w:b/>
          <w:bCs/>
        </w:rPr>
        <w:t xml:space="preserve">apenas uma intervenção de mudança por vez</w:t>
      </w:r>
      <w:r>
        <w:t xml:space="preserve">. O MYDAS é a trilha crítica de engenharia; a governança é o guardrail permanente; a IA aplicada entra como piloto controlado.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100"/>
      </w:tblGrid>
      <w:tr>
        <w:trPr>
          <w:tblHeader/>
        </w:trPr>
        <w:tc>
          <w:tcPr>
            <w:tcW w:type="dxa" w:w="24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Trilha</w:t>
            </w:r>
          </w:p>
        </w:tc>
        <w:tc>
          <w:tcPr>
            <w:tcW w:type="dxa" w:w="36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 central</w:t>
            </w:r>
          </w:p>
        </w:tc>
        <w:tc>
          <w:tcPr>
            <w:tcW w:type="dxa" w:w="31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Saída de cada ciclo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Fluxo e modernização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Onde o trabalho trava e qual procedure merece ser migrada primeiro?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Hipótese testada, baseline, ADR e template reutilizável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Governança e evidências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 risco existe, quem decide e qual artefato prova o controle?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Gap fechado, exceção datada ou risco aceito pelo owner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 aplicada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 tarefa humana pode ser assistida sem ampliar risco indevidamente?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Caso de uso limitado, avaliação, aprovação e decisão de expandir</w:t>
            </w:r>
          </w:p>
        </w:tc>
      </w:tr>
    </w:tbl>
    <w:p>
      <w:pPr>
        <w:spacing w:before="160"/>
      </w:pPr>
    </w:p>
    <w:p>
      <w:r>
        <w:rPr>
          <w:b/>
          <w:bCs/>
          <w:color w:val="2E74B5"/>
        </w:rPr>
        <w:t xml:space="preserve">Ponto crítico do escopo</w:t>
      </w:r>
    </w:p>
    <w:p>
      <w:pPr>
        <w:pStyle w:val="ListParagraph"/>
        <w:numPr>
          <w:ilvl w:val="0"/>
          <w:numId w:val="1"/>
        </w:numPr>
      </w:pPr>
      <w:r>
        <w:t xml:space="preserve">O repositório de padrões </w:t>
      </w:r>
      <w:r>
        <w:t xml:space="preserve">projeto0</w:t>
      </w:r>
      <w:r>
        <w:t xml:space="preserve"> não pode ser confundido com os produtos em produção (MYDAS, DT Faceum, Hubla, PCPT). A classificação </w:t>
      </w:r>
      <w:r>
        <w:t xml:space="preserve">Core</w:t>
      </w:r>
      <w:r>
        <w:t xml:space="preserve"> de um servidor de padrões não se estende automaticamente a fluxos que processam dados biométricos ou de clientes.</w:t>
      </w:r>
    </w:p>
    <w:p>
      <w:pPr>
        <w:pStyle w:val="ListParagraph"/>
        <w:numPr>
          <w:ilvl w:val="0"/>
          <w:numId w:val="1"/>
        </w:numPr>
      </w:pPr>
      <w:r>
        <w:t xml:space="preserve">Abrir um </w:t>
      </w:r>
      <w:r>
        <w:rPr>
          <w:b/>
          <w:bCs/>
        </w:rPr>
        <w:t xml:space="preserve">registro de avaliação por combinação sistema + caso de uso + dado + efeito</w:t>
      </w:r>
      <w:r>
        <w:t xml:space="preserve">, em vez de uma única declaração corporativa de conformidade.</w:t>
      </w:r>
    </w:p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4. Papéis e limites — o que a consultoria faz e o que não assume</w:t>
      </w:r>
    </w:p>
    <w:p>
      <w:pPr>
        <w:spacing w:before="120"/>
      </w:pPr>
    </w:p>
    <w:p>
      <w:r>
        <w:t xml:space="preserve">O papel da consultoria é de </w:t>
      </w:r>
      <w:r>
        <w:rPr>
          <w:b/>
          <w:bCs/>
        </w:rPr>
        <w:t xml:space="preserve">mentor de transformação IA-first e qualidade de engenharia</w:t>
      </w:r>
      <w:r>
        <w:t xml:space="preserve">: estrutura a descoberta, impõe critérios de decisão, desafia hipóteses, facilita ritos e avalia evidências. A equipe da Dimastec permanece dona da arquitetura, do código, das credenciais, da operação, do produto e da aprovação de riscos.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2900"/>
      </w:tblGrid>
      <w:tr>
        <w:trPr>
          <w:tblHeader/>
        </w:trPr>
        <w:tc>
          <w:tcPr>
            <w:tcW w:type="dxa" w:w="31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Você (mentoria) faz</w:t>
            </w:r>
          </w:p>
        </w:tc>
        <w:tc>
          <w:tcPr>
            <w:tcW w:type="dxa" w:w="31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Dimastec faz</w:t>
            </w:r>
          </w:p>
        </w:tc>
        <w:tc>
          <w:tcPr>
            <w:tcW w:type="dxa" w:w="29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consultoria não assume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Facilita VSM, workshops de risco e priorização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Fornece dados, responsáveis, ambiente e decisão de prioridade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Desenvolver ou operar o produto em produção no lugar da equipe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 critérios de aceite do piloto proc → Java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Implementa, testa, faz deploy e corrige o código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Aprovar release, acessar credenciais ou ter poderes permanentes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Revisa ADRs, decisões, planos de teste e evidências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Mantém evidências, aprova exceções e executa controles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Emitir certificação, parecer jurídico ou atestar conformidade</w:t>
            </w:r>
          </w:p>
        </w:tc>
      </w:tr>
      <w:tr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o método de adoção de IA e treina multiplicadores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Nomeia sponsor, CTO, Tech Lead, DPO, segurança e owners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Tornar-se dono dos agentes, RAGs, dados ou KPIs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5. Cadência semanal e mensal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200"/>
        <w:gridCol w:w="3000"/>
      </w:tblGrid>
      <w:tr>
        <w:trPr>
          <w:tblHeader/>
        </w:trPr>
        <w:tc>
          <w:tcPr>
            <w:tcW w:type="dxa" w:w="22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27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12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0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obrigatório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Oficina de fluxo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CTO, Tech Lead, dono do processo, QA, mentor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min/sem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do fluxo, bloqueio, hipótese e próximo experimento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Clínica de arquitetura e IA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 Lead, engenheiros, segurança/privacidade, mentor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min/sem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ADR/decisão, critérios de teste, limites de dados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Checkpoint executivo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Sponsor, CTO, produto, segurança/DPO, mentor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 min/sem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Decisões pendentes resolvidas e prioridades protegidas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Steering mensal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Diretoria e owners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min/mês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Métricas, entregáveis aceitos, exceções e próximo marco</w:t>
            </w:r>
          </w:p>
        </w:tc>
      </w:tr>
    </w:tbl>
    <w:p>
      <w:pPr>
        <w:spacing w:before="140"/>
      </w:pPr>
    </w:p>
    <w:p>
      <w:r>
        <w:rPr>
          <w:b/>
          <w:bCs/>
        </w:rPr>
        <w:t xml:space="preserve">O checkpoint não é reunião de status. </w:t>
      </w:r>
      <w:r>
        <w:t xml:space="preserve">Cada encontro encerra com decisão, responsável, prazo, evidência esperada e condição de reversão. Sem decisão, registra-se o bloqueio e quem pode removê-lo.</w:t>
      </w:r>
    </w:p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6. Roteiro de seis meses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300"/>
      </w:tblGrid>
      <w:tr>
        <w:trPr>
          <w:tblHeader/>
        </w:trPr>
        <w:tc>
          <w:tcPr>
            <w:tcW w:type="dxa" w:w="16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2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3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Entregáveis da mentoria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Mês 1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Diagnóstico que produz decisão (VSM, baseline, inventário de IA, seleção da procedure-piloto)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VSM, matriz de sistemas e dados, RACI mínimo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Mês 2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Piloto completo (golden tests, Java/Spring + jOOQ, integração PostgreSQL, rollback)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 do piloto, definição de pronto, plano de rollback, pacote de evidências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Mês 3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Assistente técnico read-only e avaliado (fontes aprovadas, kill switch)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Carta do caso de uso, allowlist de fontes, métricas de qualidade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Meses 4-5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Escalar o padrão, não o volume de ferramentas; fechar lacunas de governança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Playbook proc → Java, dashboard de fluxo, plano de remediação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Mês 6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Readiness e transferência de capacidade (ritos sobrevivem sem a consultoria)</w:t>
            </w:r>
          </w:p>
        </w:tc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Scorecard antes/depois, roadmap de 90 dias, relatório de capacidade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7. Métricas que importam</w:t>
      </w:r>
    </w:p>
    <w:p>
      <w:pPr>
        <w:spacing w:before="120"/>
      </w:pPr>
    </w:p>
    <w:p>
      <w:r>
        <w:t xml:space="preserve">Não definimos metas numéricas antes de coletar o baseline. O primeiro mês serve para medir; a evolução é pactuada depois. A diretoria precisa de poucas métricas comparáveis — não de um painel de atividade.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50"/>
        <w:gridCol w:w="3450"/>
      </w:tblGrid>
      <w:tr>
        <w:trPr>
          <w:tblHeader/>
        </w:trPr>
        <w:tc>
          <w:tcPr>
            <w:tcW w:type="dxa" w:w="23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35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 de baseline</w:t>
            </w:r>
          </w:p>
        </w:tc>
        <w:tc>
          <w:tcPr>
            <w:tcW w:type="dxa" w:w="345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de avanço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Capacidade de engenharia</w:t>
            </w:r>
          </w:p>
        </w:tc>
        <w:tc>
          <w:tcPr>
            <w:tcW w:type="dxa" w:w="33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tempo em suporte L3, bugs, retrabalho e legado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Menor carga reativa, maior previsibilidade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Modernização</w:t>
            </w:r>
          </w:p>
        </w:tc>
        <w:tc>
          <w:tcPr>
            <w:tcW w:type="dxa" w:w="33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time por procedure, cobertura de golden/contract tests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Migração repetível sem mudança funcional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Qualidade</w:t>
            </w:r>
          </w:p>
        </w:tc>
        <w:tc>
          <w:tcPr>
            <w:tcW w:type="dxa" w:w="33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Falhas escapadas, rollback, reabertura de chamado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Menos regressão, detecção mais cedo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 assistida</w:t>
            </w:r>
          </w:p>
        </w:tc>
        <w:tc>
          <w:tcPr>
            <w:tcW w:type="dxa" w:w="33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Taxa de resposta útil com fonte, taxa de correção humana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Expansão só quando qualidade supera o baseline humano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33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controles com evidência, exceções vencidas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Menos controle sem prova, menos risco sem owner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Negócio</w:t>
            </w:r>
          </w:p>
        </w:tc>
        <w:tc>
          <w:tcPr>
            <w:tcW w:type="dxa" w:w="33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 de resposta a clientes, capacidade liberada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Ganho que o sponsor reconhece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32"/>
          <w:szCs w:val="32"/>
        </w:rPr>
        <w:t xml:space="preserve">8. Primeiras decisões a conduzir</w:t>
      </w:r>
    </w:p>
    <w:p>
      <w:pPr>
        <w:spacing w:before="14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600"/>
      </w:tblGrid>
      <w:tr>
        <w:trPr>
          <w:tblHeader/>
        </w:trPr>
        <w:tc>
          <w:tcPr>
            <w:tcW w:type="dxa" w:w="32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3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Dono</w:t>
            </w:r>
          </w:p>
        </w:tc>
        <w:tc>
          <w:tcPr>
            <w:tcW w:type="dxa" w:w="3600"/>
            <w:shd w:fill="2E74B5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para encerrar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 procedure entra no piloto?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CTO + Tech Lead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Impacto/complexidade confirmados e baseline disponível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 do assistente técnico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CTO + Segurança + DPO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Fontes, dados proibidos e kill switch documentados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Produtos que requerem reclassificação AI-1+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Arquitetura + DPO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por sistema, não por empresa inteira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Lacunas do ciclo de 90 dias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Sponsor + owners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Owner, prazo, evidência e consequência de atraso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Capacidade a transferir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CTO + mentor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Ritos operados pela Dimastec por um ciclo</w:t>
            </w:r>
          </w:p>
        </w:tc>
      </w:tr>
    </w:tbl>
    <w:p>
      <w:pPr>
        <w:spacing w:before="200"/>
      </w:pPr>
    </w:p>
    <w:p>
      <w:r>
        <w:rPr>
          <w:b/>
          <w:bCs/>
          <w:color w:val="1F4E79"/>
          <w:sz w:val="32"/>
          <w:szCs w:val="32"/>
        </w:rPr>
        <w:t xml:space="preserve">9. Veredito e valor entregue</w:t>
      </w:r>
    </w:p>
    <w:p>
      <w:pPr>
        <w:spacing w:before="120"/>
      </w:pPr>
    </w:p>
    <w:p>
      <w:r>
        <w:t xml:space="preserve">O plano da Dimastec é </w:t>
      </w:r>
      <w:r>
        <w:t xml:space="preserve">mais maduro do que a iniciativa típica de “implantação de IA”</w:t>
      </w:r>
      <w:r>
        <w:t xml:space="preserve">: parte de um gargalo de engenharia real, reconhece governança e prevê evidências. A melhoria necessária é reduzir a ambiguidade entre o repositório de padrões, os produtos em produção e os futuros casos de IA.</w:t>
      </w:r>
    </w:p>
    <w:p>
      <w:pPr>
        <w:spacing w:before="140"/>
      </w:pPr>
    </w:p>
    <w:p>
      <w:r>
        <w:t xml:space="preserve">Ao final do programa, a Dimastec terá formado capacidade interna com três ativos: um </w:t>
      </w:r>
      <w:r>
        <w:rPr>
          <w:b/>
          <w:bCs/>
        </w:rPr>
        <w:t xml:space="preserve">padrão técnico repetível</w:t>
      </w:r>
      <w:r>
        <w:t xml:space="preserve">, uma </w:t>
      </w:r>
      <w:r>
        <w:rPr>
          <w:b/>
          <w:bCs/>
        </w:rPr>
        <w:t xml:space="preserve">disciplina de decisão baseada em evidência</w:t>
      </w:r>
      <w:r>
        <w:t xml:space="preserve"> e um </w:t>
      </w:r>
      <w:r>
        <w:rPr>
          <w:b/>
          <w:bCs/>
        </w:rPr>
        <w:t xml:space="preserve">time capaz de expandir IA com limites claros</w:t>
      </w:r>
      <w:r>
        <w:t xml:space="preserve"> — mais valioso e sustentável do que a implementação de qualquer ferramenta específica.</w:t>
      </w:r>
    </w:p>
    <w:p>
      <w:pPr>
        <w:spacing w:before="22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— Fim da apresentação —</w:t>
      </w:r>
    </w:p>
    <w:p>
      <w:pPr>
        <w:spacing w:before="80"/>
      </w:pPr>
    </w:p>
    <w:p>
      <w:pPr>
        <w:jc w:val="center"/>
      </w:pPr>
      <w:r>
        <w:rPr>
          <w:color w:val="595959"/>
          <w:sz w:val="20"/>
          <w:szCs w:val="20"/>
        </w:rPr>
        <w:t xml:space="preserve">Sousa Lima Consultoria · Everton Lima · everton@sousalimaconsultoria.com.br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2026-08-29T15:08:36.683Z</dcterms:created>
  <dcterms:modified xsi:type="dcterms:W3CDTF">2026-08-29T15:08:36.683Z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